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5D79B6B" w14:textId="77777777" w:rsidTr="002B7BC7">
        <w:trPr>
          <w:trHeight w:hRule="exact" w:val="851"/>
        </w:trPr>
        <w:tc>
          <w:tcPr>
            <w:tcW w:w="1276" w:type="dxa"/>
            <w:tcBorders>
              <w:bottom w:val="single" w:sz="4" w:space="0" w:color="auto"/>
            </w:tcBorders>
          </w:tcPr>
          <w:p w14:paraId="50F74E5A" w14:textId="77777777" w:rsidR="006F71EA" w:rsidRPr="00DB58B5" w:rsidRDefault="006F71EA" w:rsidP="001912BD"/>
        </w:tc>
        <w:tc>
          <w:tcPr>
            <w:tcW w:w="2268" w:type="dxa"/>
            <w:tcBorders>
              <w:bottom w:val="single" w:sz="4" w:space="0" w:color="auto"/>
            </w:tcBorders>
            <w:vAlign w:val="bottom"/>
          </w:tcPr>
          <w:p w14:paraId="3A85BE5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E4F6AA" w14:textId="5BB26414" w:rsidR="006F71EA" w:rsidRPr="00DB58B5" w:rsidRDefault="001912BD" w:rsidP="001912BD">
            <w:pPr>
              <w:jc w:val="right"/>
            </w:pPr>
            <w:r w:rsidRPr="001912BD">
              <w:rPr>
                <w:sz w:val="40"/>
              </w:rPr>
              <w:t>CCPR</w:t>
            </w:r>
            <w:r>
              <w:t>/C/PSE/1</w:t>
            </w:r>
          </w:p>
        </w:tc>
      </w:tr>
      <w:tr w:rsidR="006F71EA" w:rsidRPr="00DB58B5" w14:paraId="3B87D663" w14:textId="77777777" w:rsidTr="002B7BC7">
        <w:trPr>
          <w:trHeight w:hRule="exact" w:val="2835"/>
        </w:trPr>
        <w:tc>
          <w:tcPr>
            <w:tcW w:w="1276" w:type="dxa"/>
            <w:tcBorders>
              <w:top w:val="single" w:sz="4" w:space="0" w:color="auto"/>
              <w:bottom w:val="single" w:sz="12" w:space="0" w:color="auto"/>
            </w:tcBorders>
          </w:tcPr>
          <w:p w14:paraId="1B723289" w14:textId="77777777" w:rsidR="006F71EA" w:rsidRPr="00DB58B5" w:rsidRDefault="006F71EA" w:rsidP="002B7BC7">
            <w:pPr>
              <w:spacing w:before="120"/>
              <w:jc w:val="center"/>
            </w:pPr>
            <w:r>
              <w:rPr>
                <w:noProof/>
                <w:lang w:eastAsia="fr-CH"/>
              </w:rPr>
              <w:drawing>
                <wp:inline distT="0" distB="0" distL="0" distR="0" wp14:anchorId="47D004B8" wp14:editId="1251D9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09835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CA3E912" w14:textId="77777777" w:rsidR="006F71EA" w:rsidRDefault="001912BD" w:rsidP="002B7BC7">
            <w:pPr>
              <w:spacing w:before="240"/>
            </w:pPr>
            <w:r>
              <w:t>Distr. générale</w:t>
            </w:r>
          </w:p>
          <w:p w14:paraId="1DDBFFB3" w14:textId="77777777" w:rsidR="001912BD" w:rsidRDefault="001912BD" w:rsidP="001912BD">
            <w:pPr>
              <w:spacing w:line="240" w:lineRule="exact"/>
            </w:pPr>
            <w:r>
              <w:t>26 août 2021</w:t>
            </w:r>
          </w:p>
          <w:p w14:paraId="4E58E70C" w14:textId="77777777" w:rsidR="001912BD" w:rsidRDefault="001912BD" w:rsidP="001912BD">
            <w:pPr>
              <w:spacing w:line="240" w:lineRule="exact"/>
            </w:pPr>
            <w:r>
              <w:t>Français</w:t>
            </w:r>
          </w:p>
          <w:p w14:paraId="076A5C1F" w14:textId="77777777" w:rsidR="001912BD" w:rsidRDefault="001912BD" w:rsidP="001912BD">
            <w:pPr>
              <w:spacing w:line="240" w:lineRule="exact"/>
            </w:pPr>
            <w:r>
              <w:t>Original : arabe</w:t>
            </w:r>
          </w:p>
          <w:p w14:paraId="13017F93" w14:textId="3C488E2E" w:rsidR="007D6D99" w:rsidRPr="00DB58B5" w:rsidRDefault="007D6D99" w:rsidP="001912BD">
            <w:pPr>
              <w:spacing w:line="240" w:lineRule="exact"/>
            </w:pPr>
            <w:r>
              <w:t>Anglais, arabe, espagnol et français seulement</w:t>
            </w:r>
          </w:p>
        </w:tc>
      </w:tr>
    </w:tbl>
    <w:p w14:paraId="65385F57" w14:textId="0DE5A60C" w:rsidR="006F71EA" w:rsidRDefault="006F71EA" w:rsidP="006F71EA">
      <w:pPr>
        <w:spacing w:before="120"/>
        <w:rPr>
          <w:b/>
          <w:sz w:val="24"/>
          <w:szCs w:val="24"/>
        </w:rPr>
      </w:pPr>
      <w:r w:rsidRPr="00DF3BF1">
        <w:rPr>
          <w:b/>
          <w:sz w:val="24"/>
          <w:szCs w:val="24"/>
        </w:rPr>
        <w:t>Comité des droits de l</w:t>
      </w:r>
      <w:r w:rsidR="0035332C">
        <w:rPr>
          <w:b/>
          <w:sz w:val="24"/>
          <w:szCs w:val="24"/>
        </w:rPr>
        <w:t>’</w:t>
      </w:r>
      <w:r w:rsidRPr="00DF3BF1">
        <w:rPr>
          <w:b/>
          <w:sz w:val="24"/>
          <w:szCs w:val="24"/>
        </w:rPr>
        <w:t>homme</w:t>
      </w:r>
    </w:p>
    <w:p w14:paraId="1DE3A096" w14:textId="3A105395" w:rsidR="001912BD" w:rsidRPr="006F1967" w:rsidRDefault="00D005FA" w:rsidP="00D005FA">
      <w:pPr>
        <w:pStyle w:val="HMG"/>
      </w:pPr>
      <w:r>
        <w:tab/>
      </w:r>
      <w:r>
        <w:tab/>
      </w:r>
      <w:r w:rsidR="001912BD" w:rsidRPr="007C5787">
        <w:t>Rapport initial soumis par l</w:t>
      </w:r>
      <w:r w:rsidR="0035332C">
        <w:t>’</w:t>
      </w:r>
      <w:r w:rsidR="001912BD" w:rsidRPr="007C5787">
        <w:t>État de Palestine en</w:t>
      </w:r>
      <w:r>
        <w:t> </w:t>
      </w:r>
      <w:r w:rsidR="001912BD" w:rsidRPr="007C5787">
        <w:t>application de l</w:t>
      </w:r>
      <w:r w:rsidR="0035332C">
        <w:t>’</w:t>
      </w:r>
      <w:r w:rsidR="001912BD" w:rsidRPr="007C5787">
        <w:t xml:space="preserve">article 40 du Pacte, </w:t>
      </w:r>
      <w:r>
        <w:br/>
      </w:r>
      <w:r w:rsidR="001912BD" w:rsidRPr="007C5787">
        <w:t>attendu en 2015</w:t>
      </w:r>
      <w:r w:rsidR="00342A1F" w:rsidRPr="00342A1F">
        <w:rPr>
          <w:rStyle w:val="Appelnotedebasdep"/>
          <w:b w:val="0"/>
          <w:bCs/>
          <w:sz w:val="20"/>
          <w:vertAlign w:val="baseline"/>
        </w:rPr>
        <w:footnoteReference w:customMarkFollows="1" w:id="2"/>
        <w:t>*</w:t>
      </w:r>
    </w:p>
    <w:p w14:paraId="0A224305" w14:textId="1876DA96" w:rsidR="00E85C42" w:rsidRDefault="001912BD" w:rsidP="00D005FA">
      <w:pPr>
        <w:pStyle w:val="SingleTxtG"/>
        <w:rPr>
          <w:lang w:val="fr-FR"/>
        </w:rPr>
      </w:pPr>
      <w:r w:rsidRPr="00310D49">
        <w:rPr>
          <w:lang w:val="fr-FR"/>
        </w:rPr>
        <w:t>[Date de réception</w:t>
      </w:r>
      <w:r w:rsidR="00B02693">
        <w:rPr>
          <w:lang w:val="fr-FR"/>
        </w:rPr>
        <w:t> </w:t>
      </w:r>
      <w:r w:rsidRPr="00310D49">
        <w:rPr>
          <w:lang w:val="fr-FR"/>
        </w:rPr>
        <w:t>: 16 novembre 2020]</w:t>
      </w:r>
    </w:p>
    <w:p w14:paraId="2EBE226C" w14:textId="761C21E1" w:rsidR="001912BD" w:rsidRDefault="001912BD" w:rsidP="001912BD">
      <w:r>
        <w:br w:type="page"/>
      </w:r>
    </w:p>
    <w:p w14:paraId="304CA7AE" w14:textId="59CA1430" w:rsidR="001912BD" w:rsidRPr="001912BD" w:rsidRDefault="001912BD" w:rsidP="001912BD">
      <w:pPr>
        <w:spacing w:after="120"/>
        <w:rPr>
          <w:sz w:val="28"/>
        </w:rPr>
      </w:pPr>
      <w:r w:rsidRPr="001912BD">
        <w:rPr>
          <w:sz w:val="28"/>
        </w:rPr>
        <w:lastRenderedPageBreak/>
        <w:t>Table des matières</w:t>
      </w:r>
    </w:p>
    <w:p w14:paraId="38756C33" w14:textId="1C283718" w:rsidR="001912BD" w:rsidRPr="001912BD" w:rsidRDefault="001912BD" w:rsidP="001912BD">
      <w:pPr>
        <w:tabs>
          <w:tab w:val="right" w:pos="9638"/>
        </w:tabs>
        <w:spacing w:after="120"/>
        <w:ind w:left="283"/>
        <w:rPr>
          <w:i/>
          <w:sz w:val="18"/>
        </w:rPr>
      </w:pPr>
      <w:r w:rsidRPr="001912BD">
        <w:rPr>
          <w:i/>
          <w:sz w:val="18"/>
        </w:rPr>
        <w:tab/>
        <w:t>Page</w:t>
      </w:r>
    </w:p>
    <w:p w14:paraId="3AFD2E41" w14:textId="0DFB0B37" w:rsidR="001912BD" w:rsidRDefault="001912BD" w:rsidP="001912BD">
      <w:pPr>
        <w:tabs>
          <w:tab w:val="right" w:pos="850"/>
          <w:tab w:val="right" w:leader="dot" w:pos="8787"/>
          <w:tab w:val="right" w:pos="9638"/>
        </w:tabs>
        <w:spacing w:after="120"/>
        <w:ind w:left="1134" w:hanging="1134"/>
      </w:pPr>
      <w:r>
        <w:tab/>
      </w:r>
      <w:r>
        <w:tab/>
      </w:r>
      <w:r w:rsidR="00CF762B" w:rsidRPr="00310D49">
        <w:rPr>
          <w:lang w:val="fr-FR"/>
        </w:rPr>
        <w:t>Article premier</w:t>
      </w:r>
      <w:r>
        <w:tab/>
      </w:r>
      <w:r w:rsidR="00CF762B">
        <w:tab/>
        <w:t>3</w:t>
      </w:r>
    </w:p>
    <w:p w14:paraId="72E9F6E6" w14:textId="69A10CD7" w:rsidR="00CF762B" w:rsidRDefault="00CF762B" w:rsidP="001912BD">
      <w:pPr>
        <w:tabs>
          <w:tab w:val="right" w:pos="850"/>
          <w:tab w:val="right" w:leader="dot" w:pos="8787"/>
          <w:tab w:val="right" w:pos="9638"/>
        </w:tabs>
        <w:spacing w:after="120"/>
        <w:ind w:left="1134" w:hanging="1134"/>
        <w:rPr>
          <w:lang w:val="fr-FR"/>
        </w:rPr>
      </w:pPr>
      <w:r>
        <w:tab/>
      </w:r>
      <w:r>
        <w:tab/>
      </w:r>
      <w:r w:rsidRPr="00310D49">
        <w:rPr>
          <w:lang w:val="fr-FR"/>
        </w:rPr>
        <w:t>Article 2</w:t>
      </w:r>
      <w:r>
        <w:rPr>
          <w:lang w:val="fr-FR"/>
        </w:rPr>
        <w:tab/>
      </w:r>
      <w:r>
        <w:rPr>
          <w:lang w:val="fr-FR"/>
        </w:rPr>
        <w:tab/>
        <w:t>6</w:t>
      </w:r>
    </w:p>
    <w:p w14:paraId="62768685" w14:textId="48F0DD29" w:rsidR="00CF762B" w:rsidRDefault="00CF762B" w:rsidP="001912BD">
      <w:pPr>
        <w:tabs>
          <w:tab w:val="right" w:pos="850"/>
          <w:tab w:val="right" w:leader="dot" w:pos="8787"/>
          <w:tab w:val="right" w:pos="9638"/>
        </w:tabs>
        <w:spacing w:after="120"/>
        <w:ind w:left="1134" w:hanging="1134"/>
        <w:rPr>
          <w:lang w:val="fr-FR"/>
        </w:rPr>
      </w:pPr>
      <w:r>
        <w:rPr>
          <w:lang w:val="fr-FR"/>
        </w:rPr>
        <w:tab/>
      </w:r>
      <w:r>
        <w:rPr>
          <w:lang w:val="fr-FR"/>
        </w:rPr>
        <w:tab/>
      </w:r>
      <w:r w:rsidR="00842F54">
        <w:rPr>
          <w:lang w:val="fr-FR"/>
        </w:rPr>
        <w:t>Article 3</w:t>
      </w:r>
      <w:r w:rsidR="00842F54">
        <w:rPr>
          <w:lang w:val="fr-FR"/>
        </w:rPr>
        <w:tab/>
      </w:r>
      <w:r w:rsidR="00842F54">
        <w:rPr>
          <w:lang w:val="fr-FR"/>
        </w:rPr>
        <w:tab/>
        <w:t>12</w:t>
      </w:r>
    </w:p>
    <w:p w14:paraId="5B613D51" w14:textId="1A5BDB51" w:rsidR="00842F54" w:rsidRDefault="00842F54" w:rsidP="001912BD">
      <w:pPr>
        <w:tabs>
          <w:tab w:val="right" w:pos="850"/>
          <w:tab w:val="right" w:leader="dot" w:pos="8787"/>
          <w:tab w:val="right" w:pos="9638"/>
        </w:tabs>
        <w:spacing w:after="120"/>
        <w:ind w:left="1134" w:hanging="1134"/>
        <w:rPr>
          <w:lang w:val="fr-FR"/>
        </w:rPr>
      </w:pPr>
      <w:r>
        <w:rPr>
          <w:lang w:val="fr-FR"/>
        </w:rPr>
        <w:tab/>
      </w:r>
      <w:r>
        <w:rPr>
          <w:lang w:val="fr-FR"/>
        </w:rPr>
        <w:tab/>
        <w:t>Article 4</w:t>
      </w:r>
      <w:r>
        <w:rPr>
          <w:lang w:val="fr-FR"/>
        </w:rPr>
        <w:tab/>
      </w:r>
      <w:r>
        <w:rPr>
          <w:lang w:val="fr-FR"/>
        </w:rPr>
        <w:tab/>
        <w:t>19</w:t>
      </w:r>
    </w:p>
    <w:p w14:paraId="50F982D3" w14:textId="2131D6BA" w:rsidR="00842F54" w:rsidRDefault="00842F54" w:rsidP="001912BD">
      <w:pPr>
        <w:tabs>
          <w:tab w:val="right" w:pos="850"/>
          <w:tab w:val="right" w:leader="dot" w:pos="8787"/>
          <w:tab w:val="right" w:pos="9638"/>
        </w:tabs>
        <w:spacing w:after="120"/>
        <w:ind w:left="1134" w:hanging="1134"/>
        <w:rPr>
          <w:lang w:val="fr-FR"/>
        </w:rPr>
      </w:pPr>
      <w:r>
        <w:rPr>
          <w:lang w:val="fr-FR"/>
        </w:rPr>
        <w:tab/>
      </w:r>
      <w:r>
        <w:rPr>
          <w:lang w:val="fr-FR"/>
        </w:rPr>
        <w:tab/>
        <w:t>Article 5</w:t>
      </w:r>
      <w:r>
        <w:rPr>
          <w:lang w:val="fr-FR"/>
        </w:rPr>
        <w:tab/>
      </w:r>
      <w:r>
        <w:rPr>
          <w:lang w:val="fr-FR"/>
        </w:rPr>
        <w:tab/>
        <w:t>20</w:t>
      </w:r>
    </w:p>
    <w:p w14:paraId="10075CD0" w14:textId="2AD71B6A" w:rsidR="00842F54" w:rsidRDefault="00842F54" w:rsidP="001912BD">
      <w:pPr>
        <w:tabs>
          <w:tab w:val="right" w:pos="850"/>
          <w:tab w:val="right" w:leader="dot" w:pos="8787"/>
          <w:tab w:val="right" w:pos="9638"/>
        </w:tabs>
        <w:spacing w:after="120"/>
        <w:ind w:left="1134" w:hanging="1134"/>
        <w:rPr>
          <w:lang w:val="fr-FR"/>
        </w:rPr>
      </w:pPr>
      <w:r>
        <w:rPr>
          <w:lang w:val="fr-FR"/>
        </w:rPr>
        <w:tab/>
      </w:r>
      <w:r>
        <w:rPr>
          <w:lang w:val="fr-FR"/>
        </w:rPr>
        <w:tab/>
        <w:t>Article 6</w:t>
      </w:r>
      <w:r>
        <w:rPr>
          <w:lang w:val="fr-FR"/>
        </w:rPr>
        <w:tab/>
      </w:r>
      <w:r>
        <w:rPr>
          <w:lang w:val="fr-FR"/>
        </w:rPr>
        <w:tab/>
        <w:t>2</w:t>
      </w:r>
      <w:r w:rsidR="00E95C74">
        <w:rPr>
          <w:lang w:val="fr-FR"/>
        </w:rPr>
        <w:t>1</w:t>
      </w:r>
    </w:p>
    <w:p w14:paraId="5AB06997" w14:textId="761029B4"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7</w:t>
      </w:r>
      <w:r>
        <w:rPr>
          <w:lang w:val="fr-FR"/>
        </w:rPr>
        <w:tab/>
      </w:r>
      <w:r>
        <w:rPr>
          <w:lang w:val="fr-FR"/>
        </w:rPr>
        <w:tab/>
        <w:t>25</w:t>
      </w:r>
    </w:p>
    <w:p w14:paraId="651CCB09" w14:textId="0E95B9FF"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8</w:t>
      </w:r>
      <w:r>
        <w:rPr>
          <w:lang w:val="fr-FR"/>
        </w:rPr>
        <w:tab/>
      </w:r>
      <w:r>
        <w:rPr>
          <w:lang w:val="fr-FR"/>
        </w:rPr>
        <w:tab/>
        <w:t>32</w:t>
      </w:r>
    </w:p>
    <w:p w14:paraId="210D31EC" w14:textId="2AD0507B"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9</w:t>
      </w:r>
      <w:r>
        <w:rPr>
          <w:lang w:val="fr-FR"/>
        </w:rPr>
        <w:tab/>
      </w:r>
      <w:r>
        <w:rPr>
          <w:lang w:val="fr-FR"/>
        </w:rPr>
        <w:tab/>
        <w:t>34</w:t>
      </w:r>
    </w:p>
    <w:p w14:paraId="14AC52FB" w14:textId="14D1DF5F"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10</w:t>
      </w:r>
      <w:r>
        <w:rPr>
          <w:lang w:val="fr-FR"/>
        </w:rPr>
        <w:tab/>
      </w:r>
      <w:r>
        <w:rPr>
          <w:lang w:val="fr-FR"/>
        </w:rPr>
        <w:tab/>
        <w:t>38</w:t>
      </w:r>
    </w:p>
    <w:p w14:paraId="52730079" w14:textId="080EAA90"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11</w:t>
      </w:r>
      <w:r>
        <w:rPr>
          <w:lang w:val="fr-FR"/>
        </w:rPr>
        <w:tab/>
      </w:r>
      <w:r>
        <w:rPr>
          <w:lang w:val="fr-FR"/>
        </w:rPr>
        <w:tab/>
        <w:t>46</w:t>
      </w:r>
    </w:p>
    <w:p w14:paraId="35B20FDC" w14:textId="327D1828"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t>Article 12</w:t>
      </w:r>
      <w:r>
        <w:rPr>
          <w:lang w:val="fr-FR"/>
        </w:rPr>
        <w:tab/>
      </w:r>
      <w:r>
        <w:rPr>
          <w:lang w:val="fr-FR"/>
        </w:rPr>
        <w:tab/>
        <w:t>4</w:t>
      </w:r>
      <w:r w:rsidR="00E95C74">
        <w:rPr>
          <w:lang w:val="fr-FR"/>
        </w:rPr>
        <w:t>6</w:t>
      </w:r>
    </w:p>
    <w:p w14:paraId="340F2F56" w14:textId="7CE866A6" w:rsidR="00A60DA7" w:rsidRDefault="00A60DA7" w:rsidP="001912BD">
      <w:pPr>
        <w:tabs>
          <w:tab w:val="right" w:pos="850"/>
          <w:tab w:val="right" w:leader="dot" w:pos="8787"/>
          <w:tab w:val="right" w:pos="9638"/>
        </w:tabs>
        <w:spacing w:after="120"/>
        <w:ind w:left="1134" w:hanging="1134"/>
        <w:rPr>
          <w:lang w:val="fr-FR"/>
        </w:rPr>
      </w:pPr>
      <w:r>
        <w:rPr>
          <w:lang w:val="fr-FR"/>
        </w:rPr>
        <w:tab/>
      </w:r>
      <w:r>
        <w:rPr>
          <w:lang w:val="fr-FR"/>
        </w:rPr>
        <w:tab/>
      </w:r>
      <w:r w:rsidR="00F55240">
        <w:rPr>
          <w:lang w:val="fr-FR"/>
        </w:rPr>
        <w:t>Article 13</w:t>
      </w:r>
      <w:r w:rsidR="00F55240">
        <w:rPr>
          <w:lang w:val="fr-FR"/>
        </w:rPr>
        <w:tab/>
      </w:r>
      <w:r w:rsidR="00F55240">
        <w:rPr>
          <w:lang w:val="fr-FR"/>
        </w:rPr>
        <w:tab/>
      </w:r>
      <w:r w:rsidR="00E95C74">
        <w:rPr>
          <w:lang w:val="fr-FR"/>
        </w:rPr>
        <w:t>49</w:t>
      </w:r>
    </w:p>
    <w:p w14:paraId="67C05C5B" w14:textId="57EA1F83" w:rsidR="00F55240" w:rsidRDefault="00F55240" w:rsidP="001912BD">
      <w:pPr>
        <w:tabs>
          <w:tab w:val="right" w:pos="850"/>
          <w:tab w:val="right" w:leader="dot" w:pos="8787"/>
          <w:tab w:val="right" w:pos="9638"/>
        </w:tabs>
        <w:spacing w:after="120"/>
        <w:ind w:left="1134" w:hanging="1134"/>
        <w:rPr>
          <w:lang w:val="fr-FR"/>
        </w:rPr>
      </w:pPr>
      <w:r>
        <w:rPr>
          <w:lang w:val="fr-FR"/>
        </w:rPr>
        <w:tab/>
      </w:r>
      <w:r>
        <w:rPr>
          <w:lang w:val="fr-FR"/>
        </w:rPr>
        <w:tab/>
        <w:t>Article 14</w:t>
      </w:r>
      <w:r>
        <w:rPr>
          <w:lang w:val="fr-FR"/>
        </w:rPr>
        <w:tab/>
      </w:r>
      <w:r>
        <w:rPr>
          <w:lang w:val="fr-FR"/>
        </w:rPr>
        <w:tab/>
        <w:t>50</w:t>
      </w:r>
    </w:p>
    <w:p w14:paraId="4BC7D9DA" w14:textId="59F8B69E" w:rsidR="00F55240"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15</w:t>
      </w:r>
      <w:r>
        <w:rPr>
          <w:lang w:val="fr-FR"/>
        </w:rPr>
        <w:tab/>
      </w:r>
      <w:r>
        <w:rPr>
          <w:lang w:val="fr-FR"/>
        </w:rPr>
        <w:tab/>
        <w:t>55</w:t>
      </w:r>
    </w:p>
    <w:p w14:paraId="3582C35C" w14:textId="58D44CEF"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16</w:t>
      </w:r>
      <w:r>
        <w:rPr>
          <w:lang w:val="fr-FR"/>
        </w:rPr>
        <w:tab/>
      </w:r>
      <w:r>
        <w:rPr>
          <w:lang w:val="fr-FR"/>
        </w:rPr>
        <w:tab/>
        <w:t>5</w:t>
      </w:r>
      <w:r w:rsidR="00E95C74">
        <w:rPr>
          <w:lang w:val="fr-FR"/>
        </w:rPr>
        <w:t>5</w:t>
      </w:r>
    </w:p>
    <w:p w14:paraId="0D65ED98" w14:textId="0BAAC8B4"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17</w:t>
      </w:r>
      <w:r>
        <w:rPr>
          <w:lang w:val="fr-FR"/>
        </w:rPr>
        <w:tab/>
      </w:r>
      <w:r>
        <w:rPr>
          <w:lang w:val="fr-FR"/>
        </w:rPr>
        <w:tab/>
        <w:t>5</w:t>
      </w:r>
      <w:r w:rsidR="00E95C74">
        <w:rPr>
          <w:lang w:val="fr-FR"/>
        </w:rPr>
        <w:t>6</w:t>
      </w:r>
    </w:p>
    <w:p w14:paraId="7245ED99" w14:textId="60499EC0"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18</w:t>
      </w:r>
      <w:r>
        <w:rPr>
          <w:lang w:val="fr-FR"/>
        </w:rPr>
        <w:tab/>
      </w:r>
      <w:r>
        <w:rPr>
          <w:lang w:val="fr-FR"/>
        </w:rPr>
        <w:tab/>
        <w:t>58</w:t>
      </w:r>
    </w:p>
    <w:p w14:paraId="035C03CC" w14:textId="28DE566A"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19</w:t>
      </w:r>
      <w:r>
        <w:rPr>
          <w:lang w:val="fr-FR"/>
        </w:rPr>
        <w:tab/>
      </w:r>
      <w:r>
        <w:rPr>
          <w:lang w:val="fr-FR"/>
        </w:rPr>
        <w:tab/>
        <w:t>60</w:t>
      </w:r>
    </w:p>
    <w:p w14:paraId="74A5F15A" w14:textId="55772069"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20</w:t>
      </w:r>
      <w:r>
        <w:rPr>
          <w:lang w:val="fr-FR"/>
        </w:rPr>
        <w:tab/>
      </w:r>
      <w:r>
        <w:rPr>
          <w:lang w:val="fr-FR"/>
        </w:rPr>
        <w:tab/>
        <w:t>65</w:t>
      </w:r>
    </w:p>
    <w:p w14:paraId="56232DAA" w14:textId="350690E7"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21</w:t>
      </w:r>
      <w:r>
        <w:rPr>
          <w:lang w:val="fr-FR"/>
        </w:rPr>
        <w:tab/>
      </w:r>
      <w:r>
        <w:rPr>
          <w:lang w:val="fr-FR"/>
        </w:rPr>
        <w:tab/>
        <w:t>6</w:t>
      </w:r>
      <w:r w:rsidR="00E95C74">
        <w:rPr>
          <w:lang w:val="fr-FR"/>
        </w:rPr>
        <w:t>5</w:t>
      </w:r>
    </w:p>
    <w:p w14:paraId="02CD69B6" w14:textId="6EF40CE4"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22</w:t>
      </w:r>
      <w:r>
        <w:rPr>
          <w:lang w:val="fr-FR"/>
        </w:rPr>
        <w:tab/>
      </w:r>
      <w:r>
        <w:rPr>
          <w:lang w:val="fr-FR"/>
        </w:rPr>
        <w:tab/>
        <w:t>6</w:t>
      </w:r>
      <w:r w:rsidR="00E95C74">
        <w:rPr>
          <w:lang w:val="fr-FR"/>
        </w:rPr>
        <w:t>7</w:t>
      </w:r>
    </w:p>
    <w:p w14:paraId="03C743A4" w14:textId="384BA3D4"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23</w:t>
      </w:r>
      <w:r>
        <w:rPr>
          <w:lang w:val="fr-FR"/>
        </w:rPr>
        <w:tab/>
      </w:r>
      <w:r>
        <w:rPr>
          <w:lang w:val="fr-FR"/>
        </w:rPr>
        <w:tab/>
        <w:t>6</w:t>
      </w:r>
      <w:r w:rsidR="00E95C74">
        <w:rPr>
          <w:lang w:val="fr-FR"/>
        </w:rPr>
        <w:t>8</w:t>
      </w:r>
    </w:p>
    <w:p w14:paraId="50B6FB5B" w14:textId="0A393038" w:rsidR="009E2AB8" w:rsidRDefault="009E2AB8" w:rsidP="001912BD">
      <w:pPr>
        <w:tabs>
          <w:tab w:val="right" w:pos="850"/>
          <w:tab w:val="right" w:leader="dot" w:pos="8787"/>
          <w:tab w:val="right" w:pos="9638"/>
        </w:tabs>
        <w:spacing w:after="120"/>
        <w:ind w:left="1134" w:hanging="1134"/>
        <w:rPr>
          <w:lang w:val="fr-FR"/>
        </w:rPr>
      </w:pPr>
      <w:r>
        <w:rPr>
          <w:lang w:val="fr-FR"/>
        </w:rPr>
        <w:tab/>
      </w:r>
      <w:r>
        <w:rPr>
          <w:lang w:val="fr-FR"/>
        </w:rPr>
        <w:tab/>
        <w:t>Article 24</w:t>
      </w:r>
      <w:r>
        <w:rPr>
          <w:lang w:val="fr-FR"/>
        </w:rPr>
        <w:tab/>
      </w:r>
      <w:r>
        <w:rPr>
          <w:lang w:val="fr-FR"/>
        </w:rPr>
        <w:tab/>
        <w:t>7</w:t>
      </w:r>
      <w:r w:rsidR="00E95C74">
        <w:rPr>
          <w:lang w:val="fr-FR"/>
        </w:rPr>
        <w:t>0</w:t>
      </w:r>
    </w:p>
    <w:p w14:paraId="1291870C" w14:textId="23654BA7" w:rsidR="00DB57A3" w:rsidRDefault="00DB57A3" w:rsidP="001912BD">
      <w:pPr>
        <w:tabs>
          <w:tab w:val="right" w:pos="850"/>
          <w:tab w:val="right" w:leader="dot" w:pos="8787"/>
          <w:tab w:val="right" w:pos="9638"/>
        </w:tabs>
        <w:spacing w:after="120"/>
        <w:ind w:left="1134" w:hanging="1134"/>
        <w:rPr>
          <w:lang w:val="fr-FR"/>
        </w:rPr>
      </w:pPr>
      <w:r>
        <w:rPr>
          <w:lang w:val="fr-FR"/>
        </w:rPr>
        <w:tab/>
      </w:r>
      <w:r>
        <w:rPr>
          <w:lang w:val="fr-FR"/>
        </w:rPr>
        <w:tab/>
        <w:t>Article 25</w:t>
      </w:r>
      <w:r>
        <w:rPr>
          <w:lang w:val="fr-FR"/>
        </w:rPr>
        <w:tab/>
      </w:r>
      <w:r>
        <w:rPr>
          <w:lang w:val="fr-FR"/>
        </w:rPr>
        <w:tab/>
        <w:t>7</w:t>
      </w:r>
      <w:r w:rsidR="00E95C74">
        <w:rPr>
          <w:lang w:val="fr-FR"/>
        </w:rPr>
        <w:t>4</w:t>
      </w:r>
    </w:p>
    <w:p w14:paraId="0D6A82AB" w14:textId="193BA1D8" w:rsidR="009E2AB8" w:rsidRDefault="00DB57A3" w:rsidP="001912BD">
      <w:pPr>
        <w:tabs>
          <w:tab w:val="right" w:pos="850"/>
          <w:tab w:val="right" w:leader="dot" w:pos="8787"/>
          <w:tab w:val="right" w:pos="9638"/>
        </w:tabs>
        <w:spacing w:after="120"/>
        <w:ind w:left="1134" w:hanging="1134"/>
        <w:rPr>
          <w:lang w:val="fr-FR"/>
        </w:rPr>
      </w:pPr>
      <w:r>
        <w:rPr>
          <w:lang w:val="fr-FR"/>
        </w:rPr>
        <w:tab/>
      </w:r>
      <w:r>
        <w:rPr>
          <w:lang w:val="fr-FR"/>
        </w:rPr>
        <w:tab/>
        <w:t>Article 26</w:t>
      </w:r>
      <w:r>
        <w:rPr>
          <w:lang w:val="fr-FR"/>
        </w:rPr>
        <w:tab/>
      </w:r>
      <w:r>
        <w:rPr>
          <w:lang w:val="fr-FR"/>
        </w:rPr>
        <w:tab/>
        <w:t>7</w:t>
      </w:r>
      <w:r w:rsidR="00E95C74">
        <w:rPr>
          <w:lang w:val="fr-FR"/>
        </w:rPr>
        <w:t>6</w:t>
      </w:r>
    </w:p>
    <w:p w14:paraId="582AAA78" w14:textId="5A79E46C" w:rsidR="00DB57A3" w:rsidRDefault="00DB57A3" w:rsidP="001912BD">
      <w:pPr>
        <w:tabs>
          <w:tab w:val="right" w:pos="850"/>
          <w:tab w:val="right" w:leader="dot" w:pos="8787"/>
          <w:tab w:val="right" w:pos="9638"/>
        </w:tabs>
        <w:spacing w:after="120"/>
        <w:ind w:left="1134" w:hanging="1134"/>
        <w:rPr>
          <w:lang w:val="fr-FR"/>
        </w:rPr>
      </w:pPr>
      <w:r>
        <w:rPr>
          <w:lang w:val="fr-FR"/>
        </w:rPr>
        <w:tab/>
      </w:r>
      <w:r>
        <w:rPr>
          <w:lang w:val="fr-FR"/>
        </w:rPr>
        <w:tab/>
        <w:t>Article 27</w:t>
      </w:r>
      <w:r>
        <w:rPr>
          <w:lang w:val="fr-FR"/>
        </w:rPr>
        <w:tab/>
      </w:r>
      <w:r>
        <w:rPr>
          <w:lang w:val="fr-FR"/>
        </w:rPr>
        <w:tab/>
        <w:t>77</w:t>
      </w:r>
    </w:p>
    <w:p w14:paraId="00650BE5" w14:textId="77777777" w:rsidR="009E2AB8" w:rsidRDefault="009E2AB8" w:rsidP="001912BD">
      <w:pPr>
        <w:tabs>
          <w:tab w:val="right" w:pos="850"/>
          <w:tab w:val="right" w:leader="dot" w:pos="8787"/>
          <w:tab w:val="right" w:pos="9638"/>
        </w:tabs>
        <w:spacing w:after="120"/>
        <w:ind w:left="1134" w:hanging="1134"/>
      </w:pPr>
    </w:p>
    <w:p w14:paraId="36BD6DC0" w14:textId="3159309F" w:rsidR="001912BD" w:rsidRDefault="001912BD" w:rsidP="001912BD">
      <w:r>
        <w:br w:type="page"/>
      </w:r>
    </w:p>
    <w:p w14:paraId="0A06C502" w14:textId="5251511C" w:rsidR="00D005FA" w:rsidRPr="00310D49" w:rsidRDefault="00D005FA" w:rsidP="00D005FA">
      <w:pPr>
        <w:pStyle w:val="HChG"/>
        <w:rPr>
          <w:lang w:val="fr-FR"/>
        </w:rPr>
      </w:pPr>
      <w:r>
        <w:rPr>
          <w:lang w:val="fr-FR"/>
        </w:rPr>
        <w:lastRenderedPageBreak/>
        <w:tab/>
      </w:r>
      <w:r>
        <w:rPr>
          <w:lang w:val="fr-FR"/>
        </w:rPr>
        <w:tab/>
      </w:r>
      <w:r w:rsidRPr="00310D49">
        <w:rPr>
          <w:lang w:val="fr-FR"/>
        </w:rPr>
        <w:t>Introduction</w:t>
      </w:r>
    </w:p>
    <w:p w14:paraId="5C971206" w14:textId="0A62A220" w:rsidR="00D005FA" w:rsidRDefault="00D005FA" w:rsidP="00D005FA">
      <w:pPr>
        <w:pStyle w:val="SingleTxtG"/>
        <w:rPr>
          <w:lang w:val="fr-FR"/>
        </w:rPr>
      </w:pPr>
      <w:r w:rsidRPr="00D005FA">
        <w:rPr>
          <w:lang w:val="fr-FR"/>
        </w:rPr>
        <w:t>1.</w:t>
      </w:r>
      <w:r w:rsidRPr="00D005FA">
        <w:rPr>
          <w:lang w:val="fr-FR"/>
        </w:rPr>
        <w:tab/>
        <w:t>L</w:t>
      </w:r>
      <w:r w:rsidR="0035332C">
        <w:rPr>
          <w:lang w:val="fr-FR"/>
        </w:rPr>
        <w:t>’</w:t>
      </w:r>
      <w:r w:rsidRPr="00D005FA">
        <w:rPr>
          <w:lang w:val="fr-FR"/>
        </w:rPr>
        <w:t>État de Palestine a adhéré au Pacte international relatif aux droits civils et politiques le 1</w:t>
      </w:r>
      <w:r w:rsidRPr="00D005FA">
        <w:rPr>
          <w:vertAlign w:val="superscript"/>
          <w:lang w:val="fr-FR"/>
        </w:rPr>
        <w:t>er</w:t>
      </w:r>
      <w:r>
        <w:rPr>
          <w:lang w:val="fr-FR"/>
        </w:rPr>
        <w:t> </w:t>
      </w:r>
      <w:r w:rsidRPr="00D005FA">
        <w:rPr>
          <w:lang w:val="fr-FR"/>
        </w:rPr>
        <w:t>avril 2014 sans formuler la moindre réserve à ses articles.</w:t>
      </w:r>
      <w:r w:rsidR="00B02693">
        <w:rPr>
          <w:lang w:val="fr-FR"/>
        </w:rPr>
        <w:t xml:space="preserve"> </w:t>
      </w:r>
      <w:r w:rsidR="00D34EDF">
        <w:rPr>
          <w:lang w:val="fr-FR"/>
        </w:rPr>
        <w:t>L</w:t>
      </w:r>
      <w:r w:rsidR="00D34EDF" w:rsidRPr="00D005FA">
        <w:rPr>
          <w:lang w:val="fr-FR"/>
        </w:rPr>
        <w:t>’</w:t>
      </w:r>
      <w:r w:rsidR="00D34EDF">
        <w:rPr>
          <w:lang w:val="fr-FR"/>
        </w:rPr>
        <w:t>É</w:t>
      </w:r>
      <w:r w:rsidR="00D34EDF" w:rsidRPr="00D005FA">
        <w:rPr>
          <w:lang w:val="fr-FR"/>
        </w:rPr>
        <w:t>tat</w:t>
      </w:r>
      <w:r w:rsidRPr="00D005FA">
        <w:rPr>
          <w:lang w:val="fr-FR"/>
        </w:rPr>
        <w:t xml:space="preserve"> de la Palestine soumet son rapport initial dans le cadre de la mise en œuvre des dispositions du Pacte au niveau national et des obligations que lui impose l</w:t>
      </w:r>
      <w:r w:rsidR="0035332C">
        <w:rPr>
          <w:lang w:val="fr-FR"/>
        </w:rPr>
        <w:t>’</w:t>
      </w:r>
      <w:r w:rsidRPr="00D005FA">
        <w:rPr>
          <w:lang w:val="fr-FR"/>
        </w:rPr>
        <w:t>article 40 du Pacte. Le rapport présente les mesures et les cadres de référence nationaux, en particulier les composantes législatives, judiciaires, administratives et réglementaires relatives à l</w:t>
      </w:r>
      <w:r w:rsidR="0035332C">
        <w:rPr>
          <w:lang w:val="fr-FR"/>
        </w:rPr>
        <w:t>’</w:t>
      </w:r>
      <w:r w:rsidRPr="00D005FA">
        <w:rPr>
          <w:lang w:val="fr-FR"/>
        </w:rPr>
        <w:t>application des dispositions du Pacte, ainsi que les facteurs et difficultés entravant son application.</w:t>
      </w:r>
    </w:p>
    <w:p w14:paraId="38699439" w14:textId="0B9A72F2" w:rsidR="00D005FA" w:rsidRPr="00310D49" w:rsidRDefault="00D005FA" w:rsidP="00D005FA">
      <w:pPr>
        <w:pStyle w:val="SingleTxtG"/>
        <w:rPr>
          <w:lang w:val="fr-FR"/>
        </w:rPr>
      </w:pPr>
      <w:r w:rsidRPr="00310D49">
        <w:rPr>
          <w:lang w:val="fr-FR"/>
        </w:rPr>
        <w:t>2.</w:t>
      </w:r>
      <w:r w:rsidRPr="00310D49">
        <w:rPr>
          <w:lang w:val="fr-FR"/>
        </w:rPr>
        <w:tab/>
        <w:t>Le rapport fait état de la situation des droits énoncés par le Pacte sous l</w:t>
      </w:r>
      <w:r w:rsidR="0035332C">
        <w:rPr>
          <w:lang w:val="fr-FR"/>
        </w:rPr>
        <w:t>’</w:t>
      </w:r>
      <w:r w:rsidRPr="00310D49">
        <w:rPr>
          <w:lang w:val="fr-FR"/>
        </w:rPr>
        <w:t>occupation israélienne prolongée, ainsi que des crimes et violations graves et systématiques à grande échelle qui y sont associés. Il fait également état des tentatives du Gouvernement israélien d</w:t>
      </w:r>
      <w:r w:rsidR="0035332C">
        <w:rPr>
          <w:lang w:val="fr-FR"/>
        </w:rPr>
        <w:t>’</w:t>
      </w:r>
      <w:r w:rsidRPr="00310D49">
        <w:rPr>
          <w:lang w:val="fr-FR"/>
        </w:rPr>
        <w:t>adopter une vaste série de lois, d</w:t>
      </w:r>
      <w:r w:rsidR="0035332C">
        <w:rPr>
          <w:lang w:val="fr-FR"/>
        </w:rPr>
        <w:t>’</w:t>
      </w:r>
      <w:r w:rsidRPr="00310D49">
        <w:rPr>
          <w:lang w:val="fr-FR"/>
        </w:rPr>
        <w:t>ordonnances militaires et de politiques racistes illégales dans le but de renforcer son régime colonial, qui est le principal obstacle à l</w:t>
      </w:r>
      <w:r w:rsidR="0035332C">
        <w:rPr>
          <w:lang w:val="fr-FR"/>
        </w:rPr>
        <w:t>’</w:t>
      </w:r>
      <w:r w:rsidRPr="00310D49">
        <w:rPr>
          <w:lang w:val="fr-FR"/>
        </w:rPr>
        <w:t>exercice par le peuple palestinien de ses droits fondamentaux et inaliénables, notamment son droit à l</w:t>
      </w:r>
      <w:r w:rsidR="0035332C">
        <w:rPr>
          <w:lang w:val="fr-FR"/>
        </w:rPr>
        <w:t>’</w:t>
      </w:r>
      <w:r w:rsidRPr="00310D49">
        <w:rPr>
          <w:lang w:val="fr-FR"/>
        </w:rPr>
        <w:t>autodétermination.</w:t>
      </w:r>
    </w:p>
    <w:p w14:paraId="456832A9" w14:textId="50BFE5DF" w:rsidR="00D005FA" w:rsidRPr="00310D49" w:rsidRDefault="00D005FA" w:rsidP="00D005FA">
      <w:pPr>
        <w:pStyle w:val="SingleTxtG"/>
        <w:rPr>
          <w:lang w:val="fr-FR"/>
        </w:rPr>
      </w:pPr>
      <w:r w:rsidRPr="00310D49">
        <w:rPr>
          <w:lang w:val="fr-FR"/>
        </w:rPr>
        <w:t>3.</w:t>
      </w:r>
      <w:r w:rsidRPr="00310D49">
        <w:rPr>
          <w:lang w:val="fr-FR"/>
        </w:rPr>
        <w:tab/>
        <w:t>Le présent rapport a été élaboré par une commission gouvernementale composée de représentants des organismes publics concernés, en collaboration avec les organisations de la société civile compétentes. Pour établir le rapport, l</w:t>
      </w:r>
      <w:r w:rsidR="0035332C">
        <w:rPr>
          <w:lang w:val="fr-FR"/>
        </w:rPr>
        <w:t>’</w:t>
      </w:r>
      <w:r w:rsidRPr="00310D49">
        <w:rPr>
          <w:lang w:val="fr-FR"/>
        </w:rPr>
        <w:t>État de Palestine s</w:t>
      </w:r>
      <w:r w:rsidR="0035332C">
        <w:rPr>
          <w:lang w:val="fr-FR"/>
        </w:rPr>
        <w:t>’</w:t>
      </w:r>
      <w:r w:rsidRPr="00310D49">
        <w:rPr>
          <w:lang w:val="fr-FR"/>
        </w:rPr>
        <w:t>est appuyé sur les dispositions du Pacte, ainsi que sur les directives et les observations générales du Comité des droits de l</w:t>
      </w:r>
      <w:r w:rsidR="0035332C">
        <w:rPr>
          <w:lang w:val="fr-FR"/>
        </w:rPr>
        <w:t>’</w:t>
      </w:r>
      <w:r w:rsidRPr="00310D49">
        <w:rPr>
          <w:lang w:val="fr-FR"/>
        </w:rPr>
        <w:t>homme. Dans un esprit de partenariat et de dialogue au niveau national, une version préliminaire du rapport a été communiquée pour examen aux représentants des organisations de la société civile, qui ont également participé aux consultations nationales tenues en Cisjordanie, y compris Jérusalem, et dans la bande de Gaza et formulé des observations constructives qui sont venues enrichir le présent rapport. L</w:t>
      </w:r>
      <w:r w:rsidR="0035332C">
        <w:rPr>
          <w:lang w:val="fr-FR"/>
        </w:rPr>
        <w:t>’</w:t>
      </w:r>
      <w:r w:rsidRPr="00310D49">
        <w:rPr>
          <w:lang w:val="fr-FR"/>
        </w:rPr>
        <w:t>élaboration de ce dernier s</w:t>
      </w:r>
      <w:r w:rsidR="0035332C">
        <w:rPr>
          <w:lang w:val="fr-FR"/>
        </w:rPr>
        <w:t>’</w:t>
      </w:r>
      <w:r w:rsidRPr="00310D49">
        <w:rPr>
          <w:lang w:val="fr-FR"/>
        </w:rPr>
        <w:t>est déroulée parallèlement à l</w:t>
      </w:r>
      <w:r w:rsidR="0035332C">
        <w:rPr>
          <w:lang w:val="fr-FR"/>
        </w:rPr>
        <w:t>’</w:t>
      </w:r>
      <w:r w:rsidRPr="00310D49">
        <w:rPr>
          <w:lang w:val="fr-FR"/>
        </w:rPr>
        <w:t>élaboration du quatrième Plan national de développement, conformément à l</w:t>
      </w:r>
      <w:r w:rsidR="0035332C">
        <w:rPr>
          <w:lang w:val="fr-FR"/>
        </w:rPr>
        <w:t>’</w:t>
      </w:r>
      <w:r w:rsidRPr="00310D49">
        <w:rPr>
          <w:lang w:val="fr-FR"/>
        </w:rPr>
        <w:t>engagement pris par l</w:t>
      </w:r>
      <w:r w:rsidR="0035332C">
        <w:rPr>
          <w:lang w:val="fr-FR"/>
        </w:rPr>
        <w:t>’</w:t>
      </w:r>
      <w:r w:rsidRPr="00310D49">
        <w:rPr>
          <w:lang w:val="fr-FR"/>
        </w:rPr>
        <w:t xml:space="preserve">État de Palestine envers le Programme de développement durable des Nations Unies, dans lequel les droits civils et politiques ont toute leur place. </w:t>
      </w:r>
    </w:p>
    <w:p w14:paraId="496C6312" w14:textId="7F32ADB2" w:rsidR="00D005FA" w:rsidRPr="00310D49" w:rsidRDefault="00D005FA" w:rsidP="00D005FA">
      <w:pPr>
        <w:pStyle w:val="SingleTxtG"/>
        <w:rPr>
          <w:lang w:val="fr-FR"/>
        </w:rPr>
      </w:pPr>
      <w:r w:rsidRPr="00310D49">
        <w:rPr>
          <w:lang w:val="fr-FR"/>
        </w:rPr>
        <w:t>4.</w:t>
      </w:r>
      <w:r w:rsidRPr="00310D49">
        <w:rPr>
          <w:lang w:val="fr-FR"/>
        </w:rPr>
        <w:tab/>
        <w:t>Par ailleurs, l</w:t>
      </w:r>
      <w:r w:rsidR="0035332C">
        <w:rPr>
          <w:lang w:val="fr-FR"/>
        </w:rPr>
        <w:t>’</w:t>
      </w:r>
      <w:r w:rsidRPr="00310D49">
        <w:rPr>
          <w:lang w:val="fr-FR"/>
        </w:rPr>
        <w:t>État de Palestine affirme que la teneur du rapport n</w:t>
      </w:r>
      <w:r w:rsidR="0035332C">
        <w:rPr>
          <w:lang w:val="fr-FR"/>
        </w:rPr>
        <w:t>’</w:t>
      </w:r>
      <w:r w:rsidRPr="00310D49">
        <w:rPr>
          <w:lang w:val="fr-FR"/>
        </w:rPr>
        <w:t>exonère en aucune manière Israël, Puissance occupante, de ses responsabilités juridiques au regard du droit international, en particulier le droit international humanitaire et le droit international des droits de l</w:t>
      </w:r>
      <w:r w:rsidR="0035332C">
        <w:rPr>
          <w:lang w:val="fr-FR"/>
        </w:rPr>
        <w:t>’</w:t>
      </w:r>
      <w:r w:rsidRPr="00310D49">
        <w:rPr>
          <w:lang w:val="fr-FR"/>
        </w:rPr>
        <w:t>homme, et de l</w:t>
      </w:r>
      <w:r w:rsidR="0035332C">
        <w:rPr>
          <w:lang w:val="fr-FR"/>
        </w:rPr>
        <w:t>’</w:t>
      </w:r>
      <w:r w:rsidRPr="00310D49">
        <w:rPr>
          <w:lang w:val="fr-FR"/>
        </w:rPr>
        <w:t>avis consultatif donné en 2004 par la Cour internationale de Justice sur les conséquences juridiques de l</w:t>
      </w:r>
      <w:r w:rsidR="0035332C">
        <w:rPr>
          <w:lang w:val="fr-FR"/>
        </w:rPr>
        <w:t>’</w:t>
      </w:r>
      <w:r w:rsidRPr="00310D49">
        <w:rPr>
          <w:lang w:val="fr-FR"/>
        </w:rPr>
        <w:t>édification d</w:t>
      </w:r>
      <w:r w:rsidR="0035332C">
        <w:rPr>
          <w:lang w:val="fr-FR"/>
        </w:rPr>
        <w:t>’</w:t>
      </w:r>
      <w:r w:rsidRPr="00310D49">
        <w:rPr>
          <w:lang w:val="fr-FR"/>
        </w:rPr>
        <w:t>un mur dans le Territoire palestinien occupé et notamment de l</w:t>
      </w:r>
      <w:r w:rsidR="0035332C">
        <w:rPr>
          <w:lang w:val="fr-FR"/>
        </w:rPr>
        <w:t>’</w:t>
      </w:r>
      <w:r w:rsidRPr="00310D49">
        <w:rPr>
          <w:lang w:val="fr-FR"/>
        </w:rPr>
        <w:t>obligation pour Israël, Puissance occupante, de mettre en œuvre les dispositions du présent Pacte à l</w:t>
      </w:r>
      <w:r w:rsidR="0035332C">
        <w:rPr>
          <w:lang w:val="fr-FR"/>
        </w:rPr>
        <w:t>’</w:t>
      </w:r>
      <w:r w:rsidRPr="00310D49">
        <w:rPr>
          <w:lang w:val="fr-FR"/>
        </w:rPr>
        <w:t>égard des Palestiniens. En outre, le rapport ne porte en aucune manière atteinte au droit des Palestiniens d</w:t>
      </w:r>
      <w:r w:rsidR="0035332C">
        <w:rPr>
          <w:lang w:val="fr-FR"/>
        </w:rPr>
        <w:t>’</w:t>
      </w:r>
      <w:r w:rsidRPr="00310D49">
        <w:rPr>
          <w:lang w:val="fr-FR"/>
        </w:rPr>
        <w:t>exercer leurs droits historiques inaliénables, y compris leurs droits à l</w:t>
      </w:r>
      <w:r w:rsidR="0035332C">
        <w:rPr>
          <w:lang w:val="fr-FR"/>
        </w:rPr>
        <w:t>’</w:t>
      </w:r>
      <w:r w:rsidRPr="00310D49">
        <w:rPr>
          <w:lang w:val="fr-FR"/>
        </w:rPr>
        <w:t>autodétermination, au retour et à l</w:t>
      </w:r>
      <w:r w:rsidR="0035332C">
        <w:rPr>
          <w:lang w:val="fr-FR"/>
        </w:rPr>
        <w:t>’</w:t>
      </w:r>
      <w:r w:rsidRPr="00310D49">
        <w:rPr>
          <w:lang w:val="fr-FR"/>
        </w:rPr>
        <w:t xml:space="preserve">indépendance. </w:t>
      </w:r>
    </w:p>
    <w:p w14:paraId="5E219609" w14:textId="77777777" w:rsidR="00D005FA" w:rsidRPr="00310D49" w:rsidRDefault="00D005FA" w:rsidP="00D005FA">
      <w:pPr>
        <w:pStyle w:val="H1G"/>
        <w:rPr>
          <w:lang w:val="fr-FR"/>
        </w:rPr>
      </w:pPr>
      <w:r w:rsidRPr="00310D49">
        <w:rPr>
          <w:lang w:val="fr-FR"/>
        </w:rPr>
        <w:tab/>
      </w:r>
      <w:r w:rsidRPr="00310D49">
        <w:rPr>
          <w:lang w:val="fr-FR"/>
        </w:rPr>
        <w:tab/>
        <w:t>Article premier</w:t>
      </w:r>
      <w:bookmarkStart w:id="0" w:name="_Toc80715490"/>
      <w:bookmarkEnd w:id="0"/>
    </w:p>
    <w:p w14:paraId="4985B1B5" w14:textId="54C34EE3" w:rsidR="00D005FA" w:rsidRPr="00310D49" w:rsidRDefault="00D005FA" w:rsidP="00D005FA">
      <w:pPr>
        <w:pStyle w:val="SingleTxtG"/>
        <w:rPr>
          <w:lang w:val="fr-FR"/>
        </w:rPr>
      </w:pPr>
      <w:r w:rsidRPr="00310D49">
        <w:rPr>
          <w:lang w:val="fr-FR"/>
        </w:rPr>
        <w:t>5.</w:t>
      </w:r>
      <w:r w:rsidRPr="00310D49">
        <w:rPr>
          <w:lang w:val="fr-FR"/>
        </w:rPr>
        <w:tab/>
        <w:t>Les Palestiniens sont nés et ont continué de vivre sans interruption sur la terre de leurs ancêtres, la Palestine, où ils ont vécu pendant plus de dix mille ans en préservant leur identité nationale et en exerçant tous leurs droits, notamment le droit inaliénable à l</w:t>
      </w:r>
      <w:r w:rsidR="0035332C">
        <w:rPr>
          <w:lang w:val="fr-FR"/>
        </w:rPr>
        <w:t>’</w:t>
      </w:r>
      <w:r w:rsidRPr="00310D49">
        <w:rPr>
          <w:lang w:val="fr-FR"/>
        </w:rPr>
        <w:t>autodétermination. Malgré l</w:t>
      </w:r>
      <w:r w:rsidR="0035332C">
        <w:rPr>
          <w:lang w:val="fr-FR"/>
        </w:rPr>
        <w:t>’</w:t>
      </w:r>
      <w:r w:rsidRPr="00310D49">
        <w:rPr>
          <w:lang w:val="fr-FR"/>
        </w:rPr>
        <w:t>injustice historique que constitue l</w:t>
      </w:r>
      <w:r w:rsidR="0035332C">
        <w:rPr>
          <w:lang w:val="fr-FR"/>
        </w:rPr>
        <w:t>’</w:t>
      </w:r>
      <w:r w:rsidRPr="00310D49">
        <w:rPr>
          <w:lang w:val="fr-FR"/>
        </w:rPr>
        <w:t>occupation israélienne illégale prolongée infligée au peuple palestinien et le déni de son droit à l</w:t>
      </w:r>
      <w:r w:rsidR="0035332C">
        <w:rPr>
          <w:lang w:val="fr-FR"/>
        </w:rPr>
        <w:t>’</w:t>
      </w:r>
      <w:r w:rsidRPr="00310D49">
        <w:rPr>
          <w:lang w:val="fr-FR"/>
        </w:rPr>
        <w:t>autodétermination et à l</w:t>
      </w:r>
      <w:r w:rsidR="0035332C">
        <w:rPr>
          <w:lang w:val="fr-FR"/>
        </w:rPr>
        <w:t>’</w:t>
      </w:r>
      <w:r w:rsidRPr="00310D49">
        <w:rPr>
          <w:lang w:val="fr-FR"/>
        </w:rPr>
        <w:t>indépendance, ce peuple n</w:t>
      </w:r>
      <w:r w:rsidR="0035332C">
        <w:rPr>
          <w:lang w:val="fr-FR"/>
        </w:rPr>
        <w:t>’</w:t>
      </w:r>
      <w:r w:rsidRPr="00310D49">
        <w:rPr>
          <w:lang w:val="fr-FR"/>
        </w:rPr>
        <w:t>en demeure pas moins attaché à tous les droits qui lui sont reconnus et garantis par les instruments internationaux, les résolutions des Nations Unies, des institutions internationales, du Conseil des droits de l</w:t>
      </w:r>
      <w:r w:rsidR="0035332C">
        <w:rPr>
          <w:lang w:val="fr-FR"/>
        </w:rPr>
        <w:t>’</w:t>
      </w:r>
      <w:r w:rsidRPr="00310D49">
        <w:rPr>
          <w:lang w:val="fr-FR"/>
        </w:rPr>
        <w:t>homme et de l</w:t>
      </w:r>
      <w:r w:rsidR="0035332C">
        <w:rPr>
          <w:lang w:val="fr-FR"/>
        </w:rPr>
        <w:t>’</w:t>
      </w:r>
      <w:r w:rsidRPr="00310D49">
        <w:rPr>
          <w:lang w:val="fr-FR"/>
        </w:rPr>
        <w:t>Assemblée générale relatives au droit à l</w:t>
      </w:r>
      <w:r w:rsidR="0035332C">
        <w:rPr>
          <w:lang w:val="fr-FR"/>
        </w:rPr>
        <w:t>’</w:t>
      </w:r>
      <w:r w:rsidRPr="00310D49">
        <w:rPr>
          <w:lang w:val="fr-FR"/>
        </w:rPr>
        <w:t>autodétermination des peuples, notamment le droit à l</w:t>
      </w:r>
      <w:r w:rsidR="0035332C">
        <w:rPr>
          <w:lang w:val="fr-FR"/>
        </w:rPr>
        <w:t>’</w:t>
      </w:r>
      <w:r w:rsidRPr="00310D49">
        <w:rPr>
          <w:lang w:val="fr-FR"/>
        </w:rPr>
        <w:t xml:space="preserve">autodétermination du peuple palestinien, ainsi que par les résolutions 181 (1947), 194 (1948) et les résolutions du Conseil de sécurité 242 (1967), 338 (1973) et 2334 (2016). </w:t>
      </w:r>
    </w:p>
    <w:p w14:paraId="28FF4FD0" w14:textId="26537763" w:rsidR="00D005FA" w:rsidRPr="00310D49" w:rsidRDefault="00D005FA" w:rsidP="00D005FA">
      <w:pPr>
        <w:pStyle w:val="SingleTxtG"/>
        <w:rPr>
          <w:spacing w:val="-2"/>
          <w:lang w:val="fr-FR"/>
        </w:rPr>
      </w:pPr>
      <w:r w:rsidRPr="00310D49">
        <w:rPr>
          <w:lang w:val="fr-FR"/>
        </w:rPr>
        <w:t>6.</w:t>
      </w:r>
      <w:r w:rsidRPr="00310D49">
        <w:rPr>
          <w:lang w:val="fr-FR"/>
        </w:rPr>
        <w:tab/>
        <w:t>L</w:t>
      </w:r>
      <w:r w:rsidR="0035332C">
        <w:rPr>
          <w:lang w:val="fr-FR"/>
        </w:rPr>
        <w:t>’</w:t>
      </w:r>
      <w:r w:rsidRPr="00310D49">
        <w:rPr>
          <w:lang w:val="fr-FR"/>
        </w:rPr>
        <w:t>Organisation de libération de la Palestine (OLP) a été créée en tant que cadre politique global et représentant légitime et unique du peuple palestinien, reconnue en tant que telle par les Nations Unies et la communauté internationale. L</w:t>
      </w:r>
      <w:r w:rsidR="0035332C">
        <w:rPr>
          <w:lang w:val="fr-FR"/>
        </w:rPr>
        <w:t>’</w:t>
      </w:r>
      <w:r w:rsidRPr="00310D49">
        <w:rPr>
          <w:lang w:val="fr-FR"/>
        </w:rPr>
        <w:t xml:space="preserve">OLP a conduit la marche du peuple palestinien vers la réalisation de ses droits inaliénables, notamment le droit à </w:t>
      </w:r>
      <w:r w:rsidRPr="00310D49">
        <w:rPr>
          <w:lang w:val="fr-FR"/>
        </w:rPr>
        <w:lastRenderedPageBreak/>
        <w:t>l</w:t>
      </w:r>
      <w:r w:rsidR="0035332C">
        <w:rPr>
          <w:lang w:val="fr-FR"/>
        </w:rPr>
        <w:t>’</w:t>
      </w:r>
      <w:r w:rsidRPr="00310D49">
        <w:rPr>
          <w:lang w:val="fr-FR"/>
        </w:rPr>
        <w:t>autodétermination, au retour et à l</w:t>
      </w:r>
      <w:r w:rsidR="0035332C">
        <w:rPr>
          <w:lang w:val="fr-FR"/>
        </w:rPr>
        <w:t>’</w:t>
      </w:r>
      <w:r w:rsidRPr="00310D49">
        <w:rPr>
          <w:lang w:val="fr-FR"/>
        </w:rPr>
        <w:t>indépendance de l</w:t>
      </w:r>
      <w:r w:rsidR="0035332C">
        <w:rPr>
          <w:lang w:val="fr-FR"/>
        </w:rPr>
        <w:t>’</w:t>
      </w:r>
      <w:r w:rsidRPr="00310D49">
        <w:rPr>
          <w:lang w:val="fr-FR"/>
        </w:rPr>
        <w:t>État de Palestine avec Jérusalem comme capitale, en vertu du droit naturel, historique et juridique du peuple arabe palestinien à sa patrie, la Palestine.</w:t>
      </w:r>
    </w:p>
    <w:p w14:paraId="65A596FB" w14:textId="3BD2002F" w:rsidR="00D005FA" w:rsidRPr="00310D49" w:rsidRDefault="00D005FA" w:rsidP="00D005FA">
      <w:pPr>
        <w:pStyle w:val="SingleTxtG"/>
        <w:rPr>
          <w:lang w:val="fr-FR"/>
        </w:rPr>
      </w:pPr>
      <w:r w:rsidRPr="005B1852">
        <w:rPr>
          <w:lang w:val="fr-FR"/>
        </w:rPr>
        <w:t>7.</w:t>
      </w:r>
      <w:r w:rsidRPr="005B1852">
        <w:rPr>
          <w:lang w:val="fr-FR"/>
        </w:rPr>
        <w:tab/>
        <w:t>Le Conseil</w:t>
      </w:r>
      <w:r w:rsidRPr="00310D49">
        <w:rPr>
          <w:lang w:val="fr-FR"/>
        </w:rPr>
        <w:t xml:space="preserve"> national palestinien a adopté la Charte nationale et le statut fondamental de l</w:t>
      </w:r>
      <w:r w:rsidR="0035332C">
        <w:rPr>
          <w:lang w:val="fr-FR"/>
        </w:rPr>
        <w:t>’</w:t>
      </w:r>
      <w:r w:rsidRPr="00310D49">
        <w:rPr>
          <w:lang w:val="fr-FR"/>
        </w:rPr>
        <w:t>Organisation qui constituent, ensemble, le cadre constitutionnel fondamental régissant l</w:t>
      </w:r>
      <w:r w:rsidR="0035332C">
        <w:rPr>
          <w:lang w:val="fr-FR"/>
        </w:rPr>
        <w:t>’</w:t>
      </w:r>
      <w:r w:rsidRPr="00310D49">
        <w:rPr>
          <w:lang w:val="fr-FR"/>
        </w:rPr>
        <w:t>exercice du droit du peuple palestinien à l</w:t>
      </w:r>
      <w:r w:rsidR="0035332C">
        <w:rPr>
          <w:lang w:val="fr-FR"/>
        </w:rPr>
        <w:t>’</w:t>
      </w:r>
      <w:r w:rsidRPr="00310D49">
        <w:rPr>
          <w:lang w:val="fr-FR"/>
        </w:rPr>
        <w:t>autodétermination. La Charte réglemente les travaux du Conseil national en tant qu</w:t>
      </w:r>
      <w:r w:rsidR="0035332C">
        <w:rPr>
          <w:lang w:val="fr-FR"/>
        </w:rPr>
        <w:t>’</w:t>
      </w:r>
      <w:r w:rsidRPr="00310D49">
        <w:rPr>
          <w:lang w:val="fr-FR"/>
        </w:rPr>
        <w:t>institution représentative du peuple palestinien et autorité législative suprême et prévoit la création d</w:t>
      </w:r>
      <w:r w:rsidR="0035332C">
        <w:rPr>
          <w:lang w:val="fr-FR"/>
        </w:rPr>
        <w:t>’</w:t>
      </w:r>
      <w:r w:rsidRPr="00310D49">
        <w:rPr>
          <w:lang w:val="fr-FR"/>
        </w:rPr>
        <w:t>un comité exécutif en tant qu</w:t>
      </w:r>
      <w:r w:rsidR="0035332C">
        <w:rPr>
          <w:lang w:val="fr-FR"/>
        </w:rPr>
        <w:t>’</w:t>
      </w:r>
      <w:r w:rsidRPr="00310D49">
        <w:rPr>
          <w:lang w:val="fr-FR"/>
        </w:rPr>
        <w:t xml:space="preserve">organe exécutif. </w:t>
      </w:r>
    </w:p>
    <w:p w14:paraId="1C9E12C6" w14:textId="3981B20F" w:rsidR="00D005FA" w:rsidRPr="00310D49" w:rsidRDefault="00D005FA" w:rsidP="00D005FA">
      <w:pPr>
        <w:pStyle w:val="SingleTxtG"/>
        <w:rPr>
          <w:spacing w:val="-4"/>
          <w:lang w:val="fr-FR"/>
        </w:rPr>
      </w:pPr>
      <w:r w:rsidRPr="00310D49">
        <w:rPr>
          <w:lang w:val="fr-FR"/>
        </w:rPr>
        <w:t>8.</w:t>
      </w:r>
      <w:r w:rsidRPr="00310D49">
        <w:rPr>
          <w:lang w:val="fr-FR"/>
        </w:rPr>
        <w:tab/>
        <w:t>L</w:t>
      </w:r>
      <w:r w:rsidR="0035332C">
        <w:rPr>
          <w:lang w:val="fr-FR"/>
        </w:rPr>
        <w:t>’</w:t>
      </w:r>
      <w:r w:rsidRPr="00310D49">
        <w:rPr>
          <w:lang w:val="fr-FR"/>
        </w:rPr>
        <w:t>État de Palestine reconnaît le droit à l</w:t>
      </w:r>
      <w:r w:rsidR="0035332C">
        <w:rPr>
          <w:lang w:val="fr-FR"/>
        </w:rPr>
        <w:t>’</w:t>
      </w:r>
      <w:r w:rsidRPr="00310D49">
        <w:rPr>
          <w:lang w:val="fr-FR"/>
        </w:rPr>
        <w:t>autodétermination de tous, consacré dans la Déclaration d</w:t>
      </w:r>
      <w:r w:rsidR="0035332C">
        <w:rPr>
          <w:lang w:val="fr-FR"/>
        </w:rPr>
        <w:t>’</w:t>
      </w:r>
      <w:r w:rsidRPr="00310D49">
        <w:rPr>
          <w:lang w:val="fr-FR"/>
        </w:rPr>
        <w:t>indépendance qui incarne la volonté nationale palestinienne représentée par l</w:t>
      </w:r>
      <w:r w:rsidR="0035332C">
        <w:rPr>
          <w:lang w:val="fr-FR"/>
        </w:rPr>
        <w:t>’</w:t>
      </w:r>
      <w:r w:rsidRPr="00310D49">
        <w:rPr>
          <w:lang w:val="fr-FR"/>
        </w:rPr>
        <w:t>Organisation de libération de la Palestine, le seul représentant légitime du peuple palestinien.</w:t>
      </w:r>
    </w:p>
    <w:p w14:paraId="7742E582" w14:textId="7D4C190F" w:rsidR="00D005FA" w:rsidRPr="00310D49" w:rsidRDefault="00D005FA" w:rsidP="00D005FA">
      <w:pPr>
        <w:pStyle w:val="SingleTxtG"/>
        <w:rPr>
          <w:lang w:val="fr-FR"/>
        </w:rPr>
      </w:pPr>
      <w:r w:rsidRPr="00310D49">
        <w:rPr>
          <w:lang w:val="fr-FR"/>
        </w:rPr>
        <w:t>9.</w:t>
      </w:r>
      <w:r w:rsidRPr="00310D49">
        <w:rPr>
          <w:lang w:val="fr-FR"/>
        </w:rPr>
        <w:tab/>
        <w:t>La Déclaration d</w:t>
      </w:r>
      <w:r w:rsidR="0035332C">
        <w:rPr>
          <w:lang w:val="fr-FR"/>
        </w:rPr>
        <w:t>’</w:t>
      </w:r>
      <w:r w:rsidRPr="00310D49">
        <w:rPr>
          <w:lang w:val="fr-FR"/>
        </w:rPr>
        <w:t>indépendance, qui sert de document fondateur de la Constitution, confirme l</w:t>
      </w:r>
      <w:r w:rsidR="0035332C">
        <w:rPr>
          <w:lang w:val="fr-FR"/>
        </w:rPr>
        <w:t>’</w:t>
      </w:r>
      <w:r w:rsidRPr="00310D49">
        <w:rPr>
          <w:lang w:val="fr-FR"/>
        </w:rPr>
        <w:t>adhésion de l</w:t>
      </w:r>
      <w:r w:rsidR="0035332C">
        <w:rPr>
          <w:lang w:val="fr-FR"/>
        </w:rPr>
        <w:t>’</w:t>
      </w:r>
      <w:r w:rsidRPr="00310D49">
        <w:rPr>
          <w:lang w:val="fr-FR"/>
        </w:rPr>
        <w:t>État de Palestine aux principes et objectifs de l</w:t>
      </w:r>
      <w:r w:rsidR="0035332C">
        <w:rPr>
          <w:lang w:val="fr-FR"/>
        </w:rPr>
        <w:t>’</w:t>
      </w:r>
      <w:r w:rsidRPr="00310D49">
        <w:rPr>
          <w:lang w:val="fr-FR"/>
        </w:rPr>
        <w:t>Organisation des Nations Unies et de la Déclaration universelle des droits de l</w:t>
      </w:r>
      <w:r w:rsidR="0035332C">
        <w:rPr>
          <w:lang w:val="fr-FR"/>
        </w:rPr>
        <w:t>’</w:t>
      </w:r>
      <w:r w:rsidRPr="00310D49">
        <w:rPr>
          <w:lang w:val="fr-FR"/>
        </w:rPr>
        <w:t>homme et dispose que l</w:t>
      </w:r>
      <w:r w:rsidR="0035332C">
        <w:rPr>
          <w:lang w:val="fr-FR"/>
        </w:rPr>
        <w:t>’</w:t>
      </w:r>
      <w:r w:rsidRPr="00310D49">
        <w:rPr>
          <w:lang w:val="fr-FR"/>
        </w:rPr>
        <w:t>État de Palestine est au service de tous les Palestiniens, où qu</w:t>
      </w:r>
      <w:r w:rsidR="0035332C">
        <w:rPr>
          <w:lang w:val="fr-FR"/>
        </w:rPr>
        <w:t>’</w:t>
      </w:r>
      <w:r w:rsidRPr="00310D49">
        <w:rPr>
          <w:lang w:val="fr-FR"/>
        </w:rPr>
        <w:t>ils soient, afin que puisse s</w:t>
      </w:r>
      <w:r w:rsidR="0035332C">
        <w:rPr>
          <w:lang w:val="fr-FR"/>
        </w:rPr>
        <w:t>’</w:t>
      </w:r>
      <w:r w:rsidRPr="00310D49">
        <w:rPr>
          <w:lang w:val="fr-FR"/>
        </w:rPr>
        <w:t>épanouir leur identité nationale et culturelle et qu</w:t>
      </w:r>
      <w:r w:rsidR="0035332C">
        <w:rPr>
          <w:lang w:val="fr-FR"/>
        </w:rPr>
        <w:t>’</w:t>
      </w:r>
      <w:r w:rsidRPr="00310D49">
        <w:rPr>
          <w:lang w:val="fr-FR"/>
        </w:rPr>
        <w:t>ils puissent jouir de la pleine égalité de leurs droits, pratiquer librement leur religion et exprimer leurs convictions politiques, dans le respect de leur dignité humaine, au sein d</w:t>
      </w:r>
      <w:r w:rsidR="0035332C">
        <w:rPr>
          <w:lang w:val="fr-FR"/>
        </w:rPr>
        <w:t>’</w:t>
      </w:r>
      <w:r w:rsidRPr="00310D49">
        <w:rPr>
          <w:lang w:val="fr-FR"/>
        </w:rPr>
        <w:t>un régime démocratique parlementaire consacrant la liberté d</w:t>
      </w:r>
      <w:r w:rsidR="0035332C">
        <w:rPr>
          <w:lang w:val="fr-FR"/>
        </w:rPr>
        <w:t>’</w:t>
      </w:r>
      <w:r w:rsidRPr="00310D49">
        <w:rPr>
          <w:lang w:val="fr-FR"/>
        </w:rPr>
        <w:t>opinion, le droit de constituer des partis politiques, le respect par la majorité des droits de la minorité et le respect par la minorité des décisions de la majorité</w:t>
      </w:r>
      <w:r w:rsidR="00B02693">
        <w:rPr>
          <w:lang w:val="fr-FR"/>
        </w:rPr>
        <w:t> </w:t>
      </w:r>
      <w:r w:rsidRPr="00310D49">
        <w:rPr>
          <w:lang w:val="fr-FR"/>
        </w:rPr>
        <w:t>; fondé sur la justice sociale, l</w:t>
      </w:r>
      <w:r w:rsidR="0035332C">
        <w:rPr>
          <w:lang w:val="fr-FR"/>
        </w:rPr>
        <w:t>’</w:t>
      </w:r>
      <w:r w:rsidRPr="00310D49">
        <w:rPr>
          <w:lang w:val="fr-FR"/>
        </w:rPr>
        <w:t>égalité et l</w:t>
      </w:r>
      <w:r w:rsidR="0035332C">
        <w:rPr>
          <w:lang w:val="fr-FR"/>
        </w:rPr>
        <w:t>’</w:t>
      </w:r>
      <w:r w:rsidRPr="00310D49">
        <w:rPr>
          <w:lang w:val="fr-FR"/>
        </w:rPr>
        <w:t>absence de toute forme de discrimination en raison de la race, de la religion, de la couleur et du sexe, dans le cadre d</w:t>
      </w:r>
      <w:r w:rsidR="0035332C">
        <w:rPr>
          <w:lang w:val="fr-FR"/>
        </w:rPr>
        <w:t>’</w:t>
      </w:r>
      <w:r w:rsidRPr="00310D49">
        <w:rPr>
          <w:lang w:val="fr-FR"/>
        </w:rPr>
        <w:t>une Constitution garantissant la primauté de la loi et l</w:t>
      </w:r>
      <w:r w:rsidR="0035332C">
        <w:rPr>
          <w:lang w:val="fr-FR"/>
        </w:rPr>
        <w:t>’</w:t>
      </w:r>
      <w:r w:rsidRPr="00310D49">
        <w:rPr>
          <w:lang w:val="fr-FR"/>
        </w:rPr>
        <w:t>indépendance de la justice, conformément à l</w:t>
      </w:r>
      <w:r w:rsidR="0035332C">
        <w:rPr>
          <w:lang w:val="fr-FR"/>
        </w:rPr>
        <w:t>’</w:t>
      </w:r>
      <w:r w:rsidRPr="00310D49">
        <w:rPr>
          <w:lang w:val="fr-FR"/>
        </w:rPr>
        <w:t>esprit des traditions séculaires de la civilisation palestinienne en termes de tolérance et de coexistence pacifique entre communautés religieuses.</w:t>
      </w:r>
    </w:p>
    <w:p w14:paraId="5C6B932D" w14:textId="688B9A21" w:rsidR="00D005FA" w:rsidRPr="00310D49" w:rsidRDefault="00D005FA" w:rsidP="00D005FA">
      <w:pPr>
        <w:pStyle w:val="SingleTxtG"/>
        <w:rPr>
          <w:lang w:val="fr-FR"/>
        </w:rPr>
      </w:pPr>
      <w:r w:rsidRPr="00310D49">
        <w:rPr>
          <w:lang w:val="fr-FR"/>
        </w:rPr>
        <w:t>10.</w:t>
      </w:r>
      <w:r w:rsidRPr="00310D49">
        <w:rPr>
          <w:lang w:val="fr-FR"/>
        </w:rPr>
        <w:tab/>
        <w:t>Le Gouvernement palestinien a adopté la Loi fondamentale palestinienne en 2001 et l</w:t>
      </w:r>
      <w:r w:rsidR="0035332C">
        <w:rPr>
          <w:lang w:val="fr-FR"/>
        </w:rPr>
        <w:t>’</w:t>
      </w:r>
      <w:r w:rsidRPr="00310D49">
        <w:rPr>
          <w:lang w:val="fr-FR"/>
        </w:rPr>
        <w:t>a modifiée en 2003, en tant que document provisoire garantissant les droits et principes fondamentaux nécessaires à l</w:t>
      </w:r>
      <w:r w:rsidR="0035332C">
        <w:rPr>
          <w:lang w:val="fr-FR"/>
        </w:rPr>
        <w:t>’</w:t>
      </w:r>
      <w:r w:rsidRPr="00310D49">
        <w:rPr>
          <w:lang w:val="fr-FR"/>
        </w:rPr>
        <w:t>exercice de son droit à l</w:t>
      </w:r>
      <w:r w:rsidR="0035332C">
        <w:rPr>
          <w:lang w:val="fr-FR"/>
        </w:rPr>
        <w:t>’</w:t>
      </w:r>
      <w:r w:rsidRPr="00310D49">
        <w:rPr>
          <w:lang w:val="fr-FR"/>
        </w:rPr>
        <w:t>autodétermination par le peuple palestinien et au déploiement du processus politique de sa mise en œuvre, en attendant l</w:t>
      </w:r>
      <w:r w:rsidR="0035332C">
        <w:rPr>
          <w:lang w:val="fr-FR"/>
        </w:rPr>
        <w:t>’</w:t>
      </w:r>
      <w:r w:rsidRPr="00310D49">
        <w:rPr>
          <w:lang w:val="fr-FR"/>
        </w:rPr>
        <w:t>adoption de la Constitution officielle de l</w:t>
      </w:r>
      <w:r w:rsidR="0035332C">
        <w:rPr>
          <w:lang w:val="fr-FR"/>
        </w:rPr>
        <w:t>’</w:t>
      </w:r>
      <w:r w:rsidRPr="00310D49">
        <w:rPr>
          <w:lang w:val="fr-FR"/>
        </w:rPr>
        <w:t>État de Palestine.</w:t>
      </w:r>
    </w:p>
    <w:p w14:paraId="25FA155E" w14:textId="2623B0D4" w:rsidR="00D005FA" w:rsidRPr="00310D49" w:rsidRDefault="00D005FA" w:rsidP="00D005FA">
      <w:pPr>
        <w:pStyle w:val="SingleTxtG"/>
        <w:ind w:firstLine="567"/>
        <w:rPr>
          <w:lang w:val="fr-FR"/>
        </w:rPr>
      </w:pPr>
      <w:r w:rsidRPr="00310D49">
        <w:rPr>
          <w:lang w:val="fr-FR"/>
        </w:rPr>
        <w:t>Plusieurs articles de la Loi fondamentale palestinienne, telle que modifiée en 2003, consacrent le droit du peuple palestinien à l</w:t>
      </w:r>
      <w:r w:rsidR="0035332C">
        <w:rPr>
          <w:lang w:val="fr-FR"/>
        </w:rPr>
        <w:t>’</w:t>
      </w:r>
      <w:r w:rsidRPr="00310D49">
        <w:rPr>
          <w:lang w:val="fr-FR"/>
        </w:rPr>
        <w:t>autodétermination, notamment</w:t>
      </w:r>
      <w:r w:rsidR="00B02693">
        <w:rPr>
          <w:lang w:val="fr-FR"/>
        </w:rPr>
        <w:t> </w:t>
      </w:r>
      <w:r w:rsidRPr="00310D49">
        <w:rPr>
          <w:lang w:val="fr-FR"/>
        </w:rPr>
        <w:t xml:space="preserve">: </w:t>
      </w:r>
    </w:p>
    <w:p w14:paraId="06127FD5" w14:textId="30F52576" w:rsidR="00D005FA" w:rsidRPr="00310D49" w:rsidRDefault="005B1852" w:rsidP="00D005FA">
      <w:pPr>
        <w:pStyle w:val="Bullet1G"/>
        <w:rPr>
          <w:lang w:val="fr-FR"/>
        </w:rPr>
      </w:pPr>
      <w:r>
        <w:rPr>
          <w:lang w:val="fr-FR"/>
        </w:rPr>
        <w:t>L</w:t>
      </w:r>
      <w:r w:rsidR="0035332C">
        <w:rPr>
          <w:lang w:val="fr-FR"/>
        </w:rPr>
        <w:t>’</w:t>
      </w:r>
      <w:r w:rsidR="00D005FA" w:rsidRPr="00310D49">
        <w:rPr>
          <w:lang w:val="fr-FR"/>
        </w:rPr>
        <w:t>article 2, qui dispose que le peuple est la source de tous les pouvoirs</w:t>
      </w:r>
      <w:r w:rsidR="00B02693">
        <w:rPr>
          <w:lang w:val="fr-FR"/>
        </w:rPr>
        <w:t> </w:t>
      </w:r>
      <w:r w:rsidR="00D005FA" w:rsidRPr="00310D49">
        <w:rPr>
          <w:lang w:val="fr-FR"/>
        </w:rPr>
        <w:t>;</w:t>
      </w:r>
    </w:p>
    <w:p w14:paraId="0EBEC933" w14:textId="03A7F889" w:rsidR="00D005FA" w:rsidRPr="00310D49" w:rsidRDefault="005B1852" w:rsidP="00D005FA">
      <w:pPr>
        <w:pStyle w:val="Bullet1G"/>
        <w:rPr>
          <w:lang w:val="fr-FR"/>
        </w:rPr>
      </w:pPr>
      <w:r>
        <w:rPr>
          <w:lang w:val="fr-FR"/>
        </w:rPr>
        <w:t>L</w:t>
      </w:r>
      <w:r w:rsidR="0035332C">
        <w:rPr>
          <w:lang w:val="fr-FR"/>
        </w:rPr>
        <w:t>’</w:t>
      </w:r>
      <w:r w:rsidR="00D005FA" w:rsidRPr="00310D49">
        <w:rPr>
          <w:lang w:val="fr-FR"/>
        </w:rPr>
        <w:t>article 5, selon lequel le système de gouvernement en Palestine est la démocratie</w:t>
      </w:r>
      <w:r w:rsidR="00B02693">
        <w:rPr>
          <w:lang w:val="fr-FR"/>
        </w:rPr>
        <w:t> </w:t>
      </w:r>
      <w:r w:rsidR="00D005FA" w:rsidRPr="00310D49">
        <w:rPr>
          <w:lang w:val="fr-FR"/>
        </w:rPr>
        <w:t>;</w:t>
      </w:r>
    </w:p>
    <w:p w14:paraId="4839738E" w14:textId="4E0CA7BF" w:rsidR="00D005FA" w:rsidRPr="00310D49" w:rsidRDefault="005B1852" w:rsidP="00D005FA">
      <w:pPr>
        <w:pStyle w:val="Bullet1G"/>
        <w:rPr>
          <w:lang w:val="fr-FR"/>
        </w:rPr>
      </w:pPr>
      <w:r>
        <w:rPr>
          <w:lang w:val="fr-FR"/>
        </w:rPr>
        <w:t>L</w:t>
      </w:r>
      <w:r w:rsidR="0035332C">
        <w:rPr>
          <w:lang w:val="fr-FR"/>
        </w:rPr>
        <w:t>’</w:t>
      </w:r>
      <w:r w:rsidR="00D005FA" w:rsidRPr="00310D49">
        <w:rPr>
          <w:lang w:val="fr-FR"/>
        </w:rPr>
        <w:t xml:space="preserve">article 26, qui affirme le droit des Palestiniens de participer à la vie politique. </w:t>
      </w:r>
    </w:p>
    <w:p w14:paraId="5F12FA1B" w14:textId="06FA8AE7" w:rsidR="00D005FA" w:rsidRPr="00310D49" w:rsidRDefault="00D005FA" w:rsidP="00D005FA">
      <w:pPr>
        <w:pStyle w:val="SingleTxtG"/>
        <w:rPr>
          <w:spacing w:val="-4"/>
          <w:lang w:val="fr-FR"/>
        </w:rPr>
      </w:pPr>
      <w:r w:rsidRPr="00310D49">
        <w:rPr>
          <w:lang w:val="fr-FR"/>
        </w:rPr>
        <w:t>11.</w:t>
      </w:r>
      <w:r w:rsidRPr="00310D49">
        <w:rPr>
          <w:lang w:val="fr-FR"/>
        </w:rPr>
        <w:tab/>
        <w:t>La Loi fondamentale a introduit plusieurs dispositions relatives à la participation à la vie politique et au système de gouvernance démocratique, via l</w:t>
      </w:r>
      <w:r w:rsidR="0035332C">
        <w:rPr>
          <w:lang w:val="fr-FR"/>
        </w:rPr>
        <w:t>’</w:t>
      </w:r>
      <w:r w:rsidRPr="00310D49">
        <w:rPr>
          <w:lang w:val="fr-FR"/>
        </w:rPr>
        <w:t>élection du chef de l</w:t>
      </w:r>
      <w:r w:rsidR="0035332C">
        <w:rPr>
          <w:lang w:val="fr-FR"/>
        </w:rPr>
        <w:t>’</w:t>
      </w:r>
      <w:r w:rsidRPr="00310D49">
        <w:rPr>
          <w:lang w:val="fr-FR"/>
        </w:rPr>
        <w:t>État (art.</w:t>
      </w:r>
      <w:r>
        <w:rPr>
          <w:lang w:val="fr-FR"/>
        </w:rPr>
        <w:t> </w:t>
      </w:r>
      <w:r w:rsidRPr="00310D49">
        <w:rPr>
          <w:lang w:val="fr-FR"/>
        </w:rPr>
        <w:t>34) et des membres du Conseil législatif, ainsi que la détermination du rôle de ce dernier (art.</w:t>
      </w:r>
      <w:r>
        <w:rPr>
          <w:lang w:val="fr-FR"/>
        </w:rPr>
        <w:t> </w:t>
      </w:r>
      <w:r w:rsidRPr="00310D49">
        <w:rPr>
          <w:lang w:val="fr-FR"/>
        </w:rPr>
        <w:t>47) et de sa composition (art.</w:t>
      </w:r>
      <w:r>
        <w:rPr>
          <w:lang w:val="fr-FR"/>
        </w:rPr>
        <w:t> </w:t>
      </w:r>
      <w:r w:rsidRPr="00310D49">
        <w:rPr>
          <w:lang w:val="fr-FR"/>
        </w:rPr>
        <w:t>48), afin de concrétiser le droit à l</w:t>
      </w:r>
      <w:r w:rsidR="0035332C">
        <w:rPr>
          <w:lang w:val="fr-FR"/>
        </w:rPr>
        <w:t>’</w:t>
      </w:r>
      <w:r w:rsidRPr="00310D49">
        <w:rPr>
          <w:lang w:val="fr-FR"/>
        </w:rPr>
        <w:t>autodétermination et se conformer au principe selon lequel le peuple est la source de tous les pouvoirs. La Loi fondamentale précise la structure politique de l</w:t>
      </w:r>
      <w:r w:rsidR="0035332C">
        <w:rPr>
          <w:lang w:val="fr-FR"/>
        </w:rPr>
        <w:t>’</w:t>
      </w:r>
      <w:r w:rsidRPr="00310D49">
        <w:rPr>
          <w:lang w:val="fr-FR"/>
        </w:rPr>
        <w:t>État de Palestine en disposant dans son article</w:t>
      </w:r>
      <w:r w:rsidR="005B1852">
        <w:rPr>
          <w:lang w:val="fr-FR"/>
        </w:rPr>
        <w:t> </w:t>
      </w:r>
      <w:r w:rsidRPr="00310D49">
        <w:rPr>
          <w:lang w:val="fr-FR"/>
        </w:rPr>
        <w:t>63 que le Conseil des ministres est l</w:t>
      </w:r>
      <w:r w:rsidR="0035332C">
        <w:rPr>
          <w:lang w:val="fr-FR"/>
        </w:rPr>
        <w:t>’</w:t>
      </w:r>
      <w:r w:rsidRPr="00310D49">
        <w:rPr>
          <w:lang w:val="fr-FR"/>
        </w:rPr>
        <w:t xml:space="preserve">organe exécutif principal du Gouvernement. </w:t>
      </w:r>
    </w:p>
    <w:p w14:paraId="7611D0BF" w14:textId="6921846A" w:rsidR="00D005FA" w:rsidRPr="00310D49" w:rsidRDefault="00D005FA" w:rsidP="00826233">
      <w:pPr>
        <w:pStyle w:val="SingleTxtG"/>
        <w:ind w:firstLine="567"/>
        <w:rPr>
          <w:lang w:val="fr-FR"/>
        </w:rPr>
      </w:pPr>
      <w:r w:rsidRPr="00310D49">
        <w:rPr>
          <w:lang w:val="fr-FR"/>
        </w:rPr>
        <w:t>Des lois relatives à la participation au processus politique au moyen d</w:t>
      </w:r>
      <w:r w:rsidR="0035332C">
        <w:rPr>
          <w:lang w:val="fr-FR"/>
        </w:rPr>
        <w:t>’</w:t>
      </w:r>
      <w:r w:rsidRPr="00310D49">
        <w:rPr>
          <w:lang w:val="fr-FR"/>
        </w:rPr>
        <w:t>élections ont été promulguées pour réglementer les mécanismes et modalités de ce processus, parmi lesquelles les suivantes</w:t>
      </w:r>
      <w:r w:rsidR="00CF762B">
        <w:rPr>
          <w:lang w:val="fr-FR"/>
        </w:rPr>
        <w:t> </w:t>
      </w:r>
      <w:r w:rsidRPr="00310D49">
        <w:rPr>
          <w:lang w:val="fr-FR"/>
        </w:rPr>
        <w:t>:</w:t>
      </w:r>
    </w:p>
    <w:p w14:paraId="248221A8" w14:textId="7F805E4B" w:rsidR="00D005FA" w:rsidRPr="00310D49" w:rsidRDefault="005B1852" w:rsidP="00826233">
      <w:pPr>
        <w:pStyle w:val="Bullet1G"/>
        <w:rPr>
          <w:lang w:val="fr-FR"/>
        </w:rPr>
      </w:pPr>
      <w:r>
        <w:rPr>
          <w:lang w:val="fr-FR"/>
        </w:rPr>
        <w:t>L</w:t>
      </w:r>
      <w:r w:rsidR="00D005FA" w:rsidRPr="00310D49">
        <w:rPr>
          <w:lang w:val="fr-FR"/>
        </w:rPr>
        <w:t>a loi n</w:t>
      </w:r>
      <w:r>
        <w:rPr>
          <w:vertAlign w:val="superscript"/>
          <w:lang w:val="fr-FR"/>
        </w:rPr>
        <w:t>o</w:t>
      </w:r>
      <w:r w:rsidRPr="005B1852">
        <w:rPr>
          <w:lang w:val="fr-FR"/>
        </w:rPr>
        <w:t> </w:t>
      </w:r>
      <w:r w:rsidR="00D005FA" w:rsidRPr="00310D49">
        <w:rPr>
          <w:lang w:val="fr-FR"/>
        </w:rPr>
        <w:t>10 de 2005 sur les élections aux conseils des collectivités locales</w:t>
      </w:r>
      <w:r w:rsidR="00CF762B">
        <w:rPr>
          <w:lang w:val="fr-FR"/>
        </w:rPr>
        <w:t> </w:t>
      </w:r>
      <w:r w:rsidR="00D005FA" w:rsidRPr="00310D49">
        <w:rPr>
          <w:lang w:val="fr-FR"/>
        </w:rPr>
        <w:t>;</w:t>
      </w:r>
    </w:p>
    <w:p w14:paraId="2F51DDA8" w14:textId="02EF04FB" w:rsidR="00D005FA" w:rsidRPr="00310D49" w:rsidRDefault="005B1852" w:rsidP="00826233">
      <w:pPr>
        <w:pStyle w:val="Bullet1G"/>
        <w:rPr>
          <w:lang w:val="fr-FR"/>
        </w:rPr>
      </w:pPr>
      <w:r w:rsidRPr="00310D49">
        <w:rPr>
          <w:lang w:val="fr-FR"/>
        </w:rPr>
        <w:t xml:space="preserve">Le </w:t>
      </w:r>
      <w:r w:rsidR="00D005FA" w:rsidRPr="00310D49">
        <w:rPr>
          <w:lang w:val="fr-FR"/>
        </w:rPr>
        <w:t>décret-loi n</w:t>
      </w:r>
      <w:r>
        <w:rPr>
          <w:vertAlign w:val="superscript"/>
          <w:lang w:val="fr-FR"/>
        </w:rPr>
        <w:t>o</w:t>
      </w:r>
      <w:r w:rsidRPr="005B1852">
        <w:rPr>
          <w:lang w:val="fr-FR"/>
        </w:rPr>
        <w:t> </w:t>
      </w:r>
      <w:r w:rsidR="00D005FA" w:rsidRPr="00310D49">
        <w:rPr>
          <w:lang w:val="fr-FR"/>
        </w:rPr>
        <w:t>1 de 2007 relatif aux élections générales (présidentielles, législatives)</w:t>
      </w:r>
      <w:r w:rsidR="00CF762B">
        <w:rPr>
          <w:lang w:val="fr-FR"/>
        </w:rPr>
        <w:t> ;</w:t>
      </w:r>
    </w:p>
    <w:p w14:paraId="72B155A3" w14:textId="17CB3A18" w:rsidR="00D005FA" w:rsidRPr="00310D49" w:rsidRDefault="00D005FA" w:rsidP="00826233">
      <w:pPr>
        <w:pStyle w:val="Bullet1G"/>
        <w:rPr>
          <w:lang w:val="fr-FR"/>
        </w:rPr>
      </w:pPr>
      <w:r w:rsidRPr="00310D49">
        <w:rPr>
          <w:lang w:val="fr-FR"/>
        </w:rPr>
        <w:tab/>
      </w:r>
      <w:r w:rsidR="005B1852">
        <w:rPr>
          <w:lang w:val="fr-FR"/>
        </w:rPr>
        <w:t>L</w:t>
      </w:r>
      <w:r w:rsidR="005B1852" w:rsidRPr="00310D49">
        <w:rPr>
          <w:lang w:val="fr-FR"/>
        </w:rPr>
        <w:t xml:space="preserve">a </w:t>
      </w:r>
      <w:r w:rsidRPr="00310D49">
        <w:rPr>
          <w:lang w:val="fr-FR"/>
        </w:rPr>
        <w:t>législation palestinienne accorde un intérêt particulier à la participation des femmes au processus politique et fixe des quotas en leur faveur.</w:t>
      </w:r>
    </w:p>
    <w:p w14:paraId="182F45BA" w14:textId="55B007C8" w:rsidR="00D005FA" w:rsidRPr="00310D49" w:rsidRDefault="00D005FA" w:rsidP="00826233">
      <w:pPr>
        <w:pStyle w:val="SingleTxtG"/>
        <w:rPr>
          <w:lang w:val="fr-FR"/>
        </w:rPr>
      </w:pPr>
      <w:r w:rsidRPr="00310D49">
        <w:rPr>
          <w:lang w:val="fr-FR"/>
        </w:rPr>
        <w:lastRenderedPageBreak/>
        <w:t>12.</w:t>
      </w:r>
      <w:r w:rsidRPr="00310D49">
        <w:rPr>
          <w:lang w:val="fr-FR"/>
        </w:rPr>
        <w:tab/>
        <w:t>Les premières élections législatives et présidentielles ont eu lieu en 1996. Des</w:t>
      </w:r>
      <w:r w:rsidR="005B1852">
        <w:rPr>
          <w:lang w:val="fr-FR"/>
        </w:rPr>
        <w:t> </w:t>
      </w:r>
      <w:r w:rsidRPr="00310D49">
        <w:rPr>
          <w:lang w:val="fr-FR"/>
        </w:rPr>
        <w:t>élections présidentielles ont eu lieu en 2005 et un nouveau Conseil législatif a été mis en place à l</w:t>
      </w:r>
      <w:r w:rsidR="0035332C">
        <w:rPr>
          <w:lang w:val="fr-FR"/>
        </w:rPr>
        <w:t>’</w:t>
      </w:r>
      <w:r w:rsidRPr="00310D49">
        <w:rPr>
          <w:lang w:val="fr-FR"/>
        </w:rPr>
        <w:t>issue des élections de 2006. De nouvelles élections législatives et présidentielles n</w:t>
      </w:r>
      <w:r w:rsidR="0035332C">
        <w:rPr>
          <w:lang w:val="fr-FR"/>
        </w:rPr>
        <w:t>’</w:t>
      </w:r>
      <w:r w:rsidRPr="00310D49">
        <w:rPr>
          <w:lang w:val="fr-FR"/>
        </w:rPr>
        <w:t>ont pu avoir lieu en raison des divisions palestiniennes et du refus opposé par Israël, puissance occupante, à l</w:t>
      </w:r>
      <w:r w:rsidR="0035332C">
        <w:rPr>
          <w:lang w:val="fr-FR"/>
        </w:rPr>
        <w:t>’</w:t>
      </w:r>
      <w:r w:rsidRPr="00310D49">
        <w:rPr>
          <w:lang w:val="fr-FR"/>
        </w:rPr>
        <w:t>organisation d</w:t>
      </w:r>
      <w:r w:rsidR="0035332C">
        <w:rPr>
          <w:lang w:val="fr-FR"/>
        </w:rPr>
        <w:t>’</w:t>
      </w:r>
      <w:r w:rsidRPr="00310D49">
        <w:rPr>
          <w:lang w:val="fr-FR"/>
        </w:rPr>
        <w:t>élections dans la ville occupée de Jérusalem.</w:t>
      </w:r>
    </w:p>
    <w:p w14:paraId="6892BF9E" w14:textId="2284817B" w:rsidR="00D005FA" w:rsidRPr="00310D49" w:rsidRDefault="00D005FA" w:rsidP="00826233">
      <w:pPr>
        <w:pStyle w:val="H23G"/>
        <w:rPr>
          <w:lang w:val="fr-FR"/>
        </w:rPr>
      </w:pPr>
      <w:r w:rsidRPr="00310D49">
        <w:rPr>
          <w:lang w:val="fr-FR"/>
        </w:rPr>
        <w:tab/>
      </w:r>
      <w:r w:rsidRPr="00310D49">
        <w:rPr>
          <w:lang w:val="fr-FR"/>
        </w:rPr>
        <w:tab/>
        <w:t>Exercice du droit à l</w:t>
      </w:r>
      <w:r w:rsidR="0035332C">
        <w:rPr>
          <w:lang w:val="fr-FR"/>
        </w:rPr>
        <w:t>’</w:t>
      </w:r>
      <w:r w:rsidRPr="00310D49">
        <w:rPr>
          <w:lang w:val="fr-FR"/>
        </w:rPr>
        <w:t>autodétermination sous l</w:t>
      </w:r>
      <w:r w:rsidR="0035332C">
        <w:rPr>
          <w:lang w:val="fr-FR"/>
        </w:rPr>
        <w:t>’</w:t>
      </w:r>
      <w:r w:rsidRPr="00310D49">
        <w:rPr>
          <w:lang w:val="fr-FR"/>
        </w:rPr>
        <w:t>occupation</w:t>
      </w:r>
    </w:p>
    <w:p w14:paraId="60CE0270" w14:textId="08C8D46E" w:rsidR="00D005FA" w:rsidRPr="00310D49" w:rsidRDefault="00D005FA" w:rsidP="00826233">
      <w:pPr>
        <w:pStyle w:val="SingleTxtG"/>
        <w:rPr>
          <w:lang w:val="fr-FR"/>
        </w:rPr>
      </w:pPr>
      <w:r w:rsidRPr="00310D49">
        <w:rPr>
          <w:lang w:val="fr-FR"/>
        </w:rPr>
        <w:t>13.</w:t>
      </w:r>
      <w:r w:rsidRPr="00310D49">
        <w:rPr>
          <w:lang w:val="fr-FR"/>
        </w:rPr>
        <w:tab/>
        <w:t>Israël, puissance occupante, constitue le principal obstacle à l</w:t>
      </w:r>
      <w:r w:rsidR="0035332C">
        <w:rPr>
          <w:lang w:val="fr-FR"/>
        </w:rPr>
        <w:t>’</w:t>
      </w:r>
      <w:r w:rsidRPr="00310D49">
        <w:rPr>
          <w:lang w:val="fr-FR"/>
        </w:rPr>
        <w:t>exercice des droits du peuple palestinien. La puissance occupante bénéficie du soutien et de l</w:t>
      </w:r>
      <w:r w:rsidR="0035332C">
        <w:rPr>
          <w:lang w:val="fr-FR"/>
        </w:rPr>
        <w:t>’</w:t>
      </w:r>
      <w:r w:rsidRPr="00310D49">
        <w:rPr>
          <w:lang w:val="fr-FR"/>
        </w:rPr>
        <w:t>encouragement de parties qui cherchent à saper le système international multilatéral et l</w:t>
      </w:r>
      <w:r w:rsidR="0035332C">
        <w:rPr>
          <w:lang w:val="fr-FR"/>
        </w:rPr>
        <w:t>’</w:t>
      </w:r>
      <w:r w:rsidRPr="00310D49">
        <w:rPr>
          <w:lang w:val="fr-FR"/>
        </w:rPr>
        <w:t>ordre international fondé sur le respect de la loi et des droits et à empêcher l</w:t>
      </w:r>
      <w:r w:rsidR="0035332C">
        <w:rPr>
          <w:lang w:val="fr-FR"/>
        </w:rPr>
        <w:t>’</w:t>
      </w:r>
      <w:r w:rsidRPr="00310D49">
        <w:rPr>
          <w:lang w:val="fr-FR"/>
        </w:rPr>
        <w:t>établissement d</w:t>
      </w:r>
      <w:r w:rsidR="0035332C">
        <w:rPr>
          <w:lang w:val="fr-FR"/>
        </w:rPr>
        <w:t>’</w:t>
      </w:r>
      <w:r w:rsidRPr="00310D49">
        <w:rPr>
          <w:lang w:val="fr-FR"/>
        </w:rPr>
        <w:t>un ordre international démocratique et équitable, dont l</w:t>
      </w:r>
      <w:r w:rsidR="0035332C">
        <w:rPr>
          <w:lang w:val="fr-FR"/>
        </w:rPr>
        <w:t>’</w:t>
      </w:r>
      <w:r w:rsidRPr="00310D49">
        <w:rPr>
          <w:lang w:val="fr-FR"/>
        </w:rPr>
        <w:t>instauration permettrait à tous les peuples de réaliser leurs droits inaliénables et au peuple palestinien de concrétiser son droit à l</w:t>
      </w:r>
      <w:r w:rsidR="0035332C">
        <w:rPr>
          <w:lang w:val="fr-FR"/>
        </w:rPr>
        <w:t>’</w:t>
      </w:r>
      <w:r w:rsidRPr="00310D49">
        <w:rPr>
          <w:lang w:val="fr-FR"/>
        </w:rPr>
        <w:t>autodétermination, à l</w:t>
      </w:r>
      <w:r w:rsidR="0035332C">
        <w:rPr>
          <w:lang w:val="fr-FR"/>
        </w:rPr>
        <w:t>’</w:t>
      </w:r>
      <w:r w:rsidRPr="00310D49">
        <w:rPr>
          <w:lang w:val="fr-FR"/>
        </w:rPr>
        <w:t>indépendance et au retour des réfugiés sur la base de la résolution</w:t>
      </w:r>
      <w:r w:rsidR="005B1852">
        <w:rPr>
          <w:lang w:val="fr-FR"/>
        </w:rPr>
        <w:t> </w:t>
      </w:r>
      <w:r w:rsidRPr="00310D49">
        <w:rPr>
          <w:lang w:val="fr-FR"/>
        </w:rPr>
        <w:t>194 de l</w:t>
      </w:r>
      <w:r w:rsidR="0035332C">
        <w:rPr>
          <w:lang w:val="fr-FR"/>
        </w:rPr>
        <w:t>’</w:t>
      </w:r>
      <w:r w:rsidRPr="00310D49">
        <w:rPr>
          <w:lang w:val="fr-FR"/>
        </w:rPr>
        <w:t>Assemblée générale des Nations Unies, ainsi que de poursuivre son développement économique social et culturel.</w:t>
      </w:r>
    </w:p>
    <w:p w14:paraId="5A406E0F" w14:textId="16652449" w:rsidR="00D005FA" w:rsidRPr="00310D49" w:rsidRDefault="00D005FA" w:rsidP="00826233">
      <w:pPr>
        <w:pStyle w:val="SingleTxtG"/>
        <w:rPr>
          <w:spacing w:val="-4"/>
          <w:lang w:val="fr-FR"/>
        </w:rPr>
      </w:pPr>
      <w:r w:rsidRPr="00310D49">
        <w:rPr>
          <w:lang w:val="fr-FR"/>
        </w:rPr>
        <w:t>14.</w:t>
      </w:r>
      <w:r w:rsidRPr="00310D49">
        <w:rPr>
          <w:lang w:val="fr-FR"/>
        </w:rPr>
        <w:tab/>
        <w:t>Le Gouvernement d</w:t>
      </w:r>
      <w:r w:rsidR="0035332C">
        <w:rPr>
          <w:lang w:val="fr-FR"/>
        </w:rPr>
        <w:t>’</w:t>
      </w:r>
      <w:r w:rsidRPr="00310D49">
        <w:rPr>
          <w:lang w:val="fr-FR"/>
        </w:rPr>
        <w:t>occupation continue à édifier un système colonialiste fondé sur des lois racistes qui privent le peuple palestinien du droit à l</w:t>
      </w:r>
      <w:r w:rsidR="0035332C">
        <w:rPr>
          <w:lang w:val="fr-FR"/>
        </w:rPr>
        <w:t>’</w:t>
      </w:r>
      <w:r w:rsidRPr="00310D49">
        <w:rPr>
          <w:lang w:val="fr-FR"/>
        </w:rPr>
        <w:t>autodétermination et à confisquer de vastes parcelles de terres destinées à la construction du mur et à l</w:t>
      </w:r>
      <w:r w:rsidR="0035332C">
        <w:rPr>
          <w:lang w:val="fr-FR"/>
        </w:rPr>
        <w:t>’</w:t>
      </w:r>
      <w:r w:rsidRPr="00310D49">
        <w:rPr>
          <w:lang w:val="fr-FR"/>
        </w:rPr>
        <w:t>implantation de colonies illégales. En outre, la puissance occupante continue de procéder délibérément à des arrestations et à des poursuites arbitraires de Palestiniens et à organiser des procès sommaires qui ne respectent pas les normes minimales d</w:t>
      </w:r>
      <w:r w:rsidR="0035332C">
        <w:rPr>
          <w:lang w:val="fr-FR"/>
        </w:rPr>
        <w:t>’</w:t>
      </w:r>
      <w:r w:rsidRPr="00310D49">
        <w:rPr>
          <w:lang w:val="fr-FR"/>
        </w:rPr>
        <w:t>un procès équitable, étant rappelé que la Cour internationale de Justice a souligné dans son avis consultatif que le mur d</w:t>
      </w:r>
      <w:r w:rsidR="0035332C">
        <w:rPr>
          <w:lang w:val="fr-FR"/>
        </w:rPr>
        <w:t>’</w:t>
      </w:r>
      <w:r w:rsidRPr="00310D49">
        <w:rPr>
          <w:lang w:val="fr-FR"/>
        </w:rPr>
        <w:t>expansion et d</w:t>
      </w:r>
      <w:r w:rsidR="0035332C">
        <w:rPr>
          <w:lang w:val="fr-FR"/>
        </w:rPr>
        <w:t>’</w:t>
      </w:r>
      <w:r w:rsidRPr="00310D49">
        <w:rPr>
          <w:lang w:val="fr-FR"/>
        </w:rPr>
        <w:t>annexion constituait une grave violation du droit du peuple palestinien à l</w:t>
      </w:r>
      <w:r w:rsidR="0035332C">
        <w:rPr>
          <w:lang w:val="fr-FR"/>
        </w:rPr>
        <w:t>’</w:t>
      </w:r>
      <w:r w:rsidRPr="00310D49">
        <w:rPr>
          <w:lang w:val="fr-FR"/>
        </w:rPr>
        <w:t xml:space="preserve">autodétermination. </w:t>
      </w:r>
    </w:p>
    <w:p w14:paraId="74CB1A73" w14:textId="33752F45" w:rsidR="00D005FA" w:rsidRPr="00310D49" w:rsidRDefault="00D005FA" w:rsidP="00826233">
      <w:pPr>
        <w:pStyle w:val="SingleTxtG"/>
        <w:rPr>
          <w:lang w:val="fr-FR"/>
        </w:rPr>
      </w:pPr>
      <w:r w:rsidRPr="009437AD">
        <w:rPr>
          <w:lang w:val="fr-FR"/>
        </w:rPr>
        <w:t>15.</w:t>
      </w:r>
      <w:r w:rsidRPr="009437AD">
        <w:rPr>
          <w:lang w:val="fr-FR"/>
        </w:rPr>
        <w:tab/>
        <w:t>La</w:t>
      </w:r>
      <w:r w:rsidRPr="00310D49">
        <w:rPr>
          <w:lang w:val="fr-FR"/>
        </w:rPr>
        <w:t xml:space="preserve"> politique de colonisation des territoires palestiniens occupés poursuivie par Israël, fondée sur un système expansionniste, constitue le principal obstacle à l</w:t>
      </w:r>
      <w:r w:rsidR="0035332C">
        <w:rPr>
          <w:lang w:val="fr-FR"/>
        </w:rPr>
        <w:t>’</w:t>
      </w:r>
      <w:r w:rsidRPr="00310D49">
        <w:rPr>
          <w:lang w:val="fr-FR"/>
        </w:rPr>
        <w:t>exercice de la souveraineté naturelle et légale du peuple palestinien sur son territoire et ses ressources. L</w:t>
      </w:r>
      <w:r w:rsidR="009437AD">
        <w:rPr>
          <w:lang w:val="fr-FR"/>
        </w:rPr>
        <w:t>a </w:t>
      </w:r>
      <w:r w:rsidRPr="00310D49">
        <w:rPr>
          <w:lang w:val="fr-FR"/>
        </w:rPr>
        <w:t>puissance occupante entrave également le développement du peuple palestinien et entreprend de profonds changements structurels en vue de l</w:t>
      </w:r>
      <w:r w:rsidR="0035332C">
        <w:rPr>
          <w:lang w:val="fr-FR"/>
        </w:rPr>
        <w:t>’</w:t>
      </w:r>
      <w:r w:rsidRPr="00310D49">
        <w:rPr>
          <w:lang w:val="fr-FR"/>
        </w:rPr>
        <w:t>empêcher de jouir de ses droits et de ses ressources.</w:t>
      </w:r>
    </w:p>
    <w:p w14:paraId="2EC2A849" w14:textId="381C42E2" w:rsidR="00D005FA" w:rsidRPr="00310D49" w:rsidRDefault="00D005FA" w:rsidP="00826233">
      <w:pPr>
        <w:pStyle w:val="SingleTxtG"/>
        <w:rPr>
          <w:lang w:val="fr-FR"/>
        </w:rPr>
      </w:pPr>
      <w:r w:rsidRPr="00310D49">
        <w:rPr>
          <w:lang w:val="fr-FR"/>
        </w:rPr>
        <w:t>16.</w:t>
      </w:r>
      <w:r w:rsidRPr="00310D49">
        <w:rPr>
          <w:lang w:val="fr-FR"/>
        </w:rPr>
        <w:tab/>
        <w:t>Israël, puissance occupante, a imposé depuis 2007 un blocus militaire et économique à la bande de Gaza, qui a été la cible d</w:t>
      </w:r>
      <w:r w:rsidR="0035332C">
        <w:rPr>
          <w:lang w:val="fr-FR"/>
        </w:rPr>
        <w:t>’</w:t>
      </w:r>
      <w:r w:rsidRPr="00310D49">
        <w:rPr>
          <w:lang w:val="fr-FR"/>
        </w:rPr>
        <w:t>attaques militaires répétées ayant provoqué de nombreux dégâts. Les autorités d</w:t>
      </w:r>
      <w:r w:rsidR="0035332C">
        <w:rPr>
          <w:lang w:val="fr-FR"/>
        </w:rPr>
        <w:t>’</w:t>
      </w:r>
      <w:r w:rsidRPr="00310D49">
        <w:rPr>
          <w:lang w:val="fr-FR"/>
        </w:rPr>
        <w:t>occupation interdisent également l</w:t>
      </w:r>
      <w:r w:rsidR="0035332C">
        <w:rPr>
          <w:lang w:val="fr-FR"/>
        </w:rPr>
        <w:t>’</w:t>
      </w:r>
      <w:r w:rsidRPr="00310D49">
        <w:rPr>
          <w:lang w:val="fr-FR"/>
        </w:rPr>
        <w:t>entrée de divers produits de base dans la bande de Gaza, y compris des denrées alimentaires. Les attaques répétées menées par les autorités d</w:t>
      </w:r>
      <w:r w:rsidR="0035332C">
        <w:rPr>
          <w:lang w:val="fr-FR"/>
        </w:rPr>
        <w:t>’</w:t>
      </w:r>
      <w:r w:rsidRPr="00310D49">
        <w:rPr>
          <w:lang w:val="fr-FR"/>
        </w:rPr>
        <w:t>occupation n</w:t>
      </w:r>
      <w:r w:rsidR="0035332C">
        <w:rPr>
          <w:lang w:val="fr-FR"/>
        </w:rPr>
        <w:t>’</w:t>
      </w:r>
      <w:r w:rsidRPr="00310D49">
        <w:rPr>
          <w:lang w:val="fr-FR"/>
        </w:rPr>
        <w:t>ont pas seulement tué et blessé des milliers de Palestiniens, mais ont également causé des dommages environnementaux liés à la crise humanitaire sévissant dans la bande de Gaza. Les quantités d</w:t>
      </w:r>
      <w:r w:rsidR="0035332C">
        <w:rPr>
          <w:lang w:val="fr-FR"/>
        </w:rPr>
        <w:t>’</w:t>
      </w:r>
      <w:r w:rsidRPr="00310D49">
        <w:rPr>
          <w:lang w:val="fr-FR"/>
        </w:rPr>
        <w:t>eau souterraine destinée à l</w:t>
      </w:r>
      <w:r w:rsidR="0035332C">
        <w:rPr>
          <w:lang w:val="fr-FR"/>
        </w:rPr>
        <w:t>’</w:t>
      </w:r>
      <w:r w:rsidRPr="00310D49">
        <w:rPr>
          <w:lang w:val="fr-FR"/>
        </w:rPr>
        <w:t>usage humain ont baissé de 5</w:t>
      </w:r>
      <w:r w:rsidR="009437AD">
        <w:rPr>
          <w:lang w:val="fr-FR"/>
        </w:rPr>
        <w:t> </w:t>
      </w:r>
      <w:r w:rsidRPr="00310D49">
        <w:rPr>
          <w:lang w:val="fr-FR"/>
        </w:rPr>
        <w:t>% par rapport à l</w:t>
      </w:r>
      <w:r w:rsidR="0035332C">
        <w:rPr>
          <w:lang w:val="fr-FR"/>
        </w:rPr>
        <w:t>’</w:t>
      </w:r>
      <w:r w:rsidRPr="00310D49">
        <w:rPr>
          <w:lang w:val="fr-FR"/>
        </w:rPr>
        <w:t>ensemble des eaux souterraines de la bande de Gaza, soulevant les inquiétudes de nombreuses parties, dont des organismes des Nations</w:t>
      </w:r>
      <w:r w:rsidR="009437AD">
        <w:rPr>
          <w:lang w:val="fr-FR"/>
        </w:rPr>
        <w:t> </w:t>
      </w:r>
      <w:r w:rsidRPr="00310D49">
        <w:rPr>
          <w:lang w:val="fr-FR"/>
        </w:rPr>
        <w:t>Unies affirmant qu</w:t>
      </w:r>
      <w:r w:rsidR="0035332C">
        <w:rPr>
          <w:lang w:val="fr-FR"/>
        </w:rPr>
        <w:t>’</w:t>
      </w:r>
      <w:r w:rsidRPr="00310D49">
        <w:rPr>
          <w:lang w:val="fr-FR"/>
        </w:rPr>
        <w:t>il allait devenir impossible de vivre à Gaza à partir de 2020.</w:t>
      </w:r>
    </w:p>
    <w:p w14:paraId="7CBED1C1" w14:textId="10C7221A" w:rsidR="00D005FA" w:rsidRPr="00310D49" w:rsidRDefault="00D005FA" w:rsidP="00826233">
      <w:pPr>
        <w:pStyle w:val="SingleTxtG"/>
        <w:rPr>
          <w:lang w:val="fr-FR"/>
        </w:rPr>
      </w:pPr>
      <w:r w:rsidRPr="00310D49">
        <w:rPr>
          <w:lang w:val="fr-FR"/>
        </w:rPr>
        <w:t>17.</w:t>
      </w:r>
      <w:r w:rsidRPr="00310D49">
        <w:rPr>
          <w:lang w:val="fr-FR"/>
        </w:rPr>
        <w:tab/>
        <w:t>Les autorités d</w:t>
      </w:r>
      <w:r w:rsidR="0035332C">
        <w:rPr>
          <w:lang w:val="fr-FR"/>
        </w:rPr>
        <w:t>’</w:t>
      </w:r>
      <w:r w:rsidRPr="00310D49">
        <w:rPr>
          <w:lang w:val="fr-FR"/>
        </w:rPr>
        <w:t>occupation continuent d</w:t>
      </w:r>
      <w:r w:rsidR="0035332C">
        <w:rPr>
          <w:lang w:val="fr-FR"/>
        </w:rPr>
        <w:t>’</w:t>
      </w:r>
      <w:r w:rsidRPr="00310D49">
        <w:rPr>
          <w:lang w:val="fr-FR"/>
        </w:rPr>
        <w:t>empêcher des millions de réfugiés palestiniens d</w:t>
      </w:r>
      <w:r w:rsidR="0035332C">
        <w:rPr>
          <w:lang w:val="fr-FR"/>
        </w:rPr>
        <w:t>’</w:t>
      </w:r>
      <w:r w:rsidRPr="00310D49">
        <w:rPr>
          <w:lang w:val="fr-FR"/>
        </w:rPr>
        <w:t>exercer leur droit au retour dans leur patrie, tel que proclamé par la résolution</w:t>
      </w:r>
      <w:r w:rsidR="009437AD">
        <w:rPr>
          <w:lang w:val="fr-FR"/>
        </w:rPr>
        <w:t> </w:t>
      </w:r>
      <w:r w:rsidRPr="00310D49">
        <w:rPr>
          <w:lang w:val="fr-FR"/>
        </w:rPr>
        <w:t>194 (1948) de l</w:t>
      </w:r>
      <w:r w:rsidR="0035332C">
        <w:rPr>
          <w:lang w:val="fr-FR"/>
        </w:rPr>
        <w:t>’</w:t>
      </w:r>
      <w:r w:rsidRPr="00310D49">
        <w:rPr>
          <w:lang w:val="fr-FR"/>
        </w:rPr>
        <w:t xml:space="preserve">Assemblée générale des Nations Unies. </w:t>
      </w:r>
    </w:p>
    <w:p w14:paraId="3F81E621" w14:textId="1AD12FF7" w:rsidR="00D005FA" w:rsidRPr="00310D49" w:rsidRDefault="00D005FA" w:rsidP="00826233">
      <w:pPr>
        <w:pStyle w:val="SingleTxtG"/>
        <w:rPr>
          <w:lang w:val="fr-FR"/>
        </w:rPr>
      </w:pPr>
      <w:r w:rsidRPr="00310D49">
        <w:rPr>
          <w:lang w:val="fr-FR"/>
        </w:rPr>
        <w:t>18.</w:t>
      </w:r>
      <w:r w:rsidRPr="00310D49">
        <w:rPr>
          <w:lang w:val="fr-FR"/>
        </w:rPr>
        <w:tab/>
        <w:t>Depuis l</w:t>
      </w:r>
      <w:r w:rsidR="0035332C">
        <w:rPr>
          <w:lang w:val="fr-FR"/>
        </w:rPr>
        <w:t>’</w:t>
      </w:r>
      <w:r w:rsidRPr="00310D49">
        <w:rPr>
          <w:lang w:val="fr-FR"/>
        </w:rPr>
        <w:t xml:space="preserve">annexion illégale de Jérusalem, Israël, puissance occupante, a pris des mesures qualifiées de </w:t>
      </w:r>
      <w:r w:rsidR="009437AD">
        <w:rPr>
          <w:lang w:val="fr-FR"/>
        </w:rPr>
        <w:t>« </w:t>
      </w:r>
      <w:r w:rsidRPr="00310D49">
        <w:rPr>
          <w:lang w:val="fr-FR"/>
        </w:rPr>
        <w:t>légales</w:t>
      </w:r>
      <w:r w:rsidR="009437AD">
        <w:rPr>
          <w:lang w:val="fr-FR"/>
        </w:rPr>
        <w:t> »</w:t>
      </w:r>
      <w:r w:rsidRPr="00310D49">
        <w:rPr>
          <w:lang w:val="fr-FR"/>
        </w:rPr>
        <w:t xml:space="preserve"> et </w:t>
      </w:r>
      <w:r w:rsidR="009437AD">
        <w:rPr>
          <w:lang w:val="fr-FR"/>
        </w:rPr>
        <w:t>« </w:t>
      </w:r>
      <w:r w:rsidRPr="00310D49">
        <w:rPr>
          <w:lang w:val="fr-FR"/>
        </w:rPr>
        <w:t>administratives</w:t>
      </w:r>
      <w:r w:rsidR="009437AD">
        <w:rPr>
          <w:lang w:val="fr-FR"/>
        </w:rPr>
        <w:t> »</w:t>
      </w:r>
      <w:r w:rsidRPr="00310D49">
        <w:rPr>
          <w:lang w:val="fr-FR"/>
        </w:rPr>
        <w:t xml:space="preserve"> par ses soins, mais qui sont des dispositions racistes visant à changer le statut juridique de la ville occupée de Jérusalem, via un nettoyage ethnique aboutissant à la vider de son peuple palestinien originel et à modifier sa composition démographique au moyen de la confiscation de terres et de biens, d</w:t>
      </w:r>
      <w:r w:rsidR="0035332C">
        <w:rPr>
          <w:lang w:val="fr-FR"/>
        </w:rPr>
        <w:t>’</w:t>
      </w:r>
      <w:r w:rsidRPr="00310D49">
        <w:rPr>
          <w:lang w:val="fr-FR"/>
        </w:rPr>
        <w:t>expulsions forcées et de déportation de Palestiniens, de la destruction de logements, de la dispersion de familles et de restrictions au droit de résidence.</w:t>
      </w:r>
    </w:p>
    <w:p w14:paraId="75665421" w14:textId="13620E9A" w:rsidR="00D005FA" w:rsidRPr="00310D49" w:rsidRDefault="00D005FA" w:rsidP="00826233">
      <w:pPr>
        <w:pStyle w:val="SingleTxtG"/>
        <w:rPr>
          <w:lang w:val="fr-FR"/>
        </w:rPr>
      </w:pPr>
      <w:r w:rsidRPr="00310D49">
        <w:rPr>
          <w:lang w:val="fr-FR"/>
        </w:rPr>
        <w:t>19.</w:t>
      </w:r>
      <w:r w:rsidRPr="00310D49">
        <w:rPr>
          <w:lang w:val="fr-FR"/>
        </w:rPr>
        <w:tab/>
        <w:t>Les politiques et pratiques illégales d</w:t>
      </w:r>
      <w:r w:rsidR="0035332C">
        <w:rPr>
          <w:lang w:val="fr-FR"/>
        </w:rPr>
        <w:t>’</w:t>
      </w:r>
      <w:r w:rsidRPr="00310D49">
        <w:rPr>
          <w:lang w:val="fr-FR"/>
        </w:rPr>
        <w:t>Israël entravent le droit du peuple palestinien à l</w:t>
      </w:r>
      <w:r w:rsidR="0035332C">
        <w:rPr>
          <w:lang w:val="fr-FR"/>
        </w:rPr>
        <w:t>’</w:t>
      </w:r>
      <w:r w:rsidRPr="00310D49">
        <w:rPr>
          <w:lang w:val="fr-FR"/>
        </w:rPr>
        <w:t>indépendance de la Palestine ayant pour capitale Jérusalem, ainsi que la formation d</w:t>
      </w:r>
      <w:r w:rsidR="0035332C">
        <w:rPr>
          <w:lang w:val="fr-FR"/>
        </w:rPr>
        <w:t>’</w:t>
      </w:r>
      <w:r w:rsidRPr="00310D49">
        <w:rPr>
          <w:lang w:val="fr-FR"/>
        </w:rPr>
        <w:t xml:space="preserve">un État géographiquement homogène, viable et capable de réaliser son propre développement économique, social et culturel. Les facteurs précités limitent également la capacité du Gouvernement palestinien à adopter et à mettre en œuvre des politiques nationales dans </w:t>
      </w:r>
      <w:r w:rsidRPr="00310D49">
        <w:rPr>
          <w:lang w:val="fr-FR"/>
        </w:rPr>
        <w:lastRenderedPageBreak/>
        <w:t>divers domaines. Toutefois, en dépit de ce qui précède, les efforts de réconciliation nationale visant à mettre fin aux divisions internes des Palestiniens n</w:t>
      </w:r>
      <w:r w:rsidR="0035332C">
        <w:rPr>
          <w:lang w:val="fr-FR"/>
        </w:rPr>
        <w:t>’</w:t>
      </w:r>
      <w:r w:rsidRPr="00310D49">
        <w:rPr>
          <w:lang w:val="fr-FR"/>
        </w:rPr>
        <w:t>ont cessé de se déployer et se poursuivent en vue de mettre fin à l</w:t>
      </w:r>
      <w:r w:rsidR="0035332C">
        <w:rPr>
          <w:lang w:val="fr-FR"/>
        </w:rPr>
        <w:t>’</w:t>
      </w:r>
      <w:r w:rsidRPr="00310D49">
        <w:rPr>
          <w:lang w:val="fr-FR"/>
        </w:rPr>
        <w:t>occupation et veiller à ce que le peuple palestinien puisse exercer son droit à l</w:t>
      </w:r>
      <w:r w:rsidR="0035332C">
        <w:rPr>
          <w:lang w:val="fr-FR"/>
        </w:rPr>
        <w:t>’</w:t>
      </w:r>
      <w:r w:rsidRPr="00310D49">
        <w:rPr>
          <w:lang w:val="fr-FR"/>
        </w:rPr>
        <w:t>autodétermination et asseoir sa souveraineté naturelle et juridique sur ses terres.</w:t>
      </w:r>
    </w:p>
    <w:p w14:paraId="71B67583" w14:textId="54DF6B12" w:rsidR="00D005FA" w:rsidRPr="00310D49" w:rsidRDefault="00D005FA" w:rsidP="00826233">
      <w:pPr>
        <w:pStyle w:val="H23G"/>
        <w:rPr>
          <w:lang w:val="fr-FR"/>
        </w:rPr>
      </w:pPr>
      <w:r w:rsidRPr="00310D49">
        <w:rPr>
          <w:lang w:val="fr-FR"/>
        </w:rPr>
        <w:tab/>
      </w:r>
      <w:r w:rsidRPr="00310D49">
        <w:rPr>
          <w:lang w:val="fr-FR"/>
        </w:rPr>
        <w:tab/>
        <w:t>Développement durable et droit à l</w:t>
      </w:r>
      <w:r w:rsidR="0035332C">
        <w:rPr>
          <w:lang w:val="fr-FR"/>
        </w:rPr>
        <w:t>’</w:t>
      </w:r>
      <w:r w:rsidRPr="00310D49">
        <w:rPr>
          <w:lang w:val="fr-FR"/>
        </w:rPr>
        <w:t>autodétermination</w:t>
      </w:r>
    </w:p>
    <w:p w14:paraId="7FC728C8" w14:textId="137E52EA" w:rsidR="00D005FA" w:rsidRPr="00310D49" w:rsidRDefault="00D005FA" w:rsidP="00826233">
      <w:pPr>
        <w:pStyle w:val="SingleTxtG"/>
        <w:rPr>
          <w:lang w:val="fr-FR"/>
        </w:rPr>
      </w:pPr>
      <w:r w:rsidRPr="00310D49">
        <w:rPr>
          <w:lang w:val="fr-FR"/>
        </w:rPr>
        <w:t>20.</w:t>
      </w:r>
      <w:r w:rsidRPr="00310D49">
        <w:rPr>
          <w:lang w:val="fr-FR"/>
        </w:rPr>
        <w:tab/>
        <w:t>Malgré les politiques d</w:t>
      </w:r>
      <w:r w:rsidR="0035332C">
        <w:rPr>
          <w:lang w:val="fr-FR"/>
        </w:rPr>
        <w:t>’</w:t>
      </w:r>
      <w:r w:rsidRPr="00310D49">
        <w:rPr>
          <w:lang w:val="fr-FR"/>
        </w:rPr>
        <w:t>occupation coloniale visant à saper les efforts de développement de l</w:t>
      </w:r>
      <w:r w:rsidR="0035332C">
        <w:rPr>
          <w:lang w:val="fr-FR"/>
        </w:rPr>
        <w:t>’</w:t>
      </w:r>
      <w:r w:rsidRPr="00310D49">
        <w:rPr>
          <w:lang w:val="fr-FR"/>
        </w:rPr>
        <w:t>État de Palestine, le développement durable et la réalisation du droit du peuple palestinien à l</w:t>
      </w:r>
      <w:r w:rsidR="0035332C">
        <w:rPr>
          <w:lang w:val="fr-FR"/>
        </w:rPr>
        <w:t>’</w:t>
      </w:r>
      <w:r w:rsidRPr="00310D49">
        <w:rPr>
          <w:lang w:val="fr-FR"/>
        </w:rPr>
        <w:t>autodétermination sont au cœur de la vision du Gouvernement palestinien, notamment son droit souverain de disposer de ses ressources naturelles et son droit à l</w:t>
      </w:r>
      <w:r w:rsidR="0035332C">
        <w:rPr>
          <w:lang w:val="fr-FR"/>
        </w:rPr>
        <w:t>’</w:t>
      </w:r>
      <w:r w:rsidRPr="00310D49">
        <w:rPr>
          <w:lang w:val="fr-FR"/>
        </w:rPr>
        <w:t>autonomisation économique, sociale et culturelle. L</w:t>
      </w:r>
      <w:r w:rsidR="0035332C">
        <w:rPr>
          <w:lang w:val="fr-FR"/>
        </w:rPr>
        <w:t>’</w:t>
      </w:r>
      <w:r w:rsidRPr="00310D49">
        <w:rPr>
          <w:lang w:val="fr-FR"/>
        </w:rPr>
        <w:t>État de Palestine a conforté cette vision par son engagement au titre du Programme de développement durable des Nations</w:t>
      </w:r>
      <w:r w:rsidR="009437AD">
        <w:rPr>
          <w:lang w:val="fr-FR"/>
        </w:rPr>
        <w:t> </w:t>
      </w:r>
      <w:r w:rsidRPr="00310D49">
        <w:rPr>
          <w:lang w:val="fr-FR"/>
        </w:rPr>
        <w:t>Unies (2030) et de la Déclaration de Rio et de ses Principes relatifs aux droits des peuples sous occupation étrangère à l</w:t>
      </w:r>
      <w:r w:rsidR="0035332C">
        <w:rPr>
          <w:lang w:val="fr-FR"/>
        </w:rPr>
        <w:t>’</w:t>
      </w:r>
      <w:r w:rsidRPr="00310D49">
        <w:rPr>
          <w:lang w:val="fr-FR"/>
        </w:rPr>
        <w:t>autodétermination et au développement, ainsi que par son adhésion sans réserve aux instruments relatifs aux droits de l</w:t>
      </w:r>
      <w:r w:rsidR="0035332C">
        <w:rPr>
          <w:lang w:val="fr-FR"/>
        </w:rPr>
        <w:t>’</w:t>
      </w:r>
      <w:r w:rsidRPr="00310D49">
        <w:rPr>
          <w:lang w:val="fr-FR"/>
        </w:rPr>
        <w:t>homme, fondée sur la conviction de la légitimité du droit du peuple palestinien à exercer sa souveraineté sur ses ressources naturelles et à bénéficier des avantages du développement durable, dont l</w:t>
      </w:r>
      <w:r w:rsidR="0035332C">
        <w:rPr>
          <w:lang w:val="fr-FR"/>
        </w:rPr>
        <w:t>’</w:t>
      </w:r>
      <w:r w:rsidRPr="00310D49">
        <w:rPr>
          <w:lang w:val="fr-FR"/>
        </w:rPr>
        <w:t>une des manifestations les plus importantes est l</w:t>
      </w:r>
      <w:r w:rsidR="0035332C">
        <w:rPr>
          <w:lang w:val="fr-FR"/>
        </w:rPr>
        <w:t>’</w:t>
      </w:r>
      <w:r w:rsidRPr="00310D49">
        <w:rPr>
          <w:lang w:val="fr-FR"/>
        </w:rPr>
        <w:t>exercice du droit à l</w:t>
      </w:r>
      <w:r w:rsidR="0035332C">
        <w:rPr>
          <w:lang w:val="fr-FR"/>
        </w:rPr>
        <w:t>’</w:t>
      </w:r>
      <w:r w:rsidRPr="00310D49">
        <w:rPr>
          <w:lang w:val="fr-FR"/>
        </w:rPr>
        <w:t>autodétermination.</w:t>
      </w:r>
    </w:p>
    <w:p w14:paraId="16748D26" w14:textId="77777777" w:rsidR="00D005FA" w:rsidRPr="00310D49" w:rsidRDefault="00D005FA" w:rsidP="00826233">
      <w:pPr>
        <w:pStyle w:val="H1G"/>
        <w:rPr>
          <w:lang w:val="fr-FR"/>
        </w:rPr>
      </w:pPr>
      <w:r w:rsidRPr="00310D49">
        <w:rPr>
          <w:lang w:val="fr-FR"/>
        </w:rPr>
        <w:tab/>
      </w:r>
      <w:r w:rsidRPr="00310D49">
        <w:rPr>
          <w:lang w:val="fr-FR"/>
        </w:rPr>
        <w:tab/>
        <w:t>Article 2</w:t>
      </w:r>
      <w:bookmarkStart w:id="1" w:name="_Toc80715491"/>
      <w:bookmarkEnd w:id="1"/>
    </w:p>
    <w:p w14:paraId="1057B476" w14:textId="77777777" w:rsidR="00D005FA" w:rsidRPr="00310D49" w:rsidRDefault="00D005FA" w:rsidP="00826233">
      <w:pPr>
        <w:pStyle w:val="H23G"/>
        <w:rPr>
          <w:lang w:val="fr-FR"/>
        </w:rPr>
      </w:pPr>
      <w:r w:rsidRPr="00310D49">
        <w:rPr>
          <w:lang w:val="fr-FR"/>
        </w:rPr>
        <w:tab/>
      </w:r>
      <w:r w:rsidRPr="00310D49">
        <w:rPr>
          <w:lang w:val="fr-FR"/>
        </w:rPr>
        <w:tab/>
        <w:t>Mesures institutionnelles</w:t>
      </w:r>
    </w:p>
    <w:p w14:paraId="0FB2DB8D" w14:textId="15693946" w:rsidR="00D005FA" w:rsidRPr="00310D49" w:rsidRDefault="00D005FA" w:rsidP="00826233">
      <w:pPr>
        <w:pStyle w:val="SingleTxtG"/>
        <w:rPr>
          <w:lang w:val="fr-FR"/>
        </w:rPr>
      </w:pPr>
      <w:r w:rsidRPr="00310D49">
        <w:rPr>
          <w:lang w:val="fr-FR"/>
        </w:rPr>
        <w:t>21.</w:t>
      </w:r>
      <w:r w:rsidRPr="00310D49">
        <w:rPr>
          <w:lang w:val="fr-FR"/>
        </w:rPr>
        <w:tab/>
        <w:t>Profondément attaché à l</w:t>
      </w:r>
      <w:r w:rsidR="0035332C">
        <w:rPr>
          <w:lang w:val="fr-FR"/>
        </w:rPr>
        <w:t>’</w:t>
      </w:r>
      <w:r w:rsidRPr="00310D49">
        <w:rPr>
          <w:lang w:val="fr-FR"/>
        </w:rPr>
        <w:t>édification d</w:t>
      </w:r>
      <w:r w:rsidR="0035332C">
        <w:rPr>
          <w:lang w:val="fr-FR"/>
        </w:rPr>
        <w:t>’</w:t>
      </w:r>
      <w:r w:rsidRPr="00310D49">
        <w:rPr>
          <w:lang w:val="fr-FR"/>
        </w:rPr>
        <w:t>une société pénétrée des principes du droit international et des droits de l</w:t>
      </w:r>
      <w:r w:rsidR="0035332C">
        <w:rPr>
          <w:lang w:val="fr-FR"/>
        </w:rPr>
        <w:t>’</w:t>
      </w:r>
      <w:r w:rsidRPr="00310D49">
        <w:rPr>
          <w:lang w:val="fr-FR"/>
        </w:rPr>
        <w:t>homme et à la protection de ces droits contre toute atteinte ou violation, l</w:t>
      </w:r>
      <w:r w:rsidR="0035332C">
        <w:rPr>
          <w:lang w:val="fr-FR"/>
        </w:rPr>
        <w:t>’</w:t>
      </w:r>
      <w:r w:rsidRPr="00310D49">
        <w:rPr>
          <w:lang w:val="fr-FR"/>
        </w:rPr>
        <w:t>État de Palestine a pris de nombreuses mesures législatives, procédures et politiques pour contribuer à la promotion, au développement et à la sauvegarde des droits fondamentaux. Ainsi, après avoir obtenu le statut d</w:t>
      </w:r>
      <w:r w:rsidR="0035332C">
        <w:rPr>
          <w:lang w:val="fr-FR"/>
        </w:rPr>
        <w:t>’</w:t>
      </w:r>
      <w:r w:rsidRPr="00310D49">
        <w:rPr>
          <w:lang w:val="fr-FR"/>
        </w:rPr>
        <w:t>État non membre observateur auprès de l</w:t>
      </w:r>
      <w:r w:rsidR="0035332C">
        <w:rPr>
          <w:lang w:val="fr-FR"/>
        </w:rPr>
        <w:t>’</w:t>
      </w:r>
      <w:r w:rsidRPr="00310D49">
        <w:rPr>
          <w:lang w:val="fr-FR"/>
        </w:rPr>
        <w:t>ONU, l</w:t>
      </w:r>
      <w:r w:rsidR="0035332C">
        <w:rPr>
          <w:lang w:val="fr-FR"/>
        </w:rPr>
        <w:t>’</w:t>
      </w:r>
      <w:r w:rsidRPr="00310D49">
        <w:rPr>
          <w:lang w:val="fr-FR"/>
        </w:rPr>
        <w:t xml:space="preserve">État de Palestine a adhéré à sept des principaux instruments relatifs aux </w:t>
      </w:r>
      <w:r>
        <w:rPr>
          <w:lang w:val="fr-FR"/>
        </w:rPr>
        <w:t xml:space="preserve">droits </w:t>
      </w:r>
      <w:r w:rsidRPr="00310D49">
        <w:rPr>
          <w:lang w:val="fr-FR"/>
        </w:rPr>
        <w:t>de l</w:t>
      </w:r>
      <w:r w:rsidR="0035332C">
        <w:rPr>
          <w:lang w:val="fr-FR"/>
        </w:rPr>
        <w:t>’</w:t>
      </w:r>
      <w:r w:rsidRPr="00310D49">
        <w:rPr>
          <w:lang w:val="fr-FR"/>
        </w:rPr>
        <w:t>homme en 2014.</w:t>
      </w:r>
    </w:p>
    <w:p w14:paraId="5B9D6B0A" w14:textId="48A675F0" w:rsidR="00D005FA" w:rsidRPr="00310D49" w:rsidRDefault="00D005FA" w:rsidP="00826233">
      <w:pPr>
        <w:pStyle w:val="SingleTxtG"/>
        <w:rPr>
          <w:lang w:val="fr-FR"/>
        </w:rPr>
      </w:pPr>
      <w:r w:rsidRPr="00310D49">
        <w:rPr>
          <w:lang w:val="fr-FR"/>
        </w:rPr>
        <w:t>22.</w:t>
      </w:r>
      <w:r w:rsidRPr="00310D49">
        <w:rPr>
          <w:lang w:val="fr-FR"/>
        </w:rPr>
        <w:tab/>
        <w:t>Par sa décision de mai 2014, le Chef de l</w:t>
      </w:r>
      <w:r w:rsidR="0035332C">
        <w:rPr>
          <w:lang w:val="fr-FR"/>
        </w:rPr>
        <w:t>’</w:t>
      </w:r>
      <w:r w:rsidRPr="00310D49">
        <w:rPr>
          <w:lang w:val="fr-FR"/>
        </w:rPr>
        <w:t>État palestinien a créé un comité national interministériel permanent chargé d</w:t>
      </w:r>
      <w:r w:rsidR="0035332C">
        <w:rPr>
          <w:lang w:val="fr-FR"/>
        </w:rPr>
        <w:t>’</w:t>
      </w:r>
      <w:r w:rsidRPr="00310D49">
        <w:rPr>
          <w:lang w:val="fr-FR"/>
        </w:rPr>
        <w:t>assurer le suivi de l</w:t>
      </w:r>
      <w:r w:rsidR="0035332C">
        <w:rPr>
          <w:lang w:val="fr-FR"/>
        </w:rPr>
        <w:t>’</w:t>
      </w:r>
      <w:r w:rsidRPr="00310D49">
        <w:rPr>
          <w:lang w:val="fr-FR"/>
        </w:rPr>
        <w:t>adhésion du pays aux organisations et instruments internationaux et de veiller au respect des engagements pris à cet égard. Le</w:t>
      </w:r>
      <w:r w:rsidR="005B7C01">
        <w:rPr>
          <w:lang w:val="fr-FR"/>
        </w:rPr>
        <w:t> </w:t>
      </w:r>
      <w:r w:rsidRPr="00310D49">
        <w:rPr>
          <w:lang w:val="fr-FR"/>
        </w:rPr>
        <w:t>comité est présidé par le Ministre des affaires étrangères et des émigrés et composé de représentants de plusieurs ministères et organismes compétents, ainsi que de la Commission indépendante pour les droits de l</w:t>
      </w:r>
      <w:r w:rsidR="0035332C">
        <w:rPr>
          <w:lang w:val="fr-FR"/>
        </w:rPr>
        <w:t>’</w:t>
      </w:r>
      <w:r w:rsidRPr="00310D49">
        <w:rPr>
          <w:lang w:val="fr-FR"/>
        </w:rPr>
        <w:t>homme, laquelle bénéficie au sein de cette instance du statut d</w:t>
      </w:r>
      <w:r w:rsidR="0035332C">
        <w:rPr>
          <w:lang w:val="fr-FR"/>
        </w:rPr>
        <w:t>’</w:t>
      </w:r>
      <w:r w:rsidRPr="00310D49">
        <w:rPr>
          <w:lang w:val="fr-FR"/>
        </w:rPr>
        <w:t>observateur et s</w:t>
      </w:r>
      <w:r w:rsidR="0035332C">
        <w:rPr>
          <w:lang w:val="fr-FR"/>
        </w:rPr>
        <w:t>’</w:t>
      </w:r>
      <w:r w:rsidRPr="00310D49">
        <w:rPr>
          <w:lang w:val="fr-FR"/>
        </w:rPr>
        <w:t>est dotée d</w:t>
      </w:r>
      <w:r w:rsidR="0035332C">
        <w:rPr>
          <w:lang w:val="fr-FR"/>
        </w:rPr>
        <w:t>’</w:t>
      </w:r>
      <w:r w:rsidRPr="00310D49">
        <w:rPr>
          <w:lang w:val="fr-FR"/>
        </w:rPr>
        <w:t>un comité d</w:t>
      </w:r>
      <w:r w:rsidR="0035332C">
        <w:rPr>
          <w:lang w:val="fr-FR"/>
        </w:rPr>
        <w:t>’</w:t>
      </w:r>
      <w:r w:rsidRPr="00310D49">
        <w:rPr>
          <w:lang w:val="fr-FR"/>
        </w:rPr>
        <w:t>experts pour l</w:t>
      </w:r>
      <w:r w:rsidR="0035332C">
        <w:rPr>
          <w:lang w:val="fr-FR"/>
        </w:rPr>
        <w:t>’</w:t>
      </w:r>
      <w:r w:rsidRPr="00310D49">
        <w:rPr>
          <w:lang w:val="fr-FR"/>
        </w:rPr>
        <w:t>appuyer sur le plan technique. En</w:t>
      </w:r>
      <w:r w:rsidR="005B7C01">
        <w:rPr>
          <w:lang w:val="fr-FR"/>
        </w:rPr>
        <w:t> </w:t>
      </w:r>
      <w:r w:rsidRPr="00310D49">
        <w:rPr>
          <w:lang w:val="fr-FR"/>
        </w:rPr>
        <w:t>outre, un comité chargé de l</w:t>
      </w:r>
      <w:r w:rsidR="0035332C">
        <w:rPr>
          <w:lang w:val="fr-FR"/>
        </w:rPr>
        <w:t>’</w:t>
      </w:r>
      <w:r w:rsidRPr="00310D49">
        <w:rPr>
          <w:lang w:val="fr-FR"/>
        </w:rPr>
        <w:t>harmonisation de la législation palestinienne avec les instruments internationaux a été mis en place pour renforcer leur statut dans l</w:t>
      </w:r>
      <w:r w:rsidR="0035332C">
        <w:rPr>
          <w:lang w:val="fr-FR"/>
        </w:rPr>
        <w:t>’</w:t>
      </w:r>
      <w:r w:rsidRPr="00310D49">
        <w:rPr>
          <w:lang w:val="fr-FR"/>
        </w:rPr>
        <w:t>ordre juridique interne. La Commission et les comités susmentionnés ont été formés et préparés de sorte à donner une dimension locale aux droits de l</w:t>
      </w:r>
      <w:r w:rsidR="0035332C">
        <w:rPr>
          <w:lang w:val="fr-FR"/>
        </w:rPr>
        <w:t>’</w:t>
      </w:r>
      <w:r w:rsidRPr="00310D49">
        <w:rPr>
          <w:lang w:val="fr-FR"/>
        </w:rPr>
        <w:t>homme dans l</w:t>
      </w:r>
      <w:r w:rsidR="0035332C">
        <w:rPr>
          <w:lang w:val="fr-FR"/>
        </w:rPr>
        <w:t>’</w:t>
      </w:r>
      <w:r w:rsidRPr="00310D49">
        <w:rPr>
          <w:lang w:val="fr-FR"/>
        </w:rPr>
        <w:t>ensemble des institutions du pays.</w:t>
      </w:r>
    </w:p>
    <w:p w14:paraId="41204F07" w14:textId="7CF97488" w:rsidR="00D005FA" w:rsidRPr="00310D49" w:rsidRDefault="00D005FA" w:rsidP="00826233">
      <w:pPr>
        <w:pStyle w:val="SingleTxtG"/>
        <w:rPr>
          <w:lang w:val="fr-FR"/>
        </w:rPr>
      </w:pPr>
      <w:r w:rsidRPr="00310D49">
        <w:rPr>
          <w:lang w:val="fr-FR"/>
        </w:rPr>
        <w:t>23.</w:t>
      </w:r>
      <w:r w:rsidRPr="00310D49">
        <w:rPr>
          <w:lang w:val="fr-FR"/>
        </w:rPr>
        <w:tab/>
        <w:t>Le Département des traités internationaux a été créé au sein du Ministère des affaires étrangères et des émigrés pour mettre en œuvre les mesures et procédures prises en application des engagements au titre des instruments internationaux auxquels l</w:t>
      </w:r>
      <w:r w:rsidR="0035332C">
        <w:rPr>
          <w:lang w:val="fr-FR"/>
        </w:rPr>
        <w:t>’</w:t>
      </w:r>
      <w:r w:rsidRPr="00310D49">
        <w:rPr>
          <w:lang w:val="fr-FR"/>
        </w:rPr>
        <w:t>État de Palestine est partie et pour améliorer la situation des droits de l</w:t>
      </w:r>
      <w:r w:rsidR="0035332C">
        <w:rPr>
          <w:lang w:val="fr-FR"/>
        </w:rPr>
        <w:t>’</w:t>
      </w:r>
      <w:r w:rsidRPr="00310D49">
        <w:rPr>
          <w:lang w:val="fr-FR"/>
        </w:rPr>
        <w:t>homme dans le pays. L</w:t>
      </w:r>
      <w:r w:rsidR="0035332C">
        <w:rPr>
          <w:lang w:val="fr-FR"/>
        </w:rPr>
        <w:t>’</w:t>
      </w:r>
      <w:r w:rsidRPr="00310D49">
        <w:rPr>
          <w:lang w:val="fr-FR"/>
        </w:rPr>
        <w:t>État</w:t>
      </w:r>
      <w:r w:rsidR="005B7C01">
        <w:rPr>
          <w:lang w:val="fr-FR"/>
        </w:rPr>
        <w:t> </w:t>
      </w:r>
      <w:r w:rsidRPr="00310D49">
        <w:rPr>
          <w:lang w:val="fr-FR"/>
        </w:rPr>
        <w:t>de Palestine s</w:t>
      </w:r>
      <w:r w:rsidR="0035332C">
        <w:rPr>
          <w:lang w:val="fr-FR"/>
        </w:rPr>
        <w:t>’</w:t>
      </w:r>
      <w:r w:rsidRPr="00310D49">
        <w:rPr>
          <w:lang w:val="fr-FR"/>
        </w:rPr>
        <w:t>est également engagé à soumettre les rapports initiaux sur l</w:t>
      </w:r>
      <w:r w:rsidR="0035332C">
        <w:rPr>
          <w:lang w:val="fr-FR"/>
        </w:rPr>
        <w:t>’</w:t>
      </w:r>
      <w:r w:rsidRPr="00310D49">
        <w:rPr>
          <w:lang w:val="fr-FR"/>
        </w:rPr>
        <w:t>application des dispositions des instruments relatifs aux droits de l</w:t>
      </w:r>
      <w:r w:rsidR="0035332C">
        <w:rPr>
          <w:lang w:val="fr-FR"/>
        </w:rPr>
        <w:t>’</w:t>
      </w:r>
      <w:r w:rsidRPr="00310D49">
        <w:rPr>
          <w:lang w:val="fr-FR"/>
        </w:rPr>
        <w:t xml:space="preserve">homme auxquels il a adhéré. À cet égard, il a reçu un ensemble de recommandations et prend actuellement les mesures nécessaires pour y donner suite conformément au mécanisme national. </w:t>
      </w:r>
    </w:p>
    <w:p w14:paraId="0F8484B4" w14:textId="5B55B9FA" w:rsidR="00D005FA" w:rsidRPr="00310D49" w:rsidRDefault="00D005FA" w:rsidP="00826233">
      <w:pPr>
        <w:pStyle w:val="SingleTxtG"/>
        <w:rPr>
          <w:lang w:val="fr-FR"/>
        </w:rPr>
      </w:pPr>
      <w:r w:rsidRPr="00310D49">
        <w:rPr>
          <w:lang w:val="fr-FR"/>
        </w:rPr>
        <w:t>24.</w:t>
      </w:r>
      <w:r w:rsidRPr="00310D49">
        <w:rPr>
          <w:lang w:val="fr-FR"/>
        </w:rPr>
        <w:tab/>
        <w:t>L</w:t>
      </w:r>
      <w:r w:rsidR="0035332C">
        <w:rPr>
          <w:lang w:val="fr-FR"/>
        </w:rPr>
        <w:t>’</w:t>
      </w:r>
      <w:r w:rsidRPr="00310D49">
        <w:rPr>
          <w:lang w:val="fr-FR"/>
        </w:rPr>
        <w:t>État de Palestine a transposé les obligations qui lui incombent en vertu des conventions et traités internationaux auxquels il a adhéré dans le «</w:t>
      </w:r>
      <w:r w:rsidR="00B02693">
        <w:rPr>
          <w:lang w:val="fr-FR"/>
        </w:rPr>
        <w:t> </w:t>
      </w:r>
      <w:r w:rsidRPr="00310D49">
        <w:rPr>
          <w:lang w:val="fr-FR"/>
        </w:rPr>
        <w:t>Programme de politiques nationales 2017-2022</w:t>
      </w:r>
      <w:r w:rsidR="00B02693">
        <w:rPr>
          <w:lang w:val="fr-FR"/>
        </w:rPr>
        <w:t> </w:t>
      </w:r>
      <w:r w:rsidRPr="00310D49">
        <w:rPr>
          <w:lang w:val="fr-FR"/>
        </w:rPr>
        <w:t>: le citoyen d</w:t>
      </w:r>
      <w:r w:rsidR="0035332C">
        <w:rPr>
          <w:lang w:val="fr-FR"/>
        </w:rPr>
        <w:t>’</w:t>
      </w:r>
      <w:r w:rsidRPr="00310D49">
        <w:rPr>
          <w:lang w:val="fr-FR"/>
        </w:rPr>
        <w:t>abord</w:t>
      </w:r>
      <w:r w:rsidR="00B02693">
        <w:rPr>
          <w:lang w:val="fr-FR"/>
        </w:rPr>
        <w:t> </w:t>
      </w:r>
      <w:r w:rsidRPr="00310D49">
        <w:rPr>
          <w:lang w:val="fr-FR"/>
        </w:rPr>
        <w:t>», ainsi que dans les stratégies sectorielles et intersectorielles, qui constituent ensemble le quatrième Plan national de développement, conformément aux objectifs de développement durable que l</w:t>
      </w:r>
      <w:r w:rsidR="0035332C">
        <w:rPr>
          <w:lang w:val="fr-FR"/>
        </w:rPr>
        <w:t>’</w:t>
      </w:r>
      <w:r w:rsidRPr="00310D49">
        <w:rPr>
          <w:lang w:val="fr-FR"/>
        </w:rPr>
        <w:t>Organisations des Nations</w:t>
      </w:r>
      <w:r w:rsidR="005B7C01">
        <w:rPr>
          <w:lang w:val="fr-FR"/>
        </w:rPr>
        <w:t> </w:t>
      </w:r>
      <w:r w:rsidRPr="00310D49">
        <w:rPr>
          <w:lang w:val="fr-FR"/>
        </w:rPr>
        <w:t>Unies a fixés pour 2030.</w:t>
      </w:r>
    </w:p>
    <w:p w14:paraId="69E3B9F7" w14:textId="54D813F7" w:rsidR="00D005FA" w:rsidRPr="00310D49" w:rsidRDefault="00D005FA" w:rsidP="00826233">
      <w:pPr>
        <w:pStyle w:val="SingleTxtG"/>
        <w:rPr>
          <w:lang w:val="fr-FR"/>
        </w:rPr>
      </w:pPr>
      <w:r w:rsidRPr="00310D49">
        <w:rPr>
          <w:lang w:val="fr-FR"/>
        </w:rPr>
        <w:lastRenderedPageBreak/>
        <w:t>25.</w:t>
      </w:r>
      <w:r w:rsidRPr="00310D49">
        <w:rPr>
          <w:lang w:val="fr-FR"/>
        </w:rPr>
        <w:tab/>
        <w:t>L</w:t>
      </w:r>
      <w:r w:rsidR="0035332C">
        <w:rPr>
          <w:lang w:val="fr-FR"/>
        </w:rPr>
        <w:t>’</w:t>
      </w:r>
      <w:r w:rsidRPr="00310D49">
        <w:rPr>
          <w:lang w:val="fr-FR"/>
        </w:rPr>
        <w:t>État de Palestine a réaffirmé son engagement envers le Programme de développement durable des Nations Unies et a présenté, par l</w:t>
      </w:r>
      <w:r w:rsidR="0035332C">
        <w:rPr>
          <w:lang w:val="fr-FR"/>
        </w:rPr>
        <w:t>’</w:t>
      </w:r>
      <w:r w:rsidRPr="00310D49">
        <w:rPr>
          <w:lang w:val="fr-FR"/>
        </w:rPr>
        <w:t>intermédiaire d</w:t>
      </w:r>
      <w:r w:rsidR="0035332C">
        <w:rPr>
          <w:lang w:val="fr-FR"/>
        </w:rPr>
        <w:t>’</w:t>
      </w:r>
      <w:r w:rsidRPr="00310D49">
        <w:rPr>
          <w:lang w:val="fr-FR"/>
        </w:rPr>
        <w:t>un haut comité national sur le développement durable, son rapport d</w:t>
      </w:r>
      <w:r w:rsidR="0035332C">
        <w:rPr>
          <w:lang w:val="fr-FR"/>
        </w:rPr>
        <w:t>’</w:t>
      </w:r>
      <w:r w:rsidRPr="00310D49">
        <w:rPr>
          <w:lang w:val="fr-FR"/>
        </w:rPr>
        <w:t xml:space="preserve">examen national volontaire sur la mise en œuvre du Programme 2030 lors du Forum politique de haut niveau sur le développement </w:t>
      </w:r>
      <w:r w:rsidRPr="00311C56">
        <w:rPr>
          <w:lang w:val="fr-FR"/>
        </w:rPr>
        <w:t>durable de 2018. Ledit rapport a fait l</w:t>
      </w:r>
      <w:r w:rsidR="0035332C">
        <w:rPr>
          <w:lang w:val="fr-FR"/>
        </w:rPr>
        <w:t>’</w:t>
      </w:r>
      <w:r w:rsidRPr="00311C56">
        <w:rPr>
          <w:lang w:val="fr-FR"/>
        </w:rPr>
        <w:t>objet d</w:t>
      </w:r>
      <w:r w:rsidR="0035332C">
        <w:rPr>
          <w:lang w:val="fr-FR"/>
        </w:rPr>
        <w:t>’</w:t>
      </w:r>
      <w:r w:rsidRPr="00311C56">
        <w:rPr>
          <w:lang w:val="fr-FR"/>
        </w:rPr>
        <w:t>un examen devant l</w:t>
      </w:r>
      <w:r w:rsidR="0035332C">
        <w:rPr>
          <w:lang w:val="fr-FR"/>
        </w:rPr>
        <w:t>’</w:t>
      </w:r>
      <w:r w:rsidRPr="00311C56">
        <w:rPr>
          <w:lang w:val="fr-FR"/>
        </w:rPr>
        <w:t>Assemblée générale des Nations Unies.</w:t>
      </w:r>
    </w:p>
    <w:p w14:paraId="60622AFF" w14:textId="77777777" w:rsidR="00D005FA" w:rsidRPr="00310D49" w:rsidRDefault="00D005FA" w:rsidP="00826233">
      <w:pPr>
        <w:pStyle w:val="H23G"/>
        <w:rPr>
          <w:lang w:val="fr-FR"/>
        </w:rPr>
      </w:pPr>
      <w:r w:rsidRPr="00310D49">
        <w:rPr>
          <w:lang w:val="fr-FR"/>
        </w:rPr>
        <w:tab/>
      </w:r>
      <w:r w:rsidRPr="00310D49">
        <w:rPr>
          <w:lang w:val="fr-FR"/>
        </w:rPr>
        <w:tab/>
        <w:t>Mesures législatives</w:t>
      </w:r>
    </w:p>
    <w:p w14:paraId="3118528D" w14:textId="77777777" w:rsidR="00D005FA" w:rsidRPr="00310D49" w:rsidRDefault="00D005FA" w:rsidP="00826233">
      <w:pPr>
        <w:pStyle w:val="H23G"/>
        <w:rPr>
          <w:lang w:val="fr-FR"/>
        </w:rPr>
      </w:pPr>
      <w:r w:rsidRPr="00310D49">
        <w:rPr>
          <w:lang w:val="fr-FR"/>
        </w:rPr>
        <w:tab/>
      </w:r>
      <w:r w:rsidRPr="00310D49">
        <w:rPr>
          <w:lang w:val="fr-FR"/>
        </w:rPr>
        <w:tab/>
        <w:t xml:space="preserve">Incorporation des dispositions du </w:t>
      </w:r>
      <w:r>
        <w:rPr>
          <w:lang w:val="fr-FR"/>
        </w:rPr>
        <w:t>P</w:t>
      </w:r>
      <w:r w:rsidRPr="00310D49">
        <w:rPr>
          <w:lang w:val="fr-FR"/>
        </w:rPr>
        <w:t>acte dans le droit interne</w:t>
      </w:r>
    </w:p>
    <w:p w14:paraId="0D23C3DE" w14:textId="267A9610" w:rsidR="00D005FA" w:rsidRPr="00310D49" w:rsidRDefault="00D005FA" w:rsidP="00826233">
      <w:pPr>
        <w:pStyle w:val="SingleTxtG"/>
        <w:rPr>
          <w:spacing w:val="-4"/>
          <w:lang w:val="fr-FR"/>
        </w:rPr>
      </w:pPr>
      <w:r w:rsidRPr="00310D49">
        <w:rPr>
          <w:lang w:val="fr-FR"/>
        </w:rPr>
        <w:t>26.</w:t>
      </w:r>
      <w:r w:rsidRPr="00310D49">
        <w:rPr>
          <w:lang w:val="fr-FR"/>
        </w:rPr>
        <w:tab/>
        <w:t>La Déclaration d</w:t>
      </w:r>
      <w:r w:rsidR="0035332C">
        <w:rPr>
          <w:lang w:val="fr-FR"/>
        </w:rPr>
        <w:t>’</w:t>
      </w:r>
      <w:r w:rsidRPr="00310D49">
        <w:rPr>
          <w:lang w:val="fr-FR"/>
        </w:rPr>
        <w:t>indépendance palestinienne, qui est le document constitutionnel le plus important de l</w:t>
      </w:r>
      <w:r w:rsidR="0035332C">
        <w:rPr>
          <w:lang w:val="fr-FR"/>
        </w:rPr>
        <w:t>’</w:t>
      </w:r>
      <w:r w:rsidRPr="00310D49">
        <w:rPr>
          <w:lang w:val="fr-FR"/>
        </w:rPr>
        <w:t>État de Palestine, contient les fondements juridiques de l</w:t>
      </w:r>
      <w:r w:rsidR="0035332C">
        <w:rPr>
          <w:lang w:val="fr-FR"/>
        </w:rPr>
        <w:t>’</w:t>
      </w:r>
      <w:r w:rsidRPr="00310D49">
        <w:rPr>
          <w:lang w:val="fr-FR"/>
        </w:rPr>
        <w:t>obligation de se conformer à la Déclaration universelle des droits de l</w:t>
      </w:r>
      <w:r w:rsidR="0035332C">
        <w:rPr>
          <w:lang w:val="fr-FR"/>
        </w:rPr>
        <w:t>’</w:t>
      </w:r>
      <w:r w:rsidRPr="00310D49">
        <w:rPr>
          <w:lang w:val="fr-FR"/>
        </w:rPr>
        <w:t>homme, au droit international et aux Principes des Nations Unies. En outre, la Loi fondamentale, telle que modifiée, met l</w:t>
      </w:r>
      <w:r w:rsidR="0035332C">
        <w:rPr>
          <w:lang w:val="fr-FR"/>
        </w:rPr>
        <w:t>’</w:t>
      </w:r>
      <w:r w:rsidRPr="00310D49">
        <w:rPr>
          <w:lang w:val="fr-FR"/>
        </w:rPr>
        <w:t>accent sur les diverses dispositions du Pacte dans son chapitre II intitulé «</w:t>
      </w:r>
      <w:r w:rsidR="005B7C01">
        <w:rPr>
          <w:lang w:val="fr-FR"/>
        </w:rPr>
        <w:t> </w:t>
      </w:r>
      <w:r w:rsidRPr="00310D49">
        <w:rPr>
          <w:lang w:val="fr-FR"/>
        </w:rPr>
        <w:t>Droits et libertés publiques</w:t>
      </w:r>
      <w:r w:rsidR="005B7C01">
        <w:rPr>
          <w:lang w:val="fr-FR"/>
        </w:rPr>
        <w:t> </w:t>
      </w:r>
      <w:r w:rsidRPr="00310D49">
        <w:rPr>
          <w:lang w:val="fr-FR"/>
        </w:rPr>
        <w:t>», qui consacre notamment le droit de tout individu à la liberté et à la sécurité de sa personne (art</w:t>
      </w:r>
      <w:r w:rsidR="005B7C01">
        <w:rPr>
          <w:lang w:val="fr-FR"/>
        </w:rPr>
        <w:t>. </w:t>
      </w:r>
      <w:r w:rsidRPr="00310D49">
        <w:rPr>
          <w:lang w:val="fr-FR"/>
        </w:rPr>
        <w:t>11 et 12)</w:t>
      </w:r>
      <w:r w:rsidR="00B02693">
        <w:rPr>
          <w:lang w:val="fr-FR"/>
        </w:rPr>
        <w:t> </w:t>
      </w:r>
      <w:r w:rsidRPr="00310D49">
        <w:rPr>
          <w:lang w:val="fr-FR"/>
        </w:rPr>
        <w:t>; l</w:t>
      </w:r>
      <w:r w:rsidR="0035332C">
        <w:rPr>
          <w:lang w:val="fr-FR"/>
        </w:rPr>
        <w:t>’</w:t>
      </w:r>
      <w:r w:rsidRPr="00310D49">
        <w:rPr>
          <w:lang w:val="fr-FR"/>
        </w:rPr>
        <w:t>interdiction de la coercition et de la torture (art</w:t>
      </w:r>
      <w:r w:rsidR="005B7C01">
        <w:rPr>
          <w:lang w:val="fr-FR"/>
        </w:rPr>
        <w:t>. </w:t>
      </w:r>
      <w:r w:rsidRPr="00310D49">
        <w:rPr>
          <w:lang w:val="fr-FR"/>
        </w:rPr>
        <w:t>13)</w:t>
      </w:r>
      <w:r w:rsidR="00B02693">
        <w:rPr>
          <w:lang w:val="fr-FR"/>
        </w:rPr>
        <w:t> </w:t>
      </w:r>
      <w:r w:rsidRPr="00310D49">
        <w:rPr>
          <w:lang w:val="fr-FR"/>
        </w:rPr>
        <w:t>; le droit à un procès équitable (art</w:t>
      </w:r>
      <w:r w:rsidR="005B7C01">
        <w:rPr>
          <w:lang w:val="fr-FR"/>
        </w:rPr>
        <w:t>. </w:t>
      </w:r>
      <w:r w:rsidRPr="00310D49">
        <w:rPr>
          <w:lang w:val="fr-FR"/>
        </w:rPr>
        <w:t>14)</w:t>
      </w:r>
      <w:r w:rsidR="00826233">
        <w:rPr>
          <w:lang w:val="fr-FR"/>
        </w:rPr>
        <w:t> </w:t>
      </w:r>
      <w:r w:rsidRPr="00310D49">
        <w:rPr>
          <w:lang w:val="fr-FR"/>
        </w:rPr>
        <w:t>; l</w:t>
      </w:r>
      <w:r w:rsidR="0035332C">
        <w:rPr>
          <w:lang w:val="fr-FR"/>
        </w:rPr>
        <w:t>’</w:t>
      </w:r>
      <w:r w:rsidRPr="00310D49">
        <w:rPr>
          <w:lang w:val="fr-FR"/>
        </w:rPr>
        <w:t>interdiction de soumettre une personne sans son libre consentement à une expérience médicale (art</w:t>
      </w:r>
      <w:r w:rsidR="005B7C01">
        <w:rPr>
          <w:lang w:val="fr-FR"/>
        </w:rPr>
        <w:t>. </w:t>
      </w:r>
      <w:r w:rsidRPr="00310D49">
        <w:rPr>
          <w:lang w:val="fr-FR"/>
        </w:rPr>
        <w:t>16)</w:t>
      </w:r>
      <w:r w:rsidR="00B02693">
        <w:rPr>
          <w:lang w:val="fr-FR"/>
        </w:rPr>
        <w:t> </w:t>
      </w:r>
      <w:r w:rsidRPr="00310D49">
        <w:rPr>
          <w:lang w:val="fr-FR"/>
        </w:rPr>
        <w:t>; l</w:t>
      </w:r>
      <w:r w:rsidR="0035332C">
        <w:rPr>
          <w:lang w:val="fr-FR"/>
        </w:rPr>
        <w:t>’</w:t>
      </w:r>
      <w:r w:rsidRPr="00310D49">
        <w:rPr>
          <w:lang w:val="fr-FR"/>
        </w:rPr>
        <w:t>inviolabilité du domicile (art</w:t>
      </w:r>
      <w:r w:rsidR="005B7C01">
        <w:rPr>
          <w:lang w:val="fr-FR"/>
        </w:rPr>
        <w:t>.</w:t>
      </w:r>
      <w:r w:rsidR="00B02693">
        <w:rPr>
          <w:lang w:val="fr-FR"/>
        </w:rPr>
        <w:t> </w:t>
      </w:r>
      <w:r w:rsidRPr="00310D49">
        <w:rPr>
          <w:lang w:val="fr-FR"/>
        </w:rPr>
        <w:t>17)</w:t>
      </w:r>
      <w:r w:rsidR="00B02693">
        <w:rPr>
          <w:lang w:val="fr-FR"/>
        </w:rPr>
        <w:t> </w:t>
      </w:r>
      <w:r w:rsidRPr="00310D49">
        <w:rPr>
          <w:lang w:val="fr-FR"/>
        </w:rPr>
        <w:t>; la</w:t>
      </w:r>
      <w:r w:rsidR="005B7C01">
        <w:rPr>
          <w:lang w:val="fr-FR"/>
        </w:rPr>
        <w:t> </w:t>
      </w:r>
      <w:r w:rsidRPr="00310D49">
        <w:rPr>
          <w:lang w:val="fr-FR"/>
        </w:rPr>
        <w:t>liberté de croyance, de religion et de culte (art</w:t>
      </w:r>
      <w:r w:rsidR="005B7C01">
        <w:rPr>
          <w:lang w:val="fr-FR"/>
        </w:rPr>
        <w:t>. </w:t>
      </w:r>
      <w:r w:rsidRPr="00310D49">
        <w:rPr>
          <w:lang w:val="fr-FR"/>
        </w:rPr>
        <w:t>18)</w:t>
      </w:r>
      <w:r w:rsidR="00B02693">
        <w:rPr>
          <w:lang w:val="fr-FR"/>
        </w:rPr>
        <w:t> </w:t>
      </w:r>
      <w:r w:rsidRPr="00310D49">
        <w:rPr>
          <w:lang w:val="fr-FR"/>
        </w:rPr>
        <w:t>; la liberté d</w:t>
      </w:r>
      <w:r w:rsidR="0035332C">
        <w:rPr>
          <w:lang w:val="fr-FR"/>
        </w:rPr>
        <w:t>’</w:t>
      </w:r>
      <w:r w:rsidRPr="00310D49">
        <w:rPr>
          <w:lang w:val="fr-FR"/>
        </w:rPr>
        <w:t>opinion et d</w:t>
      </w:r>
      <w:r w:rsidR="0035332C">
        <w:rPr>
          <w:lang w:val="fr-FR"/>
        </w:rPr>
        <w:t>’</w:t>
      </w:r>
      <w:r w:rsidRPr="00310D49">
        <w:rPr>
          <w:lang w:val="fr-FR"/>
        </w:rPr>
        <w:t>expression (art</w:t>
      </w:r>
      <w:r w:rsidR="005B7C01">
        <w:rPr>
          <w:lang w:val="fr-FR"/>
        </w:rPr>
        <w:t>. </w:t>
      </w:r>
      <w:r w:rsidRPr="00310D49">
        <w:rPr>
          <w:lang w:val="fr-FR"/>
        </w:rPr>
        <w:t>19)</w:t>
      </w:r>
      <w:r w:rsidR="00B02693">
        <w:rPr>
          <w:lang w:val="fr-FR"/>
        </w:rPr>
        <w:t> </w:t>
      </w:r>
      <w:r w:rsidRPr="00310D49">
        <w:rPr>
          <w:lang w:val="fr-FR"/>
        </w:rPr>
        <w:t>; la liberté de résidence et de circulation (art</w:t>
      </w:r>
      <w:r w:rsidR="005B7C01">
        <w:rPr>
          <w:lang w:val="fr-FR"/>
        </w:rPr>
        <w:t>. </w:t>
      </w:r>
      <w:r w:rsidRPr="00310D49">
        <w:rPr>
          <w:lang w:val="fr-FR"/>
        </w:rPr>
        <w:t>20)</w:t>
      </w:r>
      <w:r w:rsidR="00B02693">
        <w:rPr>
          <w:lang w:val="fr-FR"/>
        </w:rPr>
        <w:t> </w:t>
      </w:r>
      <w:r w:rsidRPr="00310D49">
        <w:rPr>
          <w:lang w:val="fr-FR"/>
        </w:rPr>
        <w:t>; le droit de participer à la vie politique, le droit de former des partis, des syndicats et des associations, le droit de vote et le droit de réunion (art</w:t>
      </w:r>
      <w:r w:rsidR="005B7C01">
        <w:rPr>
          <w:lang w:val="fr-FR"/>
        </w:rPr>
        <w:t>. </w:t>
      </w:r>
      <w:r w:rsidRPr="00310D49">
        <w:rPr>
          <w:lang w:val="fr-FR"/>
        </w:rPr>
        <w:t>26)</w:t>
      </w:r>
      <w:r w:rsidR="00B02693">
        <w:rPr>
          <w:lang w:val="fr-FR"/>
        </w:rPr>
        <w:t> </w:t>
      </w:r>
      <w:r w:rsidRPr="00310D49">
        <w:rPr>
          <w:lang w:val="fr-FR"/>
        </w:rPr>
        <w:t>; la création de journaux et de médias (art</w:t>
      </w:r>
      <w:r w:rsidR="005B7C01">
        <w:rPr>
          <w:lang w:val="fr-FR"/>
        </w:rPr>
        <w:t>.</w:t>
      </w:r>
      <w:r w:rsidR="00B02693">
        <w:rPr>
          <w:lang w:val="fr-FR"/>
        </w:rPr>
        <w:t> </w:t>
      </w:r>
      <w:r w:rsidRPr="00310D49">
        <w:rPr>
          <w:lang w:val="fr-FR"/>
        </w:rPr>
        <w:t>27)</w:t>
      </w:r>
      <w:r w:rsidR="00B02693">
        <w:rPr>
          <w:lang w:val="fr-FR"/>
        </w:rPr>
        <w:t> </w:t>
      </w:r>
      <w:r w:rsidRPr="00310D49">
        <w:rPr>
          <w:lang w:val="fr-FR"/>
        </w:rPr>
        <w:t>; l</w:t>
      </w:r>
      <w:r w:rsidR="0035332C">
        <w:rPr>
          <w:lang w:val="fr-FR"/>
        </w:rPr>
        <w:t>’</w:t>
      </w:r>
      <w:r w:rsidRPr="00310D49">
        <w:rPr>
          <w:lang w:val="fr-FR"/>
        </w:rPr>
        <w:t>interdiction d</w:t>
      </w:r>
      <w:r w:rsidR="0035332C">
        <w:rPr>
          <w:lang w:val="fr-FR"/>
        </w:rPr>
        <w:t>’</w:t>
      </w:r>
      <w:r w:rsidRPr="00310D49">
        <w:rPr>
          <w:lang w:val="fr-FR"/>
        </w:rPr>
        <w:t>expulser un Palestinien de sa patrie et de l</w:t>
      </w:r>
      <w:r w:rsidR="0035332C">
        <w:rPr>
          <w:lang w:val="fr-FR"/>
        </w:rPr>
        <w:t>’</w:t>
      </w:r>
      <w:r w:rsidRPr="00310D49">
        <w:rPr>
          <w:lang w:val="fr-FR"/>
        </w:rPr>
        <w:t>empêcher de la quitter ou d</w:t>
      </w:r>
      <w:r w:rsidR="0035332C">
        <w:rPr>
          <w:lang w:val="fr-FR"/>
        </w:rPr>
        <w:t>’</w:t>
      </w:r>
      <w:r w:rsidRPr="00310D49">
        <w:rPr>
          <w:lang w:val="fr-FR"/>
        </w:rPr>
        <w:t>y retourner, ainsi que l</w:t>
      </w:r>
      <w:r w:rsidR="0035332C">
        <w:rPr>
          <w:lang w:val="fr-FR"/>
        </w:rPr>
        <w:t>’</w:t>
      </w:r>
      <w:r w:rsidRPr="00310D49">
        <w:rPr>
          <w:lang w:val="fr-FR"/>
        </w:rPr>
        <w:t>interdiction de le priver de sa nationalité (art</w:t>
      </w:r>
      <w:r w:rsidR="005B7C01">
        <w:rPr>
          <w:lang w:val="fr-FR"/>
        </w:rPr>
        <w:t>. </w:t>
      </w:r>
      <w:r w:rsidRPr="00310D49">
        <w:rPr>
          <w:lang w:val="fr-FR"/>
        </w:rPr>
        <w:t>28)</w:t>
      </w:r>
      <w:r w:rsidR="00B02693">
        <w:rPr>
          <w:lang w:val="fr-FR"/>
        </w:rPr>
        <w:t> </w:t>
      </w:r>
      <w:r w:rsidRPr="00310D49">
        <w:rPr>
          <w:lang w:val="fr-FR"/>
        </w:rPr>
        <w:t>; le devoir d</w:t>
      </w:r>
      <w:r w:rsidR="0035332C">
        <w:rPr>
          <w:lang w:val="fr-FR"/>
        </w:rPr>
        <w:t>’</w:t>
      </w:r>
      <w:r w:rsidRPr="00310D49">
        <w:rPr>
          <w:lang w:val="fr-FR"/>
        </w:rPr>
        <w:t>assurer le bien-être de la mère et de l</w:t>
      </w:r>
      <w:r w:rsidR="0035332C">
        <w:rPr>
          <w:lang w:val="fr-FR"/>
        </w:rPr>
        <w:t>’</w:t>
      </w:r>
      <w:r w:rsidRPr="00310D49">
        <w:rPr>
          <w:lang w:val="fr-FR"/>
        </w:rPr>
        <w:t>enfant (art</w:t>
      </w:r>
      <w:r w:rsidR="005B7C01">
        <w:rPr>
          <w:lang w:val="fr-FR"/>
        </w:rPr>
        <w:t>. </w:t>
      </w:r>
      <w:r w:rsidRPr="00310D49">
        <w:rPr>
          <w:lang w:val="fr-FR"/>
        </w:rPr>
        <w:t>29)</w:t>
      </w:r>
      <w:r w:rsidR="00B02693">
        <w:rPr>
          <w:lang w:val="fr-FR"/>
        </w:rPr>
        <w:t> </w:t>
      </w:r>
      <w:r w:rsidRPr="00310D49">
        <w:rPr>
          <w:lang w:val="fr-FR"/>
        </w:rPr>
        <w:t>; le droit d</w:t>
      </w:r>
      <w:r w:rsidR="0035332C">
        <w:rPr>
          <w:lang w:val="fr-FR"/>
        </w:rPr>
        <w:t>’</w:t>
      </w:r>
      <w:r w:rsidRPr="00310D49">
        <w:rPr>
          <w:lang w:val="fr-FR"/>
        </w:rPr>
        <w:t>ester en justice et le droit à réparation pour erreur judiciaire (art</w:t>
      </w:r>
      <w:r w:rsidR="005B7C01">
        <w:rPr>
          <w:lang w:val="fr-FR"/>
        </w:rPr>
        <w:t>. </w:t>
      </w:r>
      <w:r w:rsidRPr="00310D49">
        <w:rPr>
          <w:lang w:val="fr-FR"/>
        </w:rPr>
        <w:t>30)</w:t>
      </w:r>
      <w:r w:rsidR="00B02693">
        <w:rPr>
          <w:lang w:val="fr-FR"/>
        </w:rPr>
        <w:t> </w:t>
      </w:r>
      <w:r w:rsidRPr="00310D49">
        <w:rPr>
          <w:lang w:val="fr-FR"/>
        </w:rPr>
        <w:t>; le droit à réparation de dommages résultant d</w:t>
      </w:r>
      <w:r w:rsidR="0035332C">
        <w:rPr>
          <w:lang w:val="fr-FR"/>
        </w:rPr>
        <w:t>’</w:t>
      </w:r>
      <w:r w:rsidRPr="00310D49">
        <w:rPr>
          <w:lang w:val="fr-FR"/>
        </w:rPr>
        <w:t>actes portant atteinte aux libertés individuelles (art</w:t>
      </w:r>
      <w:r w:rsidR="005B7C01">
        <w:rPr>
          <w:lang w:val="fr-FR"/>
        </w:rPr>
        <w:t>. </w:t>
      </w:r>
      <w:r w:rsidRPr="00310D49">
        <w:rPr>
          <w:lang w:val="fr-FR"/>
        </w:rPr>
        <w:t>32). En outre, le Gouvernement palestinien a entrepris depuis 1994 de nombreuses réformes législatives et s</w:t>
      </w:r>
      <w:r w:rsidR="0035332C">
        <w:rPr>
          <w:lang w:val="fr-FR"/>
        </w:rPr>
        <w:t>’</w:t>
      </w:r>
      <w:r w:rsidRPr="00310D49">
        <w:rPr>
          <w:lang w:val="fr-FR"/>
        </w:rPr>
        <w:t>est employé à adopter un large éventail de textes législatifs.</w:t>
      </w:r>
    </w:p>
    <w:p w14:paraId="301DCA8E" w14:textId="183D0B2D" w:rsidR="00D005FA" w:rsidRPr="00310D49" w:rsidRDefault="00D005FA" w:rsidP="00826233">
      <w:pPr>
        <w:pStyle w:val="SingleTxtG"/>
        <w:rPr>
          <w:lang w:val="fr-FR"/>
        </w:rPr>
      </w:pPr>
      <w:r w:rsidRPr="00310D49">
        <w:rPr>
          <w:lang w:val="fr-FR"/>
        </w:rPr>
        <w:t>27.</w:t>
      </w:r>
      <w:r w:rsidRPr="00310D49">
        <w:rPr>
          <w:lang w:val="fr-FR"/>
        </w:rPr>
        <w:tab/>
        <w:t>Afin que l</w:t>
      </w:r>
      <w:r w:rsidR="0035332C">
        <w:rPr>
          <w:lang w:val="fr-FR"/>
        </w:rPr>
        <w:t>’</w:t>
      </w:r>
      <w:r w:rsidRPr="00310D49">
        <w:rPr>
          <w:lang w:val="fr-FR"/>
        </w:rPr>
        <w:t>État de Palestine remplisse ses obligations et jette les bases d</w:t>
      </w:r>
      <w:r w:rsidR="0035332C">
        <w:rPr>
          <w:lang w:val="fr-FR"/>
        </w:rPr>
        <w:t>’</w:t>
      </w:r>
      <w:r w:rsidRPr="00310D49">
        <w:rPr>
          <w:lang w:val="fr-FR"/>
        </w:rPr>
        <w:t>un système juridique interne unifié du fait de la multiplicité des lois et textes législatifs qui lui ont été imposés au cours des différentes périodes historiques, la Haute Cour constitutionnelle a rendu sa décision interprétative n</w:t>
      </w:r>
      <w:r w:rsidR="00B02693" w:rsidRPr="00B02693">
        <w:rPr>
          <w:vertAlign w:val="superscript"/>
          <w:lang w:val="fr-FR"/>
        </w:rPr>
        <w:t>o</w:t>
      </w:r>
      <w:r w:rsidR="00B02693">
        <w:rPr>
          <w:lang w:val="fr-FR"/>
        </w:rPr>
        <w:t> </w:t>
      </w:r>
      <w:r w:rsidRPr="00310D49">
        <w:rPr>
          <w:lang w:val="fr-FR"/>
        </w:rPr>
        <w:t>5/2017 relative à l</w:t>
      </w:r>
      <w:r w:rsidR="0035332C">
        <w:rPr>
          <w:lang w:val="fr-FR"/>
        </w:rPr>
        <w:t>’</w:t>
      </w:r>
      <w:r w:rsidRPr="00310D49">
        <w:rPr>
          <w:lang w:val="fr-FR"/>
        </w:rPr>
        <w:t>article</w:t>
      </w:r>
      <w:r w:rsidR="007254B6">
        <w:rPr>
          <w:lang w:val="fr-FR"/>
        </w:rPr>
        <w:t> </w:t>
      </w:r>
      <w:r w:rsidRPr="00310D49">
        <w:rPr>
          <w:lang w:val="fr-FR"/>
        </w:rPr>
        <w:t>10 de la loi fondamentale, telle que modifiée, dans laquelle il est souligné que «</w:t>
      </w:r>
      <w:r w:rsidR="007254B6">
        <w:rPr>
          <w:lang w:val="fr-FR"/>
        </w:rPr>
        <w:t> </w:t>
      </w:r>
      <w:r w:rsidRPr="00310D49">
        <w:rPr>
          <w:lang w:val="fr-FR"/>
        </w:rPr>
        <w:t>les droits et libertés de l</w:t>
      </w:r>
      <w:r w:rsidR="0035332C">
        <w:rPr>
          <w:lang w:val="fr-FR"/>
        </w:rPr>
        <w:t>’</w:t>
      </w:r>
      <w:r w:rsidRPr="00310D49">
        <w:rPr>
          <w:lang w:val="fr-FR"/>
        </w:rPr>
        <w:t>homme sont protégés et respectés</w:t>
      </w:r>
      <w:r w:rsidR="007254B6">
        <w:rPr>
          <w:lang w:val="fr-FR"/>
        </w:rPr>
        <w:t> </w:t>
      </w:r>
      <w:r w:rsidRPr="00310D49">
        <w:rPr>
          <w:lang w:val="fr-FR"/>
        </w:rPr>
        <w:t>» et que l</w:t>
      </w:r>
      <w:r w:rsidR="0035332C">
        <w:rPr>
          <w:lang w:val="fr-FR"/>
        </w:rPr>
        <w:t>’</w:t>
      </w:r>
      <w:r w:rsidRPr="00310D49">
        <w:rPr>
          <w:lang w:val="fr-FR"/>
        </w:rPr>
        <w:t>«</w:t>
      </w:r>
      <w:r w:rsidR="007254B6">
        <w:rPr>
          <w:lang w:val="fr-FR"/>
        </w:rPr>
        <w:t> </w:t>
      </w:r>
      <w:r w:rsidRPr="00310D49">
        <w:rPr>
          <w:lang w:val="fr-FR"/>
        </w:rPr>
        <w:t>Autorité nationale palestinienne s</w:t>
      </w:r>
      <w:r w:rsidR="0035332C">
        <w:rPr>
          <w:lang w:val="fr-FR"/>
        </w:rPr>
        <w:t>’</w:t>
      </w:r>
      <w:r w:rsidRPr="00310D49">
        <w:rPr>
          <w:lang w:val="fr-FR"/>
        </w:rPr>
        <w:t>emploiera sans délai à devenir partie aux chartes et pactes régionaux et internationaux qui protègent les droits de l</w:t>
      </w:r>
      <w:r w:rsidR="0035332C">
        <w:rPr>
          <w:lang w:val="fr-FR"/>
        </w:rPr>
        <w:t>’</w:t>
      </w:r>
      <w:r w:rsidRPr="00310D49">
        <w:rPr>
          <w:lang w:val="fr-FR"/>
        </w:rPr>
        <w:t>homme</w:t>
      </w:r>
      <w:r w:rsidR="007254B6">
        <w:rPr>
          <w:lang w:val="fr-FR"/>
        </w:rPr>
        <w:t> </w:t>
      </w:r>
      <w:r w:rsidRPr="00310D49">
        <w:rPr>
          <w:lang w:val="fr-FR"/>
        </w:rPr>
        <w:t>». En</w:t>
      </w:r>
      <w:r w:rsidR="007254B6">
        <w:rPr>
          <w:lang w:val="fr-FR"/>
        </w:rPr>
        <w:t> </w:t>
      </w:r>
      <w:r w:rsidRPr="00310D49">
        <w:rPr>
          <w:lang w:val="fr-FR"/>
        </w:rPr>
        <w:t>outre, ladite décision interprétative prévoit que les instruments internationaux auxquels l</w:t>
      </w:r>
      <w:r w:rsidR="0035332C">
        <w:rPr>
          <w:lang w:val="fr-FR"/>
        </w:rPr>
        <w:t>’</w:t>
      </w:r>
      <w:r w:rsidRPr="00310D49">
        <w:rPr>
          <w:lang w:val="fr-FR"/>
        </w:rPr>
        <w:t>État de Palestine a adhéré priment sur les lois nationales, mais leur accorde un traitement juridique inférieur à celui de la Déclaration d</w:t>
      </w:r>
      <w:r w:rsidR="0035332C">
        <w:rPr>
          <w:lang w:val="fr-FR"/>
        </w:rPr>
        <w:t>’</w:t>
      </w:r>
      <w:r w:rsidRPr="00310D49">
        <w:rPr>
          <w:lang w:val="fr-FR"/>
        </w:rPr>
        <w:t>indépendance palestinienne et de la Loi fondamentale, telle que modifiée, à condition qu</w:t>
      </w:r>
      <w:r w:rsidR="0035332C">
        <w:rPr>
          <w:lang w:val="fr-FR"/>
        </w:rPr>
        <w:t>’</w:t>
      </w:r>
      <w:r w:rsidRPr="00310D49">
        <w:rPr>
          <w:lang w:val="fr-FR"/>
        </w:rPr>
        <w:t>ils soient transposés dans le droit interne par une loi d</w:t>
      </w:r>
      <w:r w:rsidR="0035332C">
        <w:rPr>
          <w:lang w:val="fr-FR"/>
        </w:rPr>
        <w:t>’</w:t>
      </w:r>
      <w:r w:rsidRPr="00310D49">
        <w:rPr>
          <w:lang w:val="fr-FR"/>
        </w:rPr>
        <w:t>application, conformément à la procédure établie. Ainsi, le système juridique interne se caractérise par sa dualité, car il est fondé à la fois sur le droit international et le droit national.</w:t>
      </w:r>
    </w:p>
    <w:p w14:paraId="01F07831" w14:textId="24F1DF17" w:rsidR="00D005FA" w:rsidRPr="00310D49" w:rsidRDefault="00D005FA" w:rsidP="00826233">
      <w:pPr>
        <w:pStyle w:val="H23G"/>
        <w:rPr>
          <w:lang w:val="fr-FR"/>
        </w:rPr>
      </w:pPr>
      <w:r w:rsidRPr="00310D49">
        <w:rPr>
          <w:lang w:val="fr-FR"/>
        </w:rPr>
        <w:tab/>
      </w:r>
      <w:r w:rsidRPr="00310D49">
        <w:rPr>
          <w:lang w:val="fr-FR"/>
        </w:rPr>
        <w:tab/>
        <w:t>Comité d</w:t>
      </w:r>
      <w:r w:rsidR="0035332C">
        <w:rPr>
          <w:lang w:val="fr-FR"/>
        </w:rPr>
        <w:t>’</w:t>
      </w:r>
      <w:r w:rsidRPr="00310D49">
        <w:rPr>
          <w:lang w:val="fr-FR"/>
        </w:rPr>
        <w:t>harmonisation de la législation</w:t>
      </w:r>
    </w:p>
    <w:p w14:paraId="013F91AC" w14:textId="1544D734" w:rsidR="00D005FA" w:rsidRPr="00310D49" w:rsidRDefault="00D005FA" w:rsidP="00826233">
      <w:pPr>
        <w:pStyle w:val="SingleTxtG"/>
        <w:rPr>
          <w:lang w:val="fr-FR"/>
        </w:rPr>
      </w:pPr>
      <w:r w:rsidRPr="00310D49">
        <w:rPr>
          <w:lang w:val="fr-FR"/>
        </w:rPr>
        <w:t>28.</w:t>
      </w:r>
      <w:r w:rsidRPr="00310D49">
        <w:rPr>
          <w:lang w:val="fr-FR"/>
        </w:rPr>
        <w:tab/>
        <w:t>En application de la décision du Comité national de suivi de l</w:t>
      </w:r>
      <w:r w:rsidR="0035332C">
        <w:rPr>
          <w:lang w:val="fr-FR"/>
        </w:rPr>
        <w:t>’</w:t>
      </w:r>
      <w:r w:rsidRPr="00310D49">
        <w:rPr>
          <w:lang w:val="fr-FR"/>
        </w:rPr>
        <w:t>adhésion de l</w:t>
      </w:r>
      <w:r w:rsidR="0035332C">
        <w:rPr>
          <w:lang w:val="fr-FR"/>
        </w:rPr>
        <w:t>’</w:t>
      </w:r>
      <w:r w:rsidRPr="00310D49">
        <w:rPr>
          <w:lang w:val="fr-FR"/>
        </w:rPr>
        <w:t>État de Palestine aux institutions, chartes, traités et protocoles internationaux, le Conseil des ministres a pris le 7</w:t>
      </w:r>
      <w:r w:rsidR="007254B6">
        <w:rPr>
          <w:lang w:val="fr-FR"/>
        </w:rPr>
        <w:t> </w:t>
      </w:r>
      <w:r w:rsidRPr="00310D49">
        <w:rPr>
          <w:lang w:val="fr-FR"/>
        </w:rPr>
        <w:t>mars 2017 le décret portant formation du Comité d</w:t>
      </w:r>
      <w:r w:rsidR="0035332C">
        <w:rPr>
          <w:lang w:val="fr-FR"/>
        </w:rPr>
        <w:t>’</w:t>
      </w:r>
      <w:r w:rsidRPr="00310D49">
        <w:rPr>
          <w:lang w:val="fr-FR"/>
        </w:rPr>
        <w:t>harmonisation de la législation. Ce comité est dirigé par le Ministère de la justice et s</w:t>
      </w:r>
      <w:r w:rsidR="0035332C">
        <w:rPr>
          <w:lang w:val="fr-FR"/>
        </w:rPr>
        <w:t>’</w:t>
      </w:r>
      <w:r w:rsidRPr="00310D49">
        <w:rPr>
          <w:lang w:val="fr-FR"/>
        </w:rPr>
        <w:t>occupe d</w:t>
      </w:r>
      <w:r w:rsidR="0035332C">
        <w:rPr>
          <w:lang w:val="fr-FR"/>
        </w:rPr>
        <w:t>’</w:t>
      </w:r>
      <w:r w:rsidRPr="00310D49">
        <w:rPr>
          <w:lang w:val="fr-FR"/>
        </w:rPr>
        <w:t>examiner la législation existante et les projets de loi, de fixer les priorités quant aux textes de loi à élaborer ou à modifier conformément aux instruments internationaux auxquels l</w:t>
      </w:r>
      <w:r w:rsidR="0035332C">
        <w:rPr>
          <w:lang w:val="fr-FR"/>
        </w:rPr>
        <w:t>’</w:t>
      </w:r>
      <w:r w:rsidRPr="00310D49">
        <w:rPr>
          <w:lang w:val="fr-FR"/>
        </w:rPr>
        <w:t>État de Palestine a adhéré ou adhérera. Le Comité d</w:t>
      </w:r>
      <w:r w:rsidR="0035332C">
        <w:rPr>
          <w:lang w:val="fr-FR"/>
        </w:rPr>
        <w:t>’</w:t>
      </w:r>
      <w:r w:rsidRPr="00310D49">
        <w:rPr>
          <w:lang w:val="fr-FR"/>
        </w:rPr>
        <w:t>harmonisation de la législation collabore avec les organisations compétentes de la société civile et la Commission indépendante pour les droits de l</w:t>
      </w:r>
      <w:r w:rsidR="0035332C">
        <w:rPr>
          <w:lang w:val="fr-FR"/>
        </w:rPr>
        <w:t>’</w:t>
      </w:r>
      <w:r w:rsidRPr="00310D49">
        <w:rPr>
          <w:lang w:val="fr-FR"/>
        </w:rPr>
        <w:t>homme afin de doter l</w:t>
      </w:r>
      <w:r w:rsidR="0035332C">
        <w:rPr>
          <w:lang w:val="fr-FR"/>
        </w:rPr>
        <w:t>’</w:t>
      </w:r>
      <w:r w:rsidRPr="00310D49">
        <w:rPr>
          <w:lang w:val="fr-FR"/>
        </w:rPr>
        <w:t>État de Palestine d</w:t>
      </w:r>
      <w:r w:rsidR="0035332C">
        <w:rPr>
          <w:lang w:val="fr-FR"/>
        </w:rPr>
        <w:t>’</w:t>
      </w:r>
      <w:r w:rsidRPr="00310D49">
        <w:rPr>
          <w:lang w:val="fr-FR"/>
        </w:rPr>
        <w:t>un système unifié de lois qui soit conforme au droit international.</w:t>
      </w:r>
    </w:p>
    <w:p w14:paraId="7EC42ADB" w14:textId="77777777" w:rsidR="00D005FA" w:rsidRPr="00310D49" w:rsidRDefault="00D005FA" w:rsidP="00826233">
      <w:pPr>
        <w:pStyle w:val="H23G"/>
        <w:rPr>
          <w:lang w:val="fr-FR"/>
        </w:rPr>
      </w:pPr>
      <w:r w:rsidRPr="00310D49">
        <w:rPr>
          <w:lang w:val="fr-FR"/>
        </w:rPr>
        <w:lastRenderedPageBreak/>
        <w:tab/>
      </w:r>
      <w:r w:rsidRPr="00310D49">
        <w:rPr>
          <w:lang w:val="fr-FR"/>
        </w:rPr>
        <w:tab/>
        <w:t>Recours juridictionnels</w:t>
      </w:r>
    </w:p>
    <w:p w14:paraId="46AD0D50" w14:textId="3169EC75" w:rsidR="00D005FA" w:rsidRPr="00310D49" w:rsidRDefault="00D005FA" w:rsidP="00826233">
      <w:pPr>
        <w:pStyle w:val="SingleTxtG"/>
        <w:rPr>
          <w:spacing w:val="-2"/>
          <w:lang w:val="fr-FR"/>
        </w:rPr>
      </w:pPr>
      <w:r w:rsidRPr="00310D49">
        <w:rPr>
          <w:lang w:val="fr-FR"/>
        </w:rPr>
        <w:t>29.</w:t>
      </w:r>
      <w:r w:rsidRPr="00310D49">
        <w:rPr>
          <w:lang w:val="fr-FR"/>
        </w:rPr>
        <w:tab/>
        <w:t>La Déclaration d</w:t>
      </w:r>
      <w:r w:rsidR="0035332C">
        <w:rPr>
          <w:lang w:val="fr-FR"/>
        </w:rPr>
        <w:t>’</w:t>
      </w:r>
      <w:r w:rsidRPr="00310D49">
        <w:rPr>
          <w:lang w:val="fr-FR"/>
        </w:rPr>
        <w:t>indépendance prévoit l</w:t>
      </w:r>
      <w:r w:rsidR="0035332C">
        <w:rPr>
          <w:lang w:val="fr-FR"/>
        </w:rPr>
        <w:t>’</w:t>
      </w:r>
      <w:r w:rsidRPr="00310D49">
        <w:rPr>
          <w:lang w:val="fr-FR"/>
        </w:rPr>
        <w:t>égalité et la non-discrimination, en vertu d</w:t>
      </w:r>
      <w:r w:rsidR="0035332C">
        <w:rPr>
          <w:lang w:val="fr-FR"/>
        </w:rPr>
        <w:t>’</w:t>
      </w:r>
      <w:r w:rsidRPr="00310D49">
        <w:rPr>
          <w:lang w:val="fr-FR"/>
        </w:rPr>
        <w:t>une constitution qui garantit la primauté du droit et l</w:t>
      </w:r>
      <w:r w:rsidR="0035332C">
        <w:rPr>
          <w:lang w:val="fr-FR"/>
        </w:rPr>
        <w:t>’</w:t>
      </w:r>
      <w:r w:rsidRPr="00310D49">
        <w:rPr>
          <w:lang w:val="fr-FR"/>
        </w:rPr>
        <w:t>indépendance de la justice. De même, l</w:t>
      </w:r>
      <w:r w:rsidR="0035332C">
        <w:rPr>
          <w:lang w:val="fr-FR"/>
        </w:rPr>
        <w:t>’</w:t>
      </w:r>
      <w:r w:rsidRPr="00310D49">
        <w:rPr>
          <w:lang w:val="fr-FR"/>
        </w:rPr>
        <w:t>article 9 de la Loi fondamentale, telle que modifiée, dispose que «</w:t>
      </w:r>
      <w:r w:rsidR="00826233">
        <w:rPr>
          <w:lang w:val="fr-FR"/>
        </w:rPr>
        <w:t> </w:t>
      </w:r>
      <w:r w:rsidRPr="00310D49">
        <w:rPr>
          <w:lang w:val="fr-FR"/>
        </w:rPr>
        <w:t>[l]es Palestiniens sont égaux en droits et devant la justice, sans distinction de race, de sexe, de couleur, de religion, d</w:t>
      </w:r>
      <w:r w:rsidR="0035332C">
        <w:rPr>
          <w:lang w:val="fr-FR"/>
        </w:rPr>
        <w:t>’</w:t>
      </w:r>
      <w:r w:rsidRPr="00310D49">
        <w:rPr>
          <w:lang w:val="fr-FR"/>
        </w:rPr>
        <w:t>opinion politique ou de handicap</w:t>
      </w:r>
      <w:r w:rsidR="00826233">
        <w:rPr>
          <w:lang w:val="fr-FR"/>
        </w:rPr>
        <w:t> </w:t>
      </w:r>
      <w:r w:rsidRPr="00310D49">
        <w:rPr>
          <w:lang w:val="fr-FR"/>
        </w:rPr>
        <w:t>».</w:t>
      </w:r>
    </w:p>
    <w:p w14:paraId="77E48329" w14:textId="44ABEAA2" w:rsidR="00D005FA" w:rsidRPr="00310D49" w:rsidRDefault="00D005FA" w:rsidP="00826233">
      <w:pPr>
        <w:pStyle w:val="SingleTxtG"/>
        <w:rPr>
          <w:lang w:val="fr-FR"/>
        </w:rPr>
      </w:pPr>
      <w:r w:rsidRPr="00310D49">
        <w:rPr>
          <w:lang w:val="fr-FR"/>
        </w:rPr>
        <w:t>30.</w:t>
      </w:r>
      <w:r w:rsidRPr="00310D49">
        <w:rPr>
          <w:lang w:val="fr-FR"/>
        </w:rPr>
        <w:tab/>
        <w:t>Le système judiciaire palestinien est régi par un ensemble de règles impératives (règles d</w:t>
      </w:r>
      <w:r w:rsidR="0035332C">
        <w:rPr>
          <w:lang w:val="fr-FR"/>
        </w:rPr>
        <w:t>’</w:t>
      </w:r>
      <w:r w:rsidRPr="00310D49">
        <w:rPr>
          <w:lang w:val="fr-FR"/>
        </w:rPr>
        <w:t>ordre public) et de principes généraux de l</w:t>
      </w:r>
      <w:r w:rsidR="0035332C">
        <w:rPr>
          <w:lang w:val="fr-FR"/>
        </w:rPr>
        <w:t>’</w:t>
      </w:r>
      <w:r w:rsidRPr="00310D49">
        <w:rPr>
          <w:lang w:val="fr-FR"/>
        </w:rPr>
        <w:t>état de droit, de l</w:t>
      </w:r>
      <w:r w:rsidR="0035332C">
        <w:rPr>
          <w:lang w:val="fr-FR"/>
        </w:rPr>
        <w:t>’</w:t>
      </w:r>
      <w:r w:rsidRPr="00310D49">
        <w:rPr>
          <w:lang w:val="fr-FR"/>
        </w:rPr>
        <w:t>égalité et de la non</w:t>
      </w:r>
      <w:r w:rsidR="00E45A1F">
        <w:rPr>
          <w:lang w:val="fr-FR"/>
        </w:rPr>
        <w:noBreakHyphen/>
      </w:r>
      <w:r w:rsidRPr="00310D49">
        <w:rPr>
          <w:lang w:val="fr-FR"/>
        </w:rPr>
        <w:t>discrimination, de l</w:t>
      </w:r>
      <w:r w:rsidR="0035332C">
        <w:rPr>
          <w:lang w:val="fr-FR"/>
        </w:rPr>
        <w:t>’</w:t>
      </w:r>
      <w:r w:rsidRPr="00310D49">
        <w:rPr>
          <w:lang w:val="fr-FR"/>
        </w:rPr>
        <w:t>indépendance du pouvoir judiciaire. À cet égard, il convient de préciser que le droit d</w:t>
      </w:r>
      <w:r w:rsidR="0035332C">
        <w:rPr>
          <w:lang w:val="fr-FR"/>
        </w:rPr>
        <w:t>’</w:t>
      </w:r>
      <w:r w:rsidRPr="00310D49">
        <w:rPr>
          <w:lang w:val="fr-FR"/>
        </w:rPr>
        <w:t>ester en justice est un droit protégé et garanti à tous, que tout Palestinien a le droit de recourir à son juge naturel et que les procédures contentieuses sont organisées par la loi pour garantir le règlement rapide des affaires. En outre, la loi garantit la possibilité de recourir à un double degré de juridiction, pose les principes de bonne gouvernance et prévoit des réparations en cas d</w:t>
      </w:r>
      <w:r w:rsidR="0035332C">
        <w:rPr>
          <w:lang w:val="fr-FR"/>
        </w:rPr>
        <w:t>’</w:t>
      </w:r>
      <w:r w:rsidRPr="00310D49">
        <w:rPr>
          <w:lang w:val="fr-FR"/>
        </w:rPr>
        <w:t>erreur judiciaire. Le système judiciaire formel se compose de juridictions suivantes</w:t>
      </w:r>
      <w:r w:rsidR="00B02693">
        <w:rPr>
          <w:lang w:val="fr-FR"/>
        </w:rPr>
        <w:t> </w:t>
      </w:r>
      <w:r w:rsidRPr="00310D49">
        <w:rPr>
          <w:lang w:val="fr-FR"/>
        </w:rPr>
        <w:t>:</w:t>
      </w:r>
    </w:p>
    <w:p w14:paraId="1488B894" w14:textId="65D620D8" w:rsidR="00D005FA" w:rsidRPr="00310D49" w:rsidRDefault="00D005FA" w:rsidP="00FE4B5A">
      <w:pPr>
        <w:pStyle w:val="Bullet1G"/>
        <w:rPr>
          <w:lang w:val="fr-FR"/>
        </w:rPr>
      </w:pPr>
      <w:r w:rsidRPr="00310D49">
        <w:rPr>
          <w:lang w:val="fr-FR"/>
        </w:rPr>
        <w:t>Les juridictions ordinaires qui connaissent des affaires et contentieux civils, pénaux et administratifs, y compris la Haute Cour de justice, qui est compétente en matière de protection juridique des personnes face à tout acte de discrimination de la part de toute administration publique. La Haute Cour de justice a donc le pouvoir d</w:t>
      </w:r>
      <w:r w:rsidR="0035332C">
        <w:rPr>
          <w:lang w:val="fr-FR"/>
        </w:rPr>
        <w:t>’</w:t>
      </w:r>
      <w:r w:rsidRPr="00310D49">
        <w:rPr>
          <w:lang w:val="fr-FR"/>
        </w:rPr>
        <w:t>annuler un tel acte et rétablit les droits, en examinant et en réglant les contentieux administratifs</w:t>
      </w:r>
      <w:r w:rsidR="00E45A1F">
        <w:rPr>
          <w:lang w:val="fr-FR"/>
        </w:rPr>
        <w:t> ;</w:t>
      </w:r>
    </w:p>
    <w:p w14:paraId="5C1DC2D5" w14:textId="1D8C29BE" w:rsidR="00D005FA" w:rsidRPr="00310D49" w:rsidRDefault="00D005FA" w:rsidP="00FE4B5A">
      <w:pPr>
        <w:pStyle w:val="Bullet1G"/>
        <w:rPr>
          <w:lang w:val="fr-FR"/>
        </w:rPr>
      </w:pPr>
      <w:r w:rsidRPr="00310D49">
        <w:rPr>
          <w:lang w:val="fr-FR"/>
        </w:rPr>
        <w:t>La Haute Cour constitutionnelle qui, conformément à l</w:t>
      </w:r>
      <w:r w:rsidR="0035332C">
        <w:rPr>
          <w:lang w:val="fr-FR"/>
        </w:rPr>
        <w:t>’</w:t>
      </w:r>
      <w:r w:rsidRPr="00310D49">
        <w:rPr>
          <w:lang w:val="fr-FR"/>
        </w:rPr>
        <w:t>article 103/1 de la Loi fondamentale, telle que modifiée, a compétence pour «</w:t>
      </w:r>
      <w:r w:rsidR="00E45A1F">
        <w:rPr>
          <w:lang w:val="fr-FR"/>
        </w:rPr>
        <w:t> </w:t>
      </w:r>
      <w:r w:rsidRPr="00310D49">
        <w:rPr>
          <w:lang w:val="fr-FR"/>
        </w:rPr>
        <w:t>examiner la constitutionnalité des lois, règlements et autres normes, interpréter les dispositions de la Loi fondamentale, telle que modifiée, et de la législation et de statuer sur les conflits de compétence qui pourraient surgir entre les instances judiciaires et les instances administratives ayant une compétence judiciaire</w:t>
      </w:r>
      <w:r w:rsidR="00E45A1F">
        <w:rPr>
          <w:lang w:val="fr-FR"/>
        </w:rPr>
        <w:t> </w:t>
      </w:r>
      <w:r w:rsidRPr="00310D49">
        <w:rPr>
          <w:lang w:val="fr-FR"/>
        </w:rPr>
        <w:t>».</w:t>
      </w:r>
    </w:p>
    <w:p w14:paraId="7CC840A3" w14:textId="77777777" w:rsidR="00D005FA" w:rsidRPr="00310D49" w:rsidRDefault="00D005FA" w:rsidP="00826233">
      <w:pPr>
        <w:pStyle w:val="H23G"/>
        <w:rPr>
          <w:lang w:val="fr-FR"/>
        </w:rPr>
      </w:pPr>
      <w:r w:rsidRPr="00310D49">
        <w:rPr>
          <w:lang w:val="fr-FR"/>
        </w:rPr>
        <w:tab/>
      </w:r>
      <w:r w:rsidRPr="00310D49">
        <w:rPr>
          <w:lang w:val="fr-FR"/>
        </w:rPr>
        <w:tab/>
        <w:t>Ministère public</w:t>
      </w:r>
    </w:p>
    <w:p w14:paraId="2964B68F" w14:textId="0BD24FE2" w:rsidR="00D005FA" w:rsidRPr="00310D49" w:rsidRDefault="00D005FA" w:rsidP="00826233">
      <w:pPr>
        <w:pStyle w:val="SingleTxtG"/>
        <w:rPr>
          <w:lang w:val="fr-FR"/>
        </w:rPr>
      </w:pPr>
      <w:r w:rsidRPr="00310D49">
        <w:rPr>
          <w:lang w:val="fr-FR"/>
        </w:rPr>
        <w:t>31.</w:t>
      </w:r>
      <w:r w:rsidRPr="00310D49">
        <w:rPr>
          <w:lang w:val="fr-FR"/>
        </w:rPr>
        <w:tab/>
        <w:t xml:space="preserve">Le Ministère public est une division du pouvoir </w:t>
      </w:r>
      <w:r w:rsidRPr="007C5787">
        <w:rPr>
          <w:lang w:val="fr-FR"/>
        </w:rPr>
        <w:t>judiciaire, dont</w:t>
      </w:r>
      <w:r w:rsidRPr="00310D49">
        <w:rPr>
          <w:lang w:val="fr-FR"/>
        </w:rPr>
        <w:t xml:space="preserve"> la compétence est précisée par le Code de procédure pénale n</w:t>
      </w:r>
      <w:r w:rsidR="00B02693" w:rsidRPr="00B02693">
        <w:rPr>
          <w:vertAlign w:val="superscript"/>
          <w:lang w:val="fr-FR"/>
        </w:rPr>
        <w:t>o</w:t>
      </w:r>
      <w:r w:rsidR="00B02693">
        <w:rPr>
          <w:lang w:val="fr-FR"/>
        </w:rPr>
        <w:t> </w:t>
      </w:r>
      <w:r w:rsidRPr="00310D49">
        <w:rPr>
          <w:lang w:val="fr-FR"/>
        </w:rPr>
        <w:t>3 de 2001 en ces termes</w:t>
      </w:r>
      <w:r w:rsidR="00B02693">
        <w:rPr>
          <w:lang w:val="fr-FR"/>
        </w:rPr>
        <w:t> </w:t>
      </w:r>
      <w:r w:rsidRPr="00310D49">
        <w:rPr>
          <w:lang w:val="fr-FR"/>
        </w:rPr>
        <w:t>: «</w:t>
      </w:r>
      <w:r w:rsidR="00B02693">
        <w:rPr>
          <w:lang w:val="fr-FR"/>
        </w:rPr>
        <w:t> </w:t>
      </w:r>
      <w:r w:rsidRPr="00310D49">
        <w:rPr>
          <w:lang w:val="fr-FR"/>
        </w:rPr>
        <w:t>Le droit de former et d</w:t>
      </w:r>
      <w:r w:rsidR="0035332C">
        <w:rPr>
          <w:lang w:val="fr-FR"/>
        </w:rPr>
        <w:t>’</w:t>
      </w:r>
      <w:r w:rsidRPr="00310D49">
        <w:rPr>
          <w:lang w:val="fr-FR"/>
        </w:rPr>
        <w:t>intenter une action pénale appartient exclusivement au Ministère public. Il ne peut être formé par des tiers</w:t>
      </w:r>
      <w:r w:rsidR="00544E0D">
        <w:rPr>
          <w:lang w:val="fr-FR"/>
        </w:rPr>
        <w:t>.</w:t>
      </w:r>
      <w:r w:rsidR="00B02693">
        <w:rPr>
          <w:lang w:val="fr-FR"/>
        </w:rPr>
        <w:t> </w:t>
      </w:r>
      <w:r w:rsidRPr="00310D49">
        <w:rPr>
          <w:lang w:val="fr-FR"/>
        </w:rPr>
        <w:t>». Le Ministère public est à la fois autorité de poursuite et d</w:t>
      </w:r>
      <w:r w:rsidR="0035332C">
        <w:rPr>
          <w:lang w:val="fr-FR"/>
        </w:rPr>
        <w:t>’</w:t>
      </w:r>
      <w:r w:rsidRPr="00310D49">
        <w:rPr>
          <w:lang w:val="fr-FR"/>
        </w:rPr>
        <w:t>instruction. Il est également en charge de l</w:t>
      </w:r>
      <w:r w:rsidR="0035332C">
        <w:rPr>
          <w:lang w:val="fr-FR"/>
        </w:rPr>
        <w:t>’</w:t>
      </w:r>
      <w:r w:rsidRPr="00310D49">
        <w:rPr>
          <w:lang w:val="fr-FR"/>
        </w:rPr>
        <w:t>exécution des sentences pénales. Il a en outre compétence pour engager des poursuites disciplinaires contre des magistrats du siège et du parquet. Un</w:t>
      </w:r>
      <w:r w:rsidR="00544E0D">
        <w:rPr>
          <w:lang w:val="fr-FR"/>
        </w:rPr>
        <w:t> </w:t>
      </w:r>
      <w:r w:rsidRPr="00310D49">
        <w:rPr>
          <w:lang w:val="fr-FR"/>
        </w:rPr>
        <w:t>certain nombre de parquets spécialisés ont été créés au sein du Ministère public. En 2016, un département des droits de l</w:t>
      </w:r>
      <w:r w:rsidR="0035332C">
        <w:rPr>
          <w:lang w:val="fr-FR"/>
        </w:rPr>
        <w:t>’</w:t>
      </w:r>
      <w:r w:rsidRPr="00310D49">
        <w:rPr>
          <w:lang w:val="fr-FR"/>
        </w:rPr>
        <w:t>homme, qui dispose d</w:t>
      </w:r>
      <w:r w:rsidR="0035332C">
        <w:rPr>
          <w:lang w:val="fr-FR"/>
        </w:rPr>
        <w:t>’</w:t>
      </w:r>
      <w:r w:rsidRPr="00310D49">
        <w:rPr>
          <w:lang w:val="fr-FR"/>
        </w:rPr>
        <w:t>un mécanisme de suivi des plaintes déposées par des particuliers et s</w:t>
      </w:r>
      <w:r w:rsidR="0035332C">
        <w:rPr>
          <w:lang w:val="fr-FR"/>
        </w:rPr>
        <w:t>’</w:t>
      </w:r>
      <w:r w:rsidRPr="00310D49">
        <w:rPr>
          <w:lang w:val="fr-FR"/>
        </w:rPr>
        <w:t>emploie à intégrer les normes relatives aux droits de l</w:t>
      </w:r>
      <w:r w:rsidR="0035332C">
        <w:rPr>
          <w:lang w:val="fr-FR"/>
        </w:rPr>
        <w:t>’</w:t>
      </w:r>
      <w:r w:rsidRPr="00310D49">
        <w:rPr>
          <w:lang w:val="fr-FR"/>
        </w:rPr>
        <w:t>homme dans l</w:t>
      </w:r>
      <w:r w:rsidR="0035332C">
        <w:rPr>
          <w:lang w:val="fr-FR"/>
        </w:rPr>
        <w:t>’</w:t>
      </w:r>
      <w:r w:rsidRPr="00310D49">
        <w:rPr>
          <w:lang w:val="fr-FR"/>
        </w:rPr>
        <w:t>action du Ministère public, a été créé au sein du Bureau du Procureur général.</w:t>
      </w:r>
    </w:p>
    <w:p w14:paraId="17BC63D8" w14:textId="77777777" w:rsidR="00D005FA" w:rsidRPr="00310D49" w:rsidRDefault="00D005FA" w:rsidP="00A915FA">
      <w:pPr>
        <w:pStyle w:val="H23G"/>
        <w:rPr>
          <w:lang w:val="fr-FR"/>
        </w:rPr>
      </w:pPr>
      <w:r w:rsidRPr="00310D49">
        <w:rPr>
          <w:lang w:val="fr-FR"/>
        </w:rPr>
        <w:tab/>
      </w:r>
      <w:r w:rsidRPr="00310D49">
        <w:rPr>
          <w:lang w:val="fr-FR"/>
        </w:rPr>
        <w:tab/>
        <w:t>Recours administratifs</w:t>
      </w:r>
    </w:p>
    <w:p w14:paraId="314F0B6B" w14:textId="5A5BF851" w:rsidR="00D005FA" w:rsidRPr="00310D49" w:rsidRDefault="00D005FA" w:rsidP="00A915FA">
      <w:pPr>
        <w:pStyle w:val="SingleTxtG"/>
        <w:rPr>
          <w:lang w:val="fr-FR"/>
        </w:rPr>
      </w:pPr>
      <w:r w:rsidRPr="00310D49">
        <w:rPr>
          <w:lang w:val="fr-FR"/>
        </w:rPr>
        <w:t>32.</w:t>
      </w:r>
      <w:r w:rsidRPr="00310D49">
        <w:rPr>
          <w:lang w:val="fr-FR"/>
        </w:rPr>
        <w:tab/>
        <w:t>Conformément à la décision n</w:t>
      </w:r>
      <w:r w:rsidR="00544E0D" w:rsidRPr="00544E0D">
        <w:rPr>
          <w:vertAlign w:val="superscript"/>
          <w:lang w:val="fr-FR"/>
        </w:rPr>
        <w:t>o</w:t>
      </w:r>
      <w:r w:rsidR="00544E0D">
        <w:rPr>
          <w:lang w:val="fr-FR"/>
        </w:rPr>
        <w:t> </w:t>
      </w:r>
      <w:r w:rsidRPr="00310D49">
        <w:rPr>
          <w:lang w:val="fr-FR"/>
        </w:rPr>
        <w:t>8 de 2016 portant règlement des plaintes, la Direction générale des plaintes du Conseil des ministres est chargée du suivi du travail des cellules de plainte des différents ministères, institutions gouvernementales, bureaux de gouverneur et services de sécurité, qui à leur tour reçoivent des plaintes de particuliers, ainsi que des plaintes d</w:t>
      </w:r>
      <w:r w:rsidR="0035332C">
        <w:rPr>
          <w:lang w:val="fr-FR"/>
        </w:rPr>
        <w:t>’</w:t>
      </w:r>
      <w:r w:rsidRPr="00310D49">
        <w:rPr>
          <w:lang w:val="fr-FR"/>
        </w:rPr>
        <w:t>organisations de la société civile concernant l</w:t>
      </w:r>
      <w:r w:rsidR="0035332C">
        <w:rPr>
          <w:lang w:val="fr-FR"/>
        </w:rPr>
        <w:t>’</w:t>
      </w:r>
      <w:r w:rsidRPr="00310D49">
        <w:rPr>
          <w:lang w:val="fr-FR"/>
        </w:rPr>
        <w:t xml:space="preserve">action du Gouvernement et de ses institutions. La Direction générale des plaintes et les cellules de plainte sont tenues de fournir une réponse écrite au plaignant dans un délai maximum de </w:t>
      </w:r>
      <w:r w:rsidR="00544E0D">
        <w:rPr>
          <w:lang w:val="fr-FR"/>
        </w:rPr>
        <w:t>trente</w:t>
      </w:r>
      <w:r w:rsidRPr="00310D49">
        <w:rPr>
          <w:lang w:val="fr-FR"/>
        </w:rPr>
        <w:t xml:space="preserve"> jours à compter de la date de dépôt de la plainte. En 2016, le Gouvernement a renforcé son système de plainte informatisé dans les institutions qui lui sont rattachées. Il existe d</w:t>
      </w:r>
      <w:r w:rsidR="0035332C">
        <w:rPr>
          <w:lang w:val="fr-FR"/>
        </w:rPr>
        <w:t>’</w:t>
      </w:r>
      <w:r w:rsidRPr="00310D49">
        <w:rPr>
          <w:lang w:val="fr-FR"/>
        </w:rPr>
        <w:t>autres autorités chargées de recueillir des plaintes, à savoir la Section des affaires juridiques du Bureau du Président, le Bureau du médiateur et des droits de l</w:t>
      </w:r>
      <w:r w:rsidR="0035332C">
        <w:rPr>
          <w:lang w:val="fr-FR"/>
        </w:rPr>
        <w:t>’</w:t>
      </w:r>
      <w:r w:rsidRPr="00310D49">
        <w:rPr>
          <w:lang w:val="fr-FR"/>
        </w:rPr>
        <w:t>homme du Service de police et le Département des plaintes électroniques, lequel est habilité à examiner les plaintes liées au fonctionnement du pouvoir judiciaire.</w:t>
      </w:r>
    </w:p>
    <w:p w14:paraId="4075D952" w14:textId="5F5604E3" w:rsidR="00D005FA" w:rsidRPr="00310D49" w:rsidRDefault="00D005FA" w:rsidP="00544E0D">
      <w:pPr>
        <w:pStyle w:val="SingleTxtG"/>
        <w:keepNext/>
        <w:keepLines/>
        <w:rPr>
          <w:lang w:val="fr-FR"/>
        </w:rPr>
      </w:pPr>
      <w:r w:rsidRPr="00310D49">
        <w:rPr>
          <w:lang w:val="fr-FR"/>
        </w:rPr>
        <w:lastRenderedPageBreak/>
        <w:t>33.</w:t>
      </w:r>
      <w:r w:rsidRPr="00310D49">
        <w:rPr>
          <w:lang w:val="fr-FR"/>
        </w:rPr>
        <w:tab/>
        <w:t>Créée en vertu de l</w:t>
      </w:r>
      <w:r w:rsidR="0035332C">
        <w:rPr>
          <w:lang w:val="fr-FR"/>
        </w:rPr>
        <w:t>’</w:t>
      </w:r>
      <w:r w:rsidRPr="00310D49">
        <w:rPr>
          <w:lang w:val="fr-FR"/>
        </w:rPr>
        <w:t>article 31 de la Loi fondamentale, telle que modifiée, la Commission indépendante pour les droits de l</w:t>
      </w:r>
      <w:r w:rsidR="0035332C">
        <w:rPr>
          <w:lang w:val="fr-FR"/>
        </w:rPr>
        <w:t>’</w:t>
      </w:r>
      <w:r w:rsidRPr="00310D49">
        <w:rPr>
          <w:lang w:val="fr-FR"/>
        </w:rPr>
        <w:t>homme joue un rôle déterminant en matière de contrôle et son champ d</w:t>
      </w:r>
      <w:r w:rsidR="0035332C">
        <w:rPr>
          <w:lang w:val="fr-FR"/>
        </w:rPr>
        <w:t>’</w:t>
      </w:r>
      <w:r w:rsidRPr="00310D49">
        <w:rPr>
          <w:lang w:val="fr-FR"/>
        </w:rPr>
        <w:t>action s</w:t>
      </w:r>
      <w:r w:rsidR="0035332C">
        <w:rPr>
          <w:lang w:val="fr-FR"/>
        </w:rPr>
        <w:t>’</w:t>
      </w:r>
      <w:r w:rsidRPr="00310D49">
        <w:rPr>
          <w:lang w:val="fr-FR"/>
        </w:rPr>
        <w:t>étend au traitement des cas de violations des droits de l</w:t>
      </w:r>
      <w:r w:rsidR="0035332C">
        <w:rPr>
          <w:lang w:val="fr-FR"/>
        </w:rPr>
        <w:t>’</w:t>
      </w:r>
      <w:r w:rsidRPr="00310D49">
        <w:rPr>
          <w:lang w:val="fr-FR"/>
        </w:rPr>
        <w:t>homme, aux plaintes déposées par des citoyens, à la sensibilisation juridique et au contrôle de la législation et des politiques nationales, ainsi que de leur compatibilité avec les normes internationales relatives aux droits de l</w:t>
      </w:r>
      <w:r w:rsidR="0035332C">
        <w:rPr>
          <w:lang w:val="fr-FR"/>
        </w:rPr>
        <w:t>’</w:t>
      </w:r>
      <w:r w:rsidRPr="00310D49">
        <w:rPr>
          <w:lang w:val="fr-FR"/>
        </w:rPr>
        <w:t>homme.</w:t>
      </w:r>
    </w:p>
    <w:p w14:paraId="041EE347" w14:textId="530FF13A" w:rsidR="00D005FA" w:rsidRPr="00310D49" w:rsidRDefault="00D005FA" w:rsidP="00A915FA">
      <w:pPr>
        <w:pStyle w:val="SingleTxtG"/>
        <w:rPr>
          <w:lang w:val="fr-FR"/>
        </w:rPr>
      </w:pPr>
      <w:r w:rsidRPr="00310D49">
        <w:rPr>
          <w:lang w:val="fr-FR"/>
        </w:rPr>
        <w:t>34.</w:t>
      </w:r>
      <w:r w:rsidRPr="00310D49">
        <w:rPr>
          <w:lang w:val="fr-FR"/>
        </w:rPr>
        <w:tab/>
        <w:t>En outre, les organisations de la société civile constituent un mécanisme national important de promotion et de protection des droits de l</w:t>
      </w:r>
      <w:r w:rsidR="0035332C">
        <w:rPr>
          <w:lang w:val="fr-FR"/>
        </w:rPr>
        <w:t>’</w:t>
      </w:r>
      <w:r w:rsidRPr="00310D49">
        <w:rPr>
          <w:lang w:val="fr-FR"/>
        </w:rPr>
        <w:t>homme et opèrent dans divers domaines spécialisés allant de la protection des droits de l</w:t>
      </w:r>
      <w:r w:rsidR="0035332C">
        <w:rPr>
          <w:lang w:val="fr-FR"/>
        </w:rPr>
        <w:t>’</w:t>
      </w:r>
      <w:r w:rsidRPr="00310D49">
        <w:rPr>
          <w:lang w:val="fr-FR"/>
        </w:rPr>
        <w:t>homme en général et de la défense des droits de groupes spécifiques tels que les femmes, les enfants et les personnes handicapées, à l</w:t>
      </w:r>
      <w:r w:rsidR="0035332C">
        <w:rPr>
          <w:lang w:val="fr-FR"/>
        </w:rPr>
        <w:t>’</w:t>
      </w:r>
      <w:r w:rsidRPr="00310D49">
        <w:rPr>
          <w:lang w:val="fr-FR"/>
        </w:rPr>
        <w:t>exhortation des citoyens à la participation aux affaires publiques et aux élections.</w:t>
      </w:r>
    </w:p>
    <w:p w14:paraId="3001CF05" w14:textId="77777777" w:rsidR="00D005FA" w:rsidRPr="00310D49" w:rsidRDefault="00D005FA" w:rsidP="006B6059">
      <w:pPr>
        <w:pStyle w:val="H23G"/>
        <w:rPr>
          <w:lang w:val="fr-FR"/>
        </w:rPr>
      </w:pPr>
      <w:r w:rsidRPr="00310D49">
        <w:rPr>
          <w:lang w:val="fr-FR"/>
        </w:rPr>
        <w:tab/>
      </w:r>
      <w:r w:rsidRPr="00310D49">
        <w:rPr>
          <w:lang w:val="fr-FR"/>
        </w:rPr>
        <w:tab/>
        <w:t>Réparation</w:t>
      </w:r>
    </w:p>
    <w:p w14:paraId="506FBD72" w14:textId="5152EEE3" w:rsidR="00D005FA" w:rsidRPr="00310D49" w:rsidRDefault="00D005FA" w:rsidP="006B6059">
      <w:pPr>
        <w:pStyle w:val="SingleTxtG"/>
        <w:rPr>
          <w:lang w:val="fr-FR"/>
        </w:rPr>
      </w:pPr>
      <w:r w:rsidRPr="00310D49">
        <w:rPr>
          <w:lang w:val="fr-FR"/>
        </w:rPr>
        <w:t>35.</w:t>
      </w:r>
      <w:r w:rsidRPr="00310D49">
        <w:rPr>
          <w:lang w:val="fr-FR"/>
        </w:rPr>
        <w:tab/>
        <w:t>Le droit à réparation est un droit prévu par les textes législatifs palestiniens, en</w:t>
      </w:r>
      <w:r w:rsidR="00544E0D">
        <w:rPr>
          <w:lang w:val="fr-FR"/>
        </w:rPr>
        <w:t> </w:t>
      </w:r>
      <w:r w:rsidRPr="00310D49">
        <w:rPr>
          <w:lang w:val="fr-FR"/>
        </w:rPr>
        <w:t>particulier la Loi fondamentale qui dispose en son article</w:t>
      </w:r>
      <w:r w:rsidR="00544E0D">
        <w:rPr>
          <w:lang w:val="fr-FR"/>
        </w:rPr>
        <w:t> </w:t>
      </w:r>
      <w:r w:rsidRPr="00310D49">
        <w:rPr>
          <w:lang w:val="fr-FR"/>
        </w:rPr>
        <w:t>32 que «</w:t>
      </w:r>
      <w:r w:rsidR="00544E0D">
        <w:rPr>
          <w:lang w:val="fr-FR"/>
        </w:rPr>
        <w:t> </w:t>
      </w:r>
      <w:r w:rsidRPr="00310D49">
        <w:rPr>
          <w:lang w:val="fr-FR"/>
        </w:rPr>
        <w:t>[t]oute violation d</w:t>
      </w:r>
      <w:r w:rsidR="0035332C">
        <w:rPr>
          <w:lang w:val="fr-FR"/>
        </w:rPr>
        <w:t>’</w:t>
      </w:r>
      <w:r w:rsidRPr="00310D49">
        <w:rPr>
          <w:lang w:val="fr-FR"/>
        </w:rPr>
        <w:t>une liberté individuelle, du droit sacré à la vie privée des êtres humains ou de l</w:t>
      </w:r>
      <w:r w:rsidR="0035332C">
        <w:rPr>
          <w:lang w:val="fr-FR"/>
        </w:rPr>
        <w:t>’</w:t>
      </w:r>
      <w:r w:rsidRPr="00310D49">
        <w:rPr>
          <w:lang w:val="fr-FR"/>
        </w:rPr>
        <w:t>un quelconque des droits et libertés garantis par la présente Loi fondamentale ou par la loi, constitue une infraction et toute action civile ou pénale résultant d</w:t>
      </w:r>
      <w:r w:rsidR="0035332C">
        <w:rPr>
          <w:lang w:val="fr-FR"/>
        </w:rPr>
        <w:t>’</w:t>
      </w:r>
      <w:r w:rsidRPr="00310D49">
        <w:rPr>
          <w:lang w:val="fr-FR"/>
        </w:rPr>
        <w:t>une telle violation est imprescriptible. Une juste réparation est garantie à toute personne victime d</w:t>
      </w:r>
      <w:r w:rsidR="0035332C">
        <w:rPr>
          <w:lang w:val="fr-FR"/>
        </w:rPr>
        <w:t>’</w:t>
      </w:r>
      <w:r w:rsidRPr="00310D49">
        <w:rPr>
          <w:lang w:val="fr-FR"/>
        </w:rPr>
        <w:t>un tel dommage</w:t>
      </w:r>
      <w:r w:rsidR="00544E0D">
        <w:rPr>
          <w:lang w:val="fr-FR"/>
        </w:rPr>
        <w:t> </w:t>
      </w:r>
      <w:r w:rsidRPr="00310D49">
        <w:rPr>
          <w:lang w:val="fr-FR"/>
        </w:rPr>
        <w:t>». Par ailleurs, le Code de procédure civile de 1944, tel que modifié, aborde les questions relatives à la réparation, tandis que le Code de procédure pénale traite de l</w:t>
      </w:r>
      <w:r w:rsidR="0035332C">
        <w:rPr>
          <w:lang w:val="fr-FR"/>
        </w:rPr>
        <w:t>’</w:t>
      </w:r>
      <w:r w:rsidRPr="00310D49">
        <w:rPr>
          <w:lang w:val="fr-FR"/>
        </w:rPr>
        <w:t>indemnisation dans le cadre d</w:t>
      </w:r>
      <w:r w:rsidR="0035332C">
        <w:rPr>
          <w:lang w:val="fr-FR"/>
        </w:rPr>
        <w:t>’</w:t>
      </w:r>
      <w:r w:rsidRPr="00310D49">
        <w:rPr>
          <w:lang w:val="fr-FR"/>
        </w:rPr>
        <w:t>une action civile.</w:t>
      </w:r>
    </w:p>
    <w:p w14:paraId="69C394F4" w14:textId="27DB3713" w:rsidR="00D005FA" w:rsidRPr="00310D49" w:rsidRDefault="00D005FA" w:rsidP="006B6059">
      <w:pPr>
        <w:pStyle w:val="SingleTxtG"/>
        <w:rPr>
          <w:lang w:val="fr-FR"/>
        </w:rPr>
      </w:pPr>
      <w:r w:rsidRPr="00310D49">
        <w:rPr>
          <w:lang w:val="fr-FR"/>
        </w:rPr>
        <w:t>36.</w:t>
      </w:r>
      <w:r w:rsidRPr="00310D49">
        <w:rPr>
          <w:lang w:val="fr-FR"/>
        </w:rPr>
        <w:tab/>
        <w:t>Conformément à l</w:t>
      </w:r>
      <w:r w:rsidR="0035332C">
        <w:rPr>
          <w:lang w:val="fr-FR"/>
        </w:rPr>
        <w:t>’</w:t>
      </w:r>
      <w:r w:rsidRPr="00310D49">
        <w:rPr>
          <w:lang w:val="fr-FR"/>
        </w:rPr>
        <w:t>article 106 de la Loi fondamentale, les décisions judiciaires ont un caractère obligatoire. La non-exécution ou l</w:t>
      </w:r>
      <w:r w:rsidR="0035332C">
        <w:rPr>
          <w:lang w:val="fr-FR"/>
        </w:rPr>
        <w:t>’</w:t>
      </w:r>
      <w:r w:rsidRPr="00310D49">
        <w:rPr>
          <w:lang w:val="fr-FR"/>
        </w:rPr>
        <w:t>entrave à l</w:t>
      </w:r>
      <w:r w:rsidR="0035332C">
        <w:rPr>
          <w:lang w:val="fr-FR"/>
        </w:rPr>
        <w:t>’</w:t>
      </w:r>
      <w:r w:rsidRPr="00310D49">
        <w:rPr>
          <w:lang w:val="fr-FR"/>
        </w:rPr>
        <w:t>exécution des décisions judiciaires, de quelque façon que ce soit, constituent des infractions passibles d</w:t>
      </w:r>
      <w:r w:rsidR="0035332C">
        <w:rPr>
          <w:lang w:val="fr-FR"/>
        </w:rPr>
        <w:t>’</w:t>
      </w:r>
      <w:r w:rsidRPr="00310D49">
        <w:rPr>
          <w:lang w:val="fr-FR"/>
        </w:rPr>
        <w:t>une peine d</w:t>
      </w:r>
      <w:r w:rsidR="0035332C">
        <w:rPr>
          <w:lang w:val="fr-FR"/>
        </w:rPr>
        <w:t>’</w:t>
      </w:r>
      <w:r w:rsidRPr="00310D49">
        <w:rPr>
          <w:lang w:val="fr-FR"/>
        </w:rPr>
        <w:t>emprisonnement et la révocation</w:t>
      </w:r>
      <w:r w:rsidR="00814F0C">
        <w:rPr>
          <w:lang w:val="fr-FR"/>
        </w:rPr>
        <w:t>,</w:t>
      </w:r>
      <w:r w:rsidRPr="00310D49">
        <w:rPr>
          <w:lang w:val="fr-FR"/>
        </w:rPr>
        <w:t xml:space="preserve"> si l</w:t>
      </w:r>
      <w:r w:rsidR="0035332C">
        <w:rPr>
          <w:lang w:val="fr-FR"/>
        </w:rPr>
        <w:t>’</w:t>
      </w:r>
      <w:r w:rsidRPr="00310D49">
        <w:rPr>
          <w:lang w:val="fr-FR"/>
        </w:rPr>
        <w:t>accusé est un fonctionnaire ou un préposé à un service public. La partie qui obtient gain de cause a le droit de porter l</w:t>
      </w:r>
      <w:r w:rsidR="0035332C">
        <w:rPr>
          <w:lang w:val="fr-FR"/>
        </w:rPr>
        <w:t>’</w:t>
      </w:r>
      <w:r w:rsidRPr="00310D49">
        <w:rPr>
          <w:lang w:val="fr-FR"/>
        </w:rPr>
        <w:t>affaire directement devant le tribunal compétent. Le Gouvernement garantit l</w:t>
      </w:r>
      <w:r w:rsidR="0035332C">
        <w:rPr>
          <w:lang w:val="fr-FR"/>
        </w:rPr>
        <w:t>’</w:t>
      </w:r>
      <w:r w:rsidRPr="00310D49">
        <w:rPr>
          <w:lang w:val="fr-FR"/>
        </w:rPr>
        <w:t>indemnisation.</w:t>
      </w:r>
    </w:p>
    <w:p w14:paraId="0F364CFB" w14:textId="0FE941BC" w:rsidR="00D005FA" w:rsidRPr="00310D49" w:rsidRDefault="00D005FA" w:rsidP="006B6059">
      <w:pPr>
        <w:pStyle w:val="SingleTxtG"/>
        <w:rPr>
          <w:spacing w:val="-4"/>
          <w:lang w:val="fr-FR"/>
        </w:rPr>
      </w:pPr>
      <w:r w:rsidRPr="00310D49">
        <w:rPr>
          <w:lang w:val="fr-FR"/>
        </w:rPr>
        <w:t>37.</w:t>
      </w:r>
      <w:r w:rsidRPr="00310D49">
        <w:rPr>
          <w:lang w:val="fr-FR"/>
        </w:rPr>
        <w:tab/>
        <w:t>La loi n</w:t>
      </w:r>
      <w:r w:rsidR="00814F0C" w:rsidRPr="00814F0C">
        <w:rPr>
          <w:vertAlign w:val="superscript"/>
          <w:lang w:val="fr-FR"/>
        </w:rPr>
        <w:t>o</w:t>
      </w:r>
      <w:r w:rsidR="00814F0C">
        <w:rPr>
          <w:lang w:val="fr-FR"/>
        </w:rPr>
        <w:t> </w:t>
      </w:r>
      <w:r w:rsidRPr="00310D49">
        <w:rPr>
          <w:lang w:val="fr-FR"/>
        </w:rPr>
        <w:t>2 de 2001 portant Code de procédure civile et commerciale permet à toute personne d</w:t>
      </w:r>
      <w:r w:rsidR="0035332C">
        <w:rPr>
          <w:lang w:val="fr-FR"/>
        </w:rPr>
        <w:t>’</w:t>
      </w:r>
      <w:r w:rsidRPr="00310D49">
        <w:rPr>
          <w:lang w:val="fr-FR"/>
        </w:rPr>
        <w:t>intenter une action contre un juge ou un procureur qui commet, dans l</w:t>
      </w:r>
      <w:r w:rsidR="0035332C">
        <w:rPr>
          <w:lang w:val="fr-FR"/>
        </w:rPr>
        <w:t>’</w:t>
      </w:r>
      <w:r w:rsidRPr="00310D49">
        <w:rPr>
          <w:lang w:val="fr-FR"/>
        </w:rPr>
        <w:t>exercice de ses fonctions ou dans les cas où sa responsabilité est expressément prévue par la loi, une fraude, une tromperie ou une faute professionnelle grave et irréparable. Les auteurs de tels actes sont condamnés à verser des dommages-intérêts.</w:t>
      </w:r>
    </w:p>
    <w:p w14:paraId="3133E1B9" w14:textId="77777777" w:rsidR="00D005FA" w:rsidRPr="00310D49" w:rsidRDefault="00D005FA" w:rsidP="006B6059">
      <w:pPr>
        <w:pStyle w:val="H23G"/>
        <w:rPr>
          <w:lang w:val="fr-FR"/>
        </w:rPr>
      </w:pPr>
      <w:r w:rsidRPr="00310D49">
        <w:rPr>
          <w:lang w:val="fr-FR"/>
        </w:rPr>
        <w:tab/>
      </w:r>
      <w:r w:rsidRPr="00310D49">
        <w:rPr>
          <w:lang w:val="fr-FR"/>
        </w:rPr>
        <w:tab/>
        <w:t>Sensibilisation</w:t>
      </w:r>
    </w:p>
    <w:p w14:paraId="2E6733F3" w14:textId="77777777" w:rsidR="00D005FA" w:rsidRPr="00310D49" w:rsidRDefault="00D005FA" w:rsidP="006B6059">
      <w:pPr>
        <w:pStyle w:val="H23G"/>
        <w:rPr>
          <w:lang w:val="fr-FR"/>
        </w:rPr>
      </w:pPr>
      <w:r w:rsidRPr="00310D49">
        <w:rPr>
          <w:lang w:val="fr-FR"/>
        </w:rPr>
        <w:tab/>
      </w:r>
      <w:r w:rsidRPr="00310D49">
        <w:rPr>
          <w:lang w:val="fr-FR"/>
        </w:rPr>
        <w:tab/>
        <w:t>Activités de formation</w:t>
      </w:r>
    </w:p>
    <w:p w14:paraId="4840BE87" w14:textId="1DBCD335" w:rsidR="00D005FA" w:rsidRPr="00310D49" w:rsidRDefault="00D005FA" w:rsidP="006B6059">
      <w:pPr>
        <w:pStyle w:val="SingleTxtG"/>
        <w:rPr>
          <w:lang w:val="fr-FR"/>
        </w:rPr>
      </w:pPr>
      <w:r w:rsidRPr="00310D49">
        <w:rPr>
          <w:lang w:val="fr-FR"/>
        </w:rPr>
        <w:t>38.</w:t>
      </w:r>
      <w:r w:rsidRPr="00310D49">
        <w:rPr>
          <w:lang w:val="fr-FR"/>
        </w:rPr>
        <w:tab/>
        <w:t>En collaboration avec le Haut-Commissariat aux droits de l</w:t>
      </w:r>
      <w:r w:rsidR="0035332C">
        <w:rPr>
          <w:lang w:val="fr-FR"/>
        </w:rPr>
        <w:t>’</w:t>
      </w:r>
      <w:r w:rsidRPr="00310D49">
        <w:rPr>
          <w:lang w:val="fr-FR"/>
        </w:rPr>
        <w:t xml:space="preserve">homme et en coordination avec les organismes, </w:t>
      </w:r>
      <w:r w:rsidRPr="00311C56">
        <w:rPr>
          <w:lang w:val="fr-FR"/>
        </w:rPr>
        <w:t>institutions et entités concernés des</w:t>
      </w:r>
      <w:r w:rsidRPr="00310D49">
        <w:rPr>
          <w:lang w:val="fr-FR"/>
        </w:rPr>
        <w:t xml:space="preserve"> Nations Unies, le Ministère des affaires étrangères et des émigrés a élaboré et mis en œuvre un plan de formation à l</w:t>
      </w:r>
      <w:r w:rsidR="0035332C">
        <w:rPr>
          <w:lang w:val="fr-FR"/>
        </w:rPr>
        <w:t>’</w:t>
      </w:r>
      <w:r w:rsidRPr="00310D49">
        <w:rPr>
          <w:lang w:val="fr-FR"/>
        </w:rPr>
        <w:t>intention des groupes de travail nationaux sur les mécanismes d</w:t>
      </w:r>
      <w:r w:rsidR="0035332C">
        <w:rPr>
          <w:lang w:val="fr-FR"/>
        </w:rPr>
        <w:t>’</w:t>
      </w:r>
      <w:r w:rsidRPr="00310D49">
        <w:rPr>
          <w:lang w:val="fr-FR"/>
        </w:rPr>
        <w:t>élaboration des rapports au titre des instruments relatifs aux droits de l</w:t>
      </w:r>
      <w:r w:rsidR="0035332C">
        <w:rPr>
          <w:lang w:val="fr-FR"/>
        </w:rPr>
        <w:t>’</w:t>
      </w:r>
      <w:r w:rsidRPr="00310D49">
        <w:rPr>
          <w:lang w:val="fr-FR"/>
        </w:rPr>
        <w:t>homme.</w:t>
      </w:r>
    </w:p>
    <w:p w14:paraId="76DA254B" w14:textId="10CCFD78" w:rsidR="00D005FA" w:rsidRPr="00310D49" w:rsidRDefault="00D005FA" w:rsidP="006B6059">
      <w:pPr>
        <w:pStyle w:val="SingleTxtG"/>
        <w:rPr>
          <w:lang w:val="fr-FR"/>
        </w:rPr>
      </w:pPr>
      <w:r w:rsidRPr="00310D49">
        <w:rPr>
          <w:lang w:val="fr-FR"/>
        </w:rPr>
        <w:t>39.</w:t>
      </w:r>
      <w:r w:rsidRPr="00310D49">
        <w:rPr>
          <w:lang w:val="fr-FR"/>
        </w:rPr>
        <w:tab/>
        <w:t>En 2014-2020, plusieurs sessions de formation sur les droits humains ont été organisées à l</w:t>
      </w:r>
      <w:r w:rsidR="0035332C">
        <w:rPr>
          <w:lang w:val="fr-FR"/>
        </w:rPr>
        <w:t>’</w:t>
      </w:r>
      <w:r w:rsidRPr="00310D49">
        <w:rPr>
          <w:lang w:val="fr-FR"/>
        </w:rPr>
        <w:t>intention des juges ordinaires, des juges des tribunaux charaïques, des procureurs et des responsables de l</w:t>
      </w:r>
      <w:r w:rsidR="0035332C">
        <w:rPr>
          <w:lang w:val="fr-FR"/>
        </w:rPr>
        <w:t>’</w:t>
      </w:r>
      <w:r w:rsidRPr="00310D49">
        <w:rPr>
          <w:lang w:val="fr-FR"/>
        </w:rPr>
        <w:t>application des lois afin de relever les compétences des fonctionnaires travaillant dans les différents services de l</w:t>
      </w:r>
      <w:r w:rsidR="0035332C">
        <w:rPr>
          <w:lang w:val="fr-FR"/>
        </w:rPr>
        <w:t>’</w:t>
      </w:r>
      <w:r w:rsidRPr="00310D49">
        <w:rPr>
          <w:lang w:val="fr-FR"/>
        </w:rPr>
        <w:t>autorité judiciaire.</w:t>
      </w:r>
    </w:p>
    <w:p w14:paraId="29D5AFCC" w14:textId="09DA140F" w:rsidR="00D005FA" w:rsidRPr="00310D49" w:rsidRDefault="00D005FA" w:rsidP="006B6059">
      <w:pPr>
        <w:pStyle w:val="SingleTxtG"/>
        <w:rPr>
          <w:lang w:val="fr-FR"/>
        </w:rPr>
      </w:pPr>
      <w:r w:rsidRPr="00310D49">
        <w:rPr>
          <w:lang w:val="fr-FR"/>
        </w:rPr>
        <w:t>40.</w:t>
      </w:r>
      <w:r w:rsidRPr="00310D49">
        <w:rPr>
          <w:lang w:val="fr-FR"/>
        </w:rPr>
        <w:tab/>
        <w:t>En coordination avec le Ministère de la justice et le Ministère des affaires étrangères et des émigrés, des activités de formation sur les mécanismes d</w:t>
      </w:r>
      <w:r w:rsidR="0035332C">
        <w:rPr>
          <w:lang w:val="fr-FR"/>
        </w:rPr>
        <w:t>’</w:t>
      </w:r>
      <w:r w:rsidRPr="00310D49">
        <w:rPr>
          <w:lang w:val="fr-FR"/>
        </w:rPr>
        <w:t>harmonisation ont été organisées à l</w:t>
      </w:r>
      <w:r w:rsidR="0035332C">
        <w:rPr>
          <w:lang w:val="fr-FR"/>
        </w:rPr>
        <w:t>’</w:t>
      </w:r>
      <w:r w:rsidRPr="00310D49">
        <w:rPr>
          <w:lang w:val="fr-FR"/>
        </w:rPr>
        <w:t>intention des membres du Comité d</w:t>
      </w:r>
      <w:r w:rsidR="0035332C">
        <w:rPr>
          <w:lang w:val="fr-FR"/>
        </w:rPr>
        <w:t>’</w:t>
      </w:r>
      <w:r w:rsidRPr="00310D49">
        <w:rPr>
          <w:lang w:val="fr-FR"/>
        </w:rPr>
        <w:t>harmonisation de la législation et de leurs institutions respectives afin d</w:t>
      </w:r>
      <w:r w:rsidR="0035332C">
        <w:rPr>
          <w:lang w:val="fr-FR"/>
        </w:rPr>
        <w:t>’</w:t>
      </w:r>
      <w:r w:rsidRPr="00310D49">
        <w:rPr>
          <w:lang w:val="fr-FR"/>
        </w:rPr>
        <w:t>améliorer leurs compétences et de consolider leur expertise en la matière.</w:t>
      </w:r>
    </w:p>
    <w:p w14:paraId="05C60133" w14:textId="53C3CE86" w:rsidR="00D005FA" w:rsidRPr="00310D49" w:rsidRDefault="00D005FA" w:rsidP="00A10A5D">
      <w:pPr>
        <w:pStyle w:val="H23G"/>
        <w:rPr>
          <w:lang w:val="fr-FR"/>
        </w:rPr>
      </w:pPr>
      <w:r w:rsidRPr="00310D49">
        <w:rPr>
          <w:lang w:val="fr-FR"/>
        </w:rPr>
        <w:lastRenderedPageBreak/>
        <w:tab/>
      </w:r>
      <w:r w:rsidRPr="00310D49">
        <w:rPr>
          <w:lang w:val="fr-FR"/>
        </w:rPr>
        <w:tab/>
        <w:t>Journée internationale des droits de l</w:t>
      </w:r>
      <w:r w:rsidR="0035332C">
        <w:rPr>
          <w:lang w:val="fr-FR"/>
        </w:rPr>
        <w:t>’</w:t>
      </w:r>
      <w:r w:rsidRPr="00310D49">
        <w:rPr>
          <w:lang w:val="fr-FR"/>
        </w:rPr>
        <w:t>homme</w:t>
      </w:r>
    </w:p>
    <w:p w14:paraId="1828BE12" w14:textId="2154CE79" w:rsidR="00D005FA" w:rsidRPr="00310D49" w:rsidRDefault="00D005FA" w:rsidP="00A10A5D">
      <w:pPr>
        <w:pStyle w:val="SingleTxtG"/>
        <w:rPr>
          <w:lang w:val="fr-FR"/>
        </w:rPr>
      </w:pPr>
      <w:r w:rsidRPr="00310D49">
        <w:rPr>
          <w:lang w:val="fr-FR"/>
        </w:rPr>
        <w:t>41.</w:t>
      </w:r>
      <w:r w:rsidRPr="00310D49">
        <w:rPr>
          <w:lang w:val="fr-FR"/>
        </w:rPr>
        <w:tab/>
        <w:t>Depuis son adhésion à des instruments internationaux relatifs aux droits de l</w:t>
      </w:r>
      <w:r w:rsidR="0035332C">
        <w:rPr>
          <w:lang w:val="fr-FR"/>
        </w:rPr>
        <w:t>’</w:t>
      </w:r>
      <w:r w:rsidRPr="00310D49">
        <w:rPr>
          <w:lang w:val="fr-FR"/>
        </w:rPr>
        <w:t>homme et pour commémorer la Journée internationale des droits de l</w:t>
      </w:r>
      <w:r w:rsidR="0035332C">
        <w:rPr>
          <w:lang w:val="fr-FR"/>
        </w:rPr>
        <w:t>’</w:t>
      </w:r>
      <w:r w:rsidRPr="00310D49">
        <w:rPr>
          <w:lang w:val="fr-FR"/>
        </w:rPr>
        <w:t>homme, l</w:t>
      </w:r>
      <w:r w:rsidR="0035332C">
        <w:rPr>
          <w:lang w:val="fr-FR"/>
        </w:rPr>
        <w:t>’</w:t>
      </w:r>
      <w:r w:rsidRPr="00310D49">
        <w:rPr>
          <w:lang w:val="fr-FR"/>
        </w:rPr>
        <w:t>État de Palestine organise des manifestations annuelles en collaboration avec le Ministère des affaires étrangères et des émigrés, le Ministère de l</w:t>
      </w:r>
      <w:r w:rsidR="0035332C">
        <w:rPr>
          <w:lang w:val="fr-FR"/>
        </w:rPr>
        <w:t>’</w:t>
      </w:r>
      <w:r w:rsidRPr="00310D49">
        <w:rPr>
          <w:lang w:val="fr-FR"/>
        </w:rPr>
        <w:t>éducation et de l</w:t>
      </w:r>
      <w:r w:rsidR="0035332C">
        <w:rPr>
          <w:lang w:val="fr-FR"/>
        </w:rPr>
        <w:t>’</w:t>
      </w:r>
      <w:r w:rsidRPr="00310D49">
        <w:rPr>
          <w:lang w:val="fr-FR"/>
        </w:rPr>
        <w:t>enseignement supérieur, le Ministère de la justice, la Commission indépendante pour les droits de l</w:t>
      </w:r>
      <w:r w:rsidR="0035332C">
        <w:rPr>
          <w:lang w:val="fr-FR"/>
        </w:rPr>
        <w:t>’</w:t>
      </w:r>
      <w:r w:rsidRPr="00310D49">
        <w:rPr>
          <w:lang w:val="fr-FR"/>
        </w:rPr>
        <w:t xml:space="preserve">homme, le </w:t>
      </w:r>
      <w:r w:rsidRPr="007C5787">
        <w:rPr>
          <w:lang w:val="fr-FR"/>
        </w:rPr>
        <w:t>Haut</w:t>
      </w:r>
      <w:r w:rsidR="00814F0C">
        <w:rPr>
          <w:lang w:val="fr-FR"/>
        </w:rPr>
        <w:noBreakHyphen/>
      </w:r>
      <w:r w:rsidRPr="007C5787">
        <w:rPr>
          <w:lang w:val="fr-FR"/>
        </w:rPr>
        <w:t>Commissariat</w:t>
      </w:r>
      <w:r w:rsidRPr="00310D49">
        <w:rPr>
          <w:lang w:val="fr-FR"/>
        </w:rPr>
        <w:t xml:space="preserve"> aux droits de l</w:t>
      </w:r>
      <w:r w:rsidR="0035332C">
        <w:rPr>
          <w:lang w:val="fr-FR"/>
        </w:rPr>
        <w:t>’</w:t>
      </w:r>
      <w:r w:rsidRPr="00310D49">
        <w:rPr>
          <w:lang w:val="fr-FR"/>
        </w:rPr>
        <w:t>homme et d</w:t>
      </w:r>
      <w:r w:rsidR="0035332C">
        <w:rPr>
          <w:lang w:val="fr-FR"/>
        </w:rPr>
        <w:t>’</w:t>
      </w:r>
      <w:r w:rsidRPr="00310D49">
        <w:rPr>
          <w:lang w:val="fr-FR"/>
        </w:rPr>
        <w:t>autres partenaires. Parmi ces manifestations figurent les suivantes</w:t>
      </w:r>
      <w:r w:rsidR="00A10A5D">
        <w:rPr>
          <w:lang w:val="fr-FR"/>
        </w:rPr>
        <w:t> </w:t>
      </w:r>
      <w:r w:rsidRPr="00310D49">
        <w:rPr>
          <w:lang w:val="fr-FR"/>
        </w:rPr>
        <w:t xml:space="preserve">: </w:t>
      </w:r>
    </w:p>
    <w:p w14:paraId="6E108962" w14:textId="753CF13F" w:rsidR="00D005FA" w:rsidRPr="00310D49" w:rsidRDefault="00814F0C" w:rsidP="00A10A5D">
      <w:pPr>
        <w:pStyle w:val="Bullet1G"/>
        <w:rPr>
          <w:lang w:val="fr-FR"/>
        </w:rPr>
      </w:pPr>
      <w:r w:rsidRPr="00310D49">
        <w:rPr>
          <w:lang w:val="fr-FR"/>
        </w:rPr>
        <w:t xml:space="preserve">La </w:t>
      </w:r>
      <w:r w:rsidR="00D005FA" w:rsidRPr="00310D49">
        <w:rPr>
          <w:lang w:val="fr-FR"/>
        </w:rPr>
        <w:t>fourniture aux écoles d</w:t>
      </w:r>
      <w:r w:rsidR="0035332C">
        <w:rPr>
          <w:lang w:val="fr-FR"/>
        </w:rPr>
        <w:t>’</w:t>
      </w:r>
      <w:r w:rsidR="00D005FA" w:rsidRPr="00310D49">
        <w:rPr>
          <w:lang w:val="fr-FR"/>
        </w:rPr>
        <w:t>affiches reprenant le texte de la Déclaration universelle des droits de l</w:t>
      </w:r>
      <w:r w:rsidR="0035332C">
        <w:rPr>
          <w:lang w:val="fr-FR"/>
        </w:rPr>
        <w:t>’</w:t>
      </w:r>
      <w:r w:rsidR="00D005FA" w:rsidRPr="00310D49">
        <w:rPr>
          <w:lang w:val="fr-FR"/>
        </w:rPr>
        <w:t>homme</w:t>
      </w:r>
      <w:r w:rsidR="00A10A5D">
        <w:rPr>
          <w:lang w:val="fr-FR"/>
        </w:rPr>
        <w:t> </w:t>
      </w:r>
      <w:r w:rsidR="00D005FA" w:rsidRPr="00310D49">
        <w:rPr>
          <w:lang w:val="fr-FR"/>
        </w:rPr>
        <w:t xml:space="preserve">; </w:t>
      </w:r>
    </w:p>
    <w:p w14:paraId="0B73746F" w14:textId="1D179FDC" w:rsidR="00D005FA" w:rsidRPr="00310D49" w:rsidRDefault="00814F0C" w:rsidP="00A10A5D">
      <w:pPr>
        <w:pStyle w:val="Bullet1G"/>
        <w:rPr>
          <w:lang w:val="fr-FR"/>
        </w:rPr>
      </w:pPr>
      <w:r w:rsidRPr="00310D49">
        <w:rPr>
          <w:lang w:val="fr-FR"/>
        </w:rPr>
        <w:t xml:space="preserve">La </w:t>
      </w:r>
      <w:r w:rsidR="00D005FA" w:rsidRPr="00310D49">
        <w:rPr>
          <w:lang w:val="fr-FR"/>
        </w:rPr>
        <w:t>diffusion d</w:t>
      </w:r>
      <w:r w:rsidR="0035332C">
        <w:rPr>
          <w:lang w:val="fr-FR"/>
        </w:rPr>
        <w:t>’</w:t>
      </w:r>
      <w:r w:rsidR="00D005FA" w:rsidRPr="00310D49">
        <w:rPr>
          <w:lang w:val="fr-FR"/>
        </w:rPr>
        <w:t>émissions sur la télévision palestinienne</w:t>
      </w:r>
      <w:r w:rsidR="00A10A5D">
        <w:rPr>
          <w:lang w:val="fr-FR"/>
        </w:rPr>
        <w:t> </w:t>
      </w:r>
      <w:r w:rsidR="00D005FA" w:rsidRPr="00310D49">
        <w:rPr>
          <w:lang w:val="fr-FR"/>
        </w:rPr>
        <w:t xml:space="preserve">; </w:t>
      </w:r>
    </w:p>
    <w:p w14:paraId="6746754D" w14:textId="4151BDE0" w:rsidR="00D005FA" w:rsidRPr="00310D49" w:rsidRDefault="00814F0C" w:rsidP="00A10A5D">
      <w:pPr>
        <w:pStyle w:val="Bullet1G"/>
        <w:rPr>
          <w:lang w:val="fr-FR"/>
        </w:rPr>
      </w:pPr>
      <w:r w:rsidRPr="00310D49">
        <w:rPr>
          <w:lang w:val="fr-FR"/>
        </w:rPr>
        <w:t xml:space="preserve">La </w:t>
      </w:r>
      <w:r w:rsidR="00D005FA" w:rsidRPr="00310D49">
        <w:rPr>
          <w:lang w:val="fr-FR"/>
        </w:rPr>
        <w:t>publication de centaines d</w:t>
      </w:r>
      <w:r w:rsidR="0035332C">
        <w:rPr>
          <w:lang w:val="fr-FR"/>
        </w:rPr>
        <w:t>’</w:t>
      </w:r>
      <w:r w:rsidR="00D005FA" w:rsidRPr="00310D49">
        <w:rPr>
          <w:lang w:val="fr-FR"/>
        </w:rPr>
        <w:t>exemplaires d</w:t>
      </w:r>
      <w:r w:rsidR="0035332C">
        <w:rPr>
          <w:lang w:val="fr-FR"/>
        </w:rPr>
        <w:t>’</w:t>
      </w:r>
      <w:r w:rsidR="00D005FA" w:rsidRPr="00310D49">
        <w:rPr>
          <w:lang w:val="fr-FR"/>
        </w:rPr>
        <w:t>un livret reprenant les textes de la Déclaration universelle des droits de l</w:t>
      </w:r>
      <w:r w:rsidR="0035332C">
        <w:rPr>
          <w:lang w:val="fr-FR"/>
        </w:rPr>
        <w:t>’</w:t>
      </w:r>
      <w:r w:rsidR="00D005FA" w:rsidRPr="00310D49">
        <w:rPr>
          <w:lang w:val="fr-FR"/>
        </w:rPr>
        <w:t>homme et des sept principales conventions relatives aux droits de l</w:t>
      </w:r>
      <w:r w:rsidR="0035332C">
        <w:rPr>
          <w:lang w:val="fr-FR"/>
        </w:rPr>
        <w:t>’</w:t>
      </w:r>
      <w:r w:rsidR="00D005FA" w:rsidRPr="00310D49">
        <w:rPr>
          <w:lang w:val="fr-FR"/>
        </w:rPr>
        <w:t>homme auxquelles l</w:t>
      </w:r>
      <w:r w:rsidR="0035332C">
        <w:rPr>
          <w:lang w:val="fr-FR"/>
        </w:rPr>
        <w:t>’</w:t>
      </w:r>
      <w:r w:rsidR="00D005FA" w:rsidRPr="00310D49">
        <w:rPr>
          <w:lang w:val="fr-FR"/>
        </w:rPr>
        <w:t xml:space="preserve">État de Palestine a adhéré en 2014. Ces exemplaires sont distribués aux ministères, aux institutions gouvernementales et aux gouvernorats ; </w:t>
      </w:r>
    </w:p>
    <w:p w14:paraId="150F06E8" w14:textId="271F8CC5" w:rsidR="00D005FA" w:rsidRPr="00310D49" w:rsidRDefault="00814F0C" w:rsidP="00A10A5D">
      <w:pPr>
        <w:pStyle w:val="Bullet1G"/>
        <w:rPr>
          <w:lang w:val="fr-FR"/>
        </w:rPr>
      </w:pPr>
      <w:r w:rsidRPr="00310D49">
        <w:rPr>
          <w:lang w:val="fr-FR"/>
        </w:rPr>
        <w:t xml:space="preserve">En </w:t>
      </w:r>
      <w:r w:rsidR="00D005FA" w:rsidRPr="00310D49">
        <w:rPr>
          <w:lang w:val="fr-FR"/>
        </w:rPr>
        <w:t>coopération avec des opérateurs palestiniens de téléphonie mobile, l</w:t>
      </w:r>
      <w:r w:rsidR="0035332C">
        <w:rPr>
          <w:lang w:val="fr-FR"/>
        </w:rPr>
        <w:t>’</w:t>
      </w:r>
      <w:r w:rsidR="00D005FA" w:rsidRPr="00310D49">
        <w:rPr>
          <w:lang w:val="fr-FR"/>
        </w:rPr>
        <w:t>envoi pendant une période spécifique de SMS contenant des informations sur les droits de l</w:t>
      </w:r>
      <w:r w:rsidR="0035332C">
        <w:rPr>
          <w:lang w:val="fr-FR"/>
        </w:rPr>
        <w:t>’</w:t>
      </w:r>
      <w:r w:rsidR="00D005FA" w:rsidRPr="00310D49">
        <w:rPr>
          <w:lang w:val="fr-FR"/>
        </w:rPr>
        <w:t>homme</w:t>
      </w:r>
      <w:r w:rsidR="00A10A5D">
        <w:rPr>
          <w:lang w:val="fr-FR"/>
        </w:rPr>
        <w:t> </w:t>
      </w:r>
      <w:r w:rsidR="00D005FA" w:rsidRPr="00310D49">
        <w:rPr>
          <w:lang w:val="fr-FR"/>
        </w:rPr>
        <w:t>;</w:t>
      </w:r>
    </w:p>
    <w:p w14:paraId="7C88B663" w14:textId="24BBC3FF" w:rsidR="00D005FA" w:rsidRPr="00310D49" w:rsidRDefault="00814F0C" w:rsidP="00A10A5D">
      <w:pPr>
        <w:pStyle w:val="Bullet1G"/>
        <w:rPr>
          <w:lang w:val="fr-FR"/>
        </w:rPr>
      </w:pPr>
      <w:r w:rsidRPr="00310D49">
        <w:rPr>
          <w:lang w:val="fr-FR"/>
        </w:rPr>
        <w:t xml:space="preserve">La </w:t>
      </w:r>
      <w:r w:rsidR="00D005FA" w:rsidRPr="00310D49">
        <w:rPr>
          <w:lang w:val="fr-FR"/>
        </w:rPr>
        <w:t>diffusion de films et organisations de rencontres sur la situation des droits de l</w:t>
      </w:r>
      <w:r w:rsidR="0035332C">
        <w:rPr>
          <w:lang w:val="fr-FR"/>
        </w:rPr>
        <w:t>’</w:t>
      </w:r>
      <w:r w:rsidR="00D005FA" w:rsidRPr="00310D49">
        <w:rPr>
          <w:lang w:val="fr-FR"/>
        </w:rPr>
        <w:t>homme dans l</w:t>
      </w:r>
      <w:r w:rsidR="0035332C">
        <w:rPr>
          <w:lang w:val="fr-FR"/>
        </w:rPr>
        <w:t>’</w:t>
      </w:r>
      <w:r w:rsidR="00D005FA" w:rsidRPr="00310D49">
        <w:rPr>
          <w:lang w:val="fr-FR"/>
        </w:rPr>
        <w:t>État de Palestine.</w:t>
      </w:r>
    </w:p>
    <w:p w14:paraId="23C9F871" w14:textId="77777777" w:rsidR="00D005FA" w:rsidRPr="00310D49" w:rsidRDefault="00D005FA" w:rsidP="00A10A5D">
      <w:pPr>
        <w:pStyle w:val="H23G"/>
        <w:rPr>
          <w:lang w:val="fr-FR"/>
        </w:rPr>
      </w:pPr>
      <w:r w:rsidRPr="00310D49">
        <w:rPr>
          <w:lang w:val="fr-FR"/>
        </w:rPr>
        <w:tab/>
      </w:r>
      <w:r w:rsidRPr="00310D49">
        <w:rPr>
          <w:lang w:val="fr-FR"/>
        </w:rPr>
        <w:tab/>
        <w:t>Programmes scolaires</w:t>
      </w:r>
    </w:p>
    <w:p w14:paraId="164CBFED" w14:textId="0EB6DFB1" w:rsidR="00D005FA" w:rsidRPr="00310D49" w:rsidRDefault="00D005FA" w:rsidP="00A10A5D">
      <w:pPr>
        <w:pStyle w:val="SingleTxtG"/>
        <w:rPr>
          <w:color w:val="10273C"/>
          <w:lang w:val="fr-FR"/>
        </w:rPr>
      </w:pPr>
      <w:r w:rsidRPr="00310D49">
        <w:rPr>
          <w:lang w:val="fr-FR"/>
        </w:rPr>
        <w:t>42.</w:t>
      </w:r>
      <w:r w:rsidRPr="00310D49">
        <w:rPr>
          <w:lang w:val="fr-FR"/>
        </w:rPr>
        <w:tab/>
        <w:t>Conformément à l</w:t>
      </w:r>
      <w:r w:rsidR="0035332C">
        <w:rPr>
          <w:lang w:val="fr-FR"/>
        </w:rPr>
        <w:t>’</w:t>
      </w:r>
      <w:r w:rsidRPr="00310D49">
        <w:rPr>
          <w:lang w:val="fr-FR"/>
        </w:rPr>
        <w:t>article 35-1 du décret-loi n</w:t>
      </w:r>
      <w:r w:rsidR="00814F0C" w:rsidRPr="00814F0C">
        <w:rPr>
          <w:vertAlign w:val="superscript"/>
          <w:lang w:val="fr-FR"/>
        </w:rPr>
        <w:t>o</w:t>
      </w:r>
      <w:r w:rsidR="00814F0C">
        <w:rPr>
          <w:lang w:val="fr-FR"/>
        </w:rPr>
        <w:t> </w:t>
      </w:r>
      <w:r w:rsidRPr="00310D49">
        <w:rPr>
          <w:lang w:val="fr-FR"/>
        </w:rPr>
        <w:t>8 de 2017 sur l</w:t>
      </w:r>
      <w:r w:rsidR="0035332C">
        <w:rPr>
          <w:lang w:val="fr-FR"/>
        </w:rPr>
        <w:t>’</w:t>
      </w:r>
      <w:r w:rsidRPr="00310D49">
        <w:rPr>
          <w:lang w:val="fr-FR"/>
        </w:rPr>
        <w:t>enseignement public, les programmes d</w:t>
      </w:r>
      <w:r w:rsidR="0035332C">
        <w:rPr>
          <w:lang w:val="fr-FR"/>
        </w:rPr>
        <w:t>’</w:t>
      </w:r>
      <w:r w:rsidRPr="00310D49">
        <w:rPr>
          <w:lang w:val="fr-FR"/>
        </w:rPr>
        <w:t>enseignement pour tous les niveaux scolaires sont élaborés sur la base des règles et principes énoncés dans la législation nationale et les instruments internationaux relatifs aux droits de l</w:t>
      </w:r>
      <w:r w:rsidR="0035332C">
        <w:rPr>
          <w:lang w:val="fr-FR"/>
        </w:rPr>
        <w:t>’</w:t>
      </w:r>
      <w:r w:rsidRPr="00310D49">
        <w:rPr>
          <w:lang w:val="fr-FR"/>
        </w:rPr>
        <w:t>homme. L</w:t>
      </w:r>
      <w:r w:rsidR="0035332C">
        <w:rPr>
          <w:lang w:val="fr-FR"/>
        </w:rPr>
        <w:t>’</w:t>
      </w:r>
      <w:r w:rsidRPr="00310D49">
        <w:rPr>
          <w:lang w:val="fr-FR"/>
        </w:rPr>
        <w:t>État de Palestine s</w:t>
      </w:r>
      <w:r w:rsidR="0035332C">
        <w:rPr>
          <w:lang w:val="fr-FR"/>
        </w:rPr>
        <w:t>’</w:t>
      </w:r>
      <w:r w:rsidRPr="00310D49">
        <w:rPr>
          <w:lang w:val="fr-FR"/>
        </w:rPr>
        <w:t>est engagé à inscrire les principes des droits de l</w:t>
      </w:r>
      <w:r w:rsidR="0035332C">
        <w:rPr>
          <w:lang w:val="fr-FR"/>
        </w:rPr>
        <w:t>’</w:t>
      </w:r>
      <w:r w:rsidRPr="00310D49">
        <w:rPr>
          <w:lang w:val="fr-FR"/>
        </w:rPr>
        <w:t>homme dans les programmes scolaires ou à les enseigner en tant que matière à part entière. À cet égard, le Ministère de l</w:t>
      </w:r>
      <w:r w:rsidR="0035332C">
        <w:rPr>
          <w:lang w:val="fr-FR"/>
        </w:rPr>
        <w:t>’</w:t>
      </w:r>
      <w:r w:rsidRPr="00310D49">
        <w:rPr>
          <w:lang w:val="fr-FR"/>
        </w:rPr>
        <w:t>éducation a mis en place plusieurs programmes et projets de sensibilisation aux droits de l</w:t>
      </w:r>
      <w:r w:rsidR="0035332C">
        <w:rPr>
          <w:lang w:val="fr-FR"/>
        </w:rPr>
        <w:t>’</w:t>
      </w:r>
      <w:r w:rsidRPr="00310D49">
        <w:rPr>
          <w:lang w:val="fr-FR"/>
        </w:rPr>
        <w:t>homme, notamment</w:t>
      </w:r>
      <w:r w:rsidR="00B02693">
        <w:rPr>
          <w:lang w:val="fr-FR"/>
        </w:rPr>
        <w:t> </w:t>
      </w:r>
      <w:r w:rsidRPr="00310D49">
        <w:rPr>
          <w:lang w:val="fr-FR"/>
        </w:rPr>
        <w:t>:</w:t>
      </w:r>
    </w:p>
    <w:p w14:paraId="196B9568" w14:textId="3AF05D49" w:rsidR="00D005FA" w:rsidRPr="00310D49" w:rsidRDefault="003E4D03" w:rsidP="00A10A5D">
      <w:pPr>
        <w:pStyle w:val="Bullet1G"/>
        <w:rPr>
          <w:lang w:val="fr-FR"/>
        </w:rPr>
      </w:pPr>
      <w:r w:rsidRPr="00310D49">
        <w:rPr>
          <w:lang w:val="fr-FR"/>
        </w:rPr>
        <w:t>L</w:t>
      </w:r>
      <w:r w:rsidR="00D005FA" w:rsidRPr="00310D49">
        <w:rPr>
          <w:lang w:val="fr-FR"/>
        </w:rPr>
        <w:t>e programme de citoyenneté, qui comporte des activités et manifestations axées sur la vulgarisation des instruments internationaux relatifs aux droits de l</w:t>
      </w:r>
      <w:r w:rsidR="0035332C">
        <w:rPr>
          <w:lang w:val="fr-FR"/>
        </w:rPr>
        <w:t>’</w:t>
      </w:r>
      <w:r w:rsidR="00D005FA" w:rsidRPr="00310D49">
        <w:rPr>
          <w:lang w:val="fr-FR"/>
        </w:rPr>
        <w:t>homme</w:t>
      </w:r>
      <w:r w:rsidR="00B02693">
        <w:rPr>
          <w:lang w:val="fr-FR"/>
        </w:rPr>
        <w:t> </w:t>
      </w:r>
      <w:r w:rsidR="00D005FA" w:rsidRPr="00310D49">
        <w:rPr>
          <w:lang w:val="fr-FR"/>
        </w:rPr>
        <w:t xml:space="preserve">; </w:t>
      </w:r>
    </w:p>
    <w:p w14:paraId="4F4F73FF" w14:textId="2E205AFF" w:rsidR="00D005FA" w:rsidRPr="00310D49" w:rsidRDefault="003E4D03" w:rsidP="00A10A5D">
      <w:pPr>
        <w:pStyle w:val="Bullet1G"/>
        <w:rPr>
          <w:lang w:val="fr-FR"/>
        </w:rPr>
      </w:pPr>
      <w:r w:rsidRPr="00310D49">
        <w:rPr>
          <w:lang w:val="fr-FR"/>
        </w:rPr>
        <w:t xml:space="preserve">Le </w:t>
      </w:r>
      <w:r w:rsidR="00D005FA" w:rsidRPr="00310D49">
        <w:rPr>
          <w:lang w:val="fr-FR"/>
        </w:rPr>
        <w:t>programme des droits de l</w:t>
      </w:r>
      <w:r w:rsidR="0035332C">
        <w:rPr>
          <w:lang w:val="fr-FR"/>
        </w:rPr>
        <w:t>’</w:t>
      </w:r>
      <w:r w:rsidR="00D005FA" w:rsidRPr="00310D49">
        <w:rPr>
          <w:lang w:val="fr-FR"/>
        </w:rPr>
        <w:t>homme et du droit international humanitaire axé sur l</w:t>
      </w:r>
      <w:r w:rsidR="0035332C">
        <w:rPr>
          <w:lang w:val="fr-FR"/>
        </w:rPr>
        <w:t>’</w:t>
      </w:r>
      <w:r w:rsidR="00D005FA" w:rsidRPr="00310D49">
        <w:rPr>
          <w:lang w:val="fr-FR"/>
        </w:rPr>
        <w:t>éducation aux droits de l</w:t>
      </w:r>
      <w:r w:rsidR="0035332C">
        <w:rPr>
          <w:lang w:val="fr-FR"/>
        </w:rPr>
        <w:t>’</w:t>
      </w:r>
      <w:r w:rsidR="00D005FA" w:rsidRPr="00310D49">
        <w:rPr>
          <w:lang w:val="fr-FR"/>
        </w:rPr>
        <w:t>homme, au droit international humanitaire et aux instruments internationaux pertinents, et complétée par l</w:t>
      </w:r>
      <w:r w:rsidR="0035332C">
        <w:rPr>
          <w:lang w:val="fr-FR"/>
        </w:rPr>
        <w:t>’</w:t>
      </w:r>
      <w:r w:rsidR="00D005FA" w:rsidRPr="00310D49">
        <w:rPr>
          <w:lang w:val="fr-FR"/>
        </w:rPr>
        <w:t>organisation de rencontres avec les étudiants à propos des violations des droits de l</w:t>
      </w:r>
      <w:r w:rsidR="0035332C">
        <w:rPr>
          <w:lang w:val="fr-FR"/>
        </w:rPr>
        <w:t>’</w:t>
      </w:r>
      <w:r w:rsidR="00D005FA" w:rsidRPr="00310D49">
        <w:rPr>
          <w:lang w:val="fr-FR"/>
        </w:rPr>
        <w:t>homme dans l</w:t>
      </w:r>
      <w:r w:rsidR="0035332C">
        <w:rPr>
          <w:lang w:val="fr-FR"/>
        </w:rPr>
        <w:t>’</w:t>
      </w:r>
      <w:r w:rsidR="00D005FA" w:rsidRPr="00310D49">
        <w:rPr>
          <w:lang w:val="fr-FR"/>
        </w:rPr>
        <w:t xml:space="preserve">État de Palestine. </w:t>
      </w:r>
    </w:p>
    <w:p w14:paraId="3621E6D6" w14:textId="1D6F1430" w:rsidR="00D005FA" w:rsidRPr="00310D49" w:rsidRDefault="00D005FA" w:rsidP="00A10A5D">
      <w:pPr>
        <w:pStyle w:val="H23G"/>
        <w:rPr>
          <w:lang w:val="fr-FR"/>
        </w:rPr>
      </w:pPr>
      <w:r w:rsidRPr="00310D49">
        <w:rPr>
          <w:lang w:val="fr-FR"/>
        </w:rPr>
        <w:tab/>
      </w:r>
      <w:r w:rsidRPr="00310D49">
        <w:rPr>
          <w:lang w:val="fr-FR"/>
        </w:rPr>
        <w:tab/>
        <w:t>Diffusion des rapports</w:t>
      </w:r>
    </w:p>
    <w:p w14:paraId="4DA17A7B" w14:textId="3DC15DDB" w:rsidR="00D005FA" w:rsidRPr="00310D49" w:rsidRDefault="00D005FA" w:rsidP="00A10A5D">
      <w:pPr>
        <w:pStyle w:val="SingleTxtG"/>
        <w:rPr>
          <w:lang w:val="fr-FR"/>
        </w:rPr>
      </w:pPr>
      <w:r w:rsidRPr="00310D49">
        <w:rPr>
          <w:lang w:val="fr-FR"/>
        </w:rPr>
        <w:t>43.</w:t>
      </w:r>
      <w:r w:rsidRPr="00310D49">
        <w:rPr>
          <w:lang w:val="fr-FR"/>
        </w:rPr>
        <w:tab/>
        <w:t>L</w:t>
      </w:r>
      <w:r w:rsidR="0035332C">
        <w:rPr>
          <w:lang w:val="fr-FR"/>
        </w:rPr>
        <w:t>’</w:t>
      </w:r>
      <w:r w:rsidRPr="00310D49">
        <w:rPr>
          <w:lang w:val="fr-FR"/>
        </w:rPr>
        <w:t>État de Palestine s</w:t>
      </w:r>
      <w:r w:rsidR="0035332C">
        <w:rPr>
          <w:lang w:val="fr-FR"/>
        </w:rPr>
        <w:t>’</w:t>
      </w:r>
      <w:r w:rsidRPr="00310D49">
        <w:rPr>
          <w:lang w:val="fr-FR"/>
        </w:rPr>
        <w:t>est employé à renforcer le dialogue entre le Gouvernement et la société civile. Des concertations nationales avec les organisations de la société civile sont ainsi organisées afin d</w:t>
      </w:r>
      <w:r w:rsidR="0035332C">
        <w:rPr>
          <w:lang w:val="fr-FR"/>
        </w:rPr>
        <w:t>’</w:t>
      </w:r>
      <w:r w:rsidRPr="00310D49">
        <w:rPr>
          <w:lang w:val="fr-FR"/>
        </w:rPr>
        <w:t>examiner et d</w:t>
      </w:r>
      <w:r w:rsidR="0035332C">
        <w:rPr>
          <w:lang w:val="fr-FR"/>
        </w:rPr>
        <w:t>’</w:t>
      </w:r>
      <w:r w:rsidRPr="00310D49">
        <w:rPr>
          <w:lang w:val="fr-FR"/>
        </w:rPr>
        <w:t>évaluer les versions préliminaires des rapports initiaux établis par les institutions officielles et devant être soumis aux comités des droits de l</w:t>
      </w:r>
      <w:r w:rsidR="0035332C">
        <w:rPr>
          <w:lang w:val="fr-FR"/>
        </w:rPr>
        <w:t>’</w:t>
      </w:r>
      <w:r w:rsidRPr="00310D49">
        <w:rPr>
          <w:lang w:val="fr-FR"/>
        </w:rPr>
        <w:t>homme. Les observations formulées par ces organisations sont prises en considération lors de l</w:t>
      </w:r>
      <w:r w:rsidR="0035332C">
        <w:rPr>
          <w:lang w:val="fr-FR"/>
        </w:rPr>
        <w:t>’</w:t>
      </w:r>
      <w:r w:rsidRPr="00310D49">
        <w:rPr>
          <w:lang w:val="fr-FR"/>
        </w:rPr>
        <w:t>élaboration de la version finale desdits rapports. Ces organisations sont également associées à l</w:t>
      </w:r>
      <w:r w:rsidR="0035332C">
        <w:rPr>
          <w:lang w:val="fr-FR"/>
        </w:rPr>
        <w:t>’</w:t>
      </w:r>
      <w:r w:rsidRPr="00310D49">
        <w:rPr>
          <w:lang w:val="fr-FR"/>
        </w:rPr>
        <w:t>élaboration des plans nationaux de mise en œuvre des recommandations des organes créés en vertu d</w:t>
      </w:r>
      <w:r w:rsidR="0035332C">
        <w:rPr>
          <w:lang w:val="fr-FR"/>
        </w:rPr>
        <w:t>’</w:t>
      </w:r>
      <w:r w:rsidRPr="00310D49">
        <w:rPr>
          <w:lang w:val="fr-FR"/>
        </w:rPr>
        <w:t>un instrument international relatif aux droits de l</w:t>
      </w:r>
      <w:r w:rsidR="0035332C">
        <w:rPr>
          <w:lang w:val="fr-FR"/>
        </w:rPr>
        <w:t>’</w:t>
      </w:r>
      <w:r w:rsidRPr="00310D49">
        <w:rPr>
          <w:lang w:val="fr-FR"/>
        </w:rPr>
        <w:t>homme.</w:t>
      </w:r>
    </w:p>
    <w:p w14:paraId="46E49940" w14:textId="7D025102" w:rsidR="00D005FA" w:rsidRPr="00310D49" w:rsidRDefault="00D005FA" w:rsidP="00A10A5D">
      <w:pPr>
        <w:pStyle w:val="SingleTxtG"/>
        <w:rPr>
          <w:lang w:val="fr-FR"/>
        </w:rPr>
      </w:pPr>
      <w:r w:rsidRPr="00310D49">
        <w:rPr>
          <w:lang w:val="fr-FR"/>
        </w:rPr>
        <w:t>44.</w:t>
      </w:r>
      <w:r w:rsidRPr="00310D49">
        <w:rPr>
          <w:lang w:val="fr-FR"/>
        </w:rPr>
        <w:tab/>
        <w:t>En raison de l</w:t>
      </w:r>
      <w:r w:rsidR="0035332C">
        <w:rPr>
          <w:lang w:val="fr-FR"/>
        </w:rPr>
        <w:t>’</w:t>
      </w:r>
      <w:r w:rsidRPr="00310D49">
        <w:rPr>
          <w:lang w:val="fr-FR"/>
        </w:rPr>
        <w:t xml:space="preserve">interdiction de se rendre en Cisjordanie imposée par Israël, puissance occupante, aux organisations de la société civile de la bande de Gaza, deux consultations nationales ont été organisées, </w:t>
      </w:r>
      <w:r w:rsidRPr="00311C56">
        <w:rPr>
          <w:lang w:val="fr-FR"/>
        </w:rPr>
        <w:t>l</w:t>
      </w:r>
      <w:r w:rsidR="0035332C">
        <w:rPr>
          <w:lang w:val="fr-FR"/>
        </w:rPr>
        <w:t>’</w:t>
      </w:r>
      <w:r w:rsidRPr="00311C56">
        <w:rPr>
          <w:lang w:val="fr-FR"/>
        </w:rPr>
        <w:t>une le 13 décembre 2017 avec les organisations de la société civile de Cisjordanie, notamment celles de Jérusalem occupée, qui s</w:t>
      </w:r>
      <w:r w:rsidR="0035332C">
        <w:rPr>
          <w:lang w:val="fr-FR"/>
        </w:rPr>
        <w:t>’</w:t>
      </w:r>
      <w:r w:rsidRPr="00311C56">
        <w:rPr>
          <w:lang w:val="fr-FR"/>
        </w:rPr>
        <w:t>est tenue au siège du Ministère des affaires étrangères et des émigrés</w:t>
      </w:r>
      <w:r w:rsidR="00B02693" w:rsidRPr="00311C56">
        <w:rPr>
          <w:lang w:val="fr-FR"/>
        </w:rPr>
        <w:t> </w:t>
      </w:r>
      <w:r w:rsidRPr="00311C56">
        <w:rPr>
          <w:lang w:val="fr-FR"/>
        </w:rPr>
        <w:t>; et l</w:t>
      </w:r>
      <w:r w:rsidR="0035332C">
        <w:rPr>
          <w:lang w:val="fr-FR"/>
        </w:rPr>
        <w:t>’</w:t>
      </w:r>
      <w:r w:rsidRPr="00311C56">
        <w:rPr>
          <w:lang w:val="fr-FR"/>
        </w:rPr>
        <w:t>autre le 6 février 2018</w:t>
      </w:r>
      <w:r w:rsidRPr="00310D49">
        <w:rPr>
          <w:lang w:val="fr-FR"/>
        </w:rPr>
        <w:t xml:space="preserve"> au siège de la Commission indépendante pour les droits de l</w:t>
      </w:r>
      <w:r w:rsidR="0035332C">
        <w:rPr>
          <w:lang w:val="fr-FR"/>
        </w:rPr>
        <w:t>’</w:t>
      </w:r>
      <w:r w:rsidRPr="00310D49">
        <w:rPr>
          <w:lang w:val="fr-FR"/>
        </w:rPr>
        <w:t>homme, à laquelle ont participé, par transmission vidéo, les organisations de la société civile et des droits de l</w:t>
      </w:r>
      <w:r w:rsidR="0035332C">
        <w:rPr>
          <w:lang w:val="fr-FR"/>
        </w:rPr>
        <w:t>’</w:t>
      </w:r>
      <w:r w:rsidRPr="00310D49">
        <w:rPr>
          <w:lang w:val="fr-FR"/>
        </w:rPr>
        <w:t xml:space="preserve">homme implantées </w:t>
      </w:r>
      <w:r w:rsidRPr="00310D49">
        <w:rPr>
          <w:lang w:val="fr-FR"/>
        </w:rPr>
        <w:lastRenderedPageBreak/>
        <w:t>à Gaza, ainsi que les représentants des ministères de l</w:t>
      </w:r>
      <w:r w:rsidR="0035332C">
        <w:rPr>
          <w:lang w:val="fr-FR"/>
        </w:rPr>
        <w:t>’</w:t>
      </w:r>
      <w:r w:rsidRPr="00310D49">
        <w:rPr>
          <w:lang w:val="fr-FR"/>
        </w:rPr>
        <w:t>État de Palestine et ceux des organisations de la société civile des territoires palestiniens occupés.</w:t>
      </w:r>
    </w:p>
    <w:p w14:paraId="4AD7FA8D" w14:textId="03A84817" w:rsidR="00D005FA" w:rsidRPr="00310D49" w:rsidRDefault="00D005FA" w:rsidP="00A10A5D">
      <w:pPr>
        <w:pStyle w:val="SingleTxtG"/>
        <w:rPr>
          <w:spacing w:val="-4"/>
          <w:lang w:val="fr-FR"/>
        </w:rPr>
      </w:pPr>
      <w:r w:rsidRPr="00310D49">
        <w:rPr>
          <w:lang w:val="fr-FR"/>
        </w:rPr>
        <w:t>45.</w:t>
      </w:r>
      <w:r w:rsidRPr="00310D49">
        <w:rPr>
          <w:lang w:val="fr-FR"/>
        </w:rPr>
        <w:tab/>
        <w:t>Les versions finales des rapports initiaux de l</w:t>
      </w:r>
      <w:r w:rsidR="0035332C">
        <w:rPr>
          <w:lang w:val="fr-FR"/>
        </w:rPr>
        <w:t>’</w:t>
      </w:r>
      <w:r w:rsidRPr="00310D49">
        <w:rPr>
          <w:lang w:val="fr-FR"/>
        </w:rPr>
        <w:t>État de Palestine soumis aux organes cré</w:t>
      </w:r>
      <w:r>
        <w:rPr>
          <w:lang w:val="fr-FR"/>
        </w:rPr>
        <w:t>é</w:t>
      </w:r>
      <w:r w:rsidRPr="00310D49">
        <w:rPr>
          <w:lang w:val="fr-FR"/>
        </w:rPr>
        <w:t>s en vertu d</w:t>
      </w:r>
      <w:r w:rsidR="0035332C">
        <w:rPr>
          <w:lang w:val="fr-FR"/>
        </w:rPr>
        <w:t>’</w:t>
      </w:r>
      <w:r w:rsidRPr="00310D49">
        <w:rPr>
          <w:lang w:val="fr-FR"/>
        </w:rPr>
        <w:t>instruments internationaux relatifs aux droits de l</w:t>
      </w:r>
      <w:r w:rsidR="0035332C">
        <w:rPr>
          <w:lang w:val="fr-FR"/>
        </w:rPr>
        <w:t>’</w:t>
      </w:r>
      <w:r w:rsidRPr="00310D49">
        <w:rPr>
          <w:lang w:val="fr-FR"/>
        </w:rPr>
        <w:t>homme ont également été publiées sur le site Internet du Ministère palestinien des affaires étrangères et des émigrés et sur la page Web officielle des autres ministères concernés. L</w:t>
      </w:r>
      <w:r w:rsidR="0035332C">
        <w:rPr>
          <w:lang w:val="fr-FR"/>
        </w:rPr>
        <w:t>’</w:t>
      </w:r>
      <w:r w:rsidRPr="00310D49">
        <w:rPr>
          <w:lang w:val="fr-FR"/>
        </w:rPr>
        <w:t>État de Palestine s</w:t>
      </w:r>
      <w:r w:rsidR="0035332C">
        <w:rPr>
          <w:lang w:val="fr-FR"/>
        </w:rPr>
        <w:t>’</w:t>
      </w:r>
      <w:r w:rsidRPr="00310D49">
        <w:rPr>
          <w:lang w:val="fr-FR"/>
        </w:rPr>
        <w:t>est également engagé à débattre des rapports au titre des instruments relatifs aux droits de l</w:t>
      </w:r>
      <w:r w:rsidR="0035332C">
        <w:rPr>
          <w:lang w:val="fr-FR"/>
        </w:rPr>
        <w:t>’</w:t>
      </w:r>
      <w:r w:rsidRPr="00310D49">
        <w:rPr>
          <w:lang w:val="fr-FR"/>
        </w:rPr>
        <w:t>homme devant les organes conventionnels et à assurer le suivi de la mise en œuvre des observations finales et recommandations formulées par lesdits organes conventionnels.</w:t>
      </w:r>
    </w:p>
    <w:p w14:paraId="5AB3C5F1" w14:textId="77777777" w:rsidR="00D005FA" w:rsidRPr="00310D49" w:rsidRDefault="00D005FA" w:rsidP="00A10A5D">
      <w:pPr>
        <w:pStyle w:val="H23G"/>
        <w:rPr>
          <w:lang w:val="fr-FR"/>
        </w:rPr>
      </w:pPr>
      <w:r w:rsidRPr="00310D49">
        <w:rPr>
          <w:lang w:val="fr-FR"/>
        </w:rPr>
        <w:tab/>
      </w:r>
      <w:r w:rsidRPr="00310D49">
        <w:rPr>
          <w:lang w:val="fr-FR"/>
        </w:rPr>
        <w:tab/>
        <w:t>Égalité et non-discrimination</w:t>
      </w:r>
    </w:p>
    <w:p w14:paraId="3DBD9CC5" w14:textId="78DBE9A0" w:rsidR="00D005FA" w:rsidRPr="00310D49" w:rsidRDefault="00D005FA" w:rsidP="00A10A5D">
      <w:pPr>
        <w:pStyle w:val="SingleTxtG"/>
        <w:rPr>
          <w:i/>
          <w:iCs/>
          <w:lang w:val="fr-FR"/>
        </w:rPr>
      </w:pPr>
      <w:r w:rsidRPr="00310D49">
        <w:rPr>
          <w:lang w:val="fr-FR"/>
        </w:rPr>
        <w:t>46.</w:t>
      </w:r>
      <w:r w:rsidRPr="00310D49">
        <w:rPr>
          <w:lang w:val="fr-FR"/>
        </w:rPr>
        <w:tab/>
        <w:t>La Déclaration d</w:t>
      </w:r>
      <w:r w:rsidR="0035332C">
        <w:rPr>
          <w:lang w:val="fr-FR"/>
        </w:rPr>
        <w:t>’</w:t>
      </w:r>
      <w:r w:rsidRPr="00310D49">
        <w:rPr>
          <w:lang w:val="fr-FR"/>
        </w:rPr>
        <w:t>indépendance, dans laquelle l</w:t>
      </w:r>
      <w:r w:rsidR="0035332C">
        <w:rPr>
          <w:lang w:val="fr-FR"/>
        </w:rPr>
        <w:t>’</w:t>
      </w:r>
      <w:r w:rsidRPr="00310D49">
        <w:rPr>
          <w:lang w:val="fr-FR"/>
        </w:rPr>
        <w:t>État de Palestine proclame son adhésion aux principes et objectifs de l</w:t>
      </w:r>
      <w:r w:rsidR="0035332C">
        <w:rPr>
          <w:lang w:val="fr-FR"/>
        </w:rPr>
        <w:t>’</w:t>
      </w:r>
      <w:r w:rsidRPr="00310D49">
        <w:rPr>
          <w:lang w:val="fr-FR"/>
        </w:rPr>
        <w:t>Organisation des Nations Unies, ainsi qu</w:t>
      </w:r>
      <w:r w:rsidR="0035332C">
        <w:rPr>
          <w:lang w:val="fr-FR"/>
        </w:rPr>
        <w:t>’</w:t>
      </w:r>
      <w:r w:rsidRPr="00310D49">
        <w:rPr>
          <w:lang w:val="fr-FR"/>
        </w:rPr>
        <w:t xml:space="preserve">à la Déclaration universelle des droits de </w:t>
      </w:r>
      <w:r w:rsidRPr="00311C56">
        <w:rPr>
          <w:lang w:val="fr-FR"/>
        </w:rPr>
        <w:t>l</w:t>
      </w:r>
      <w:r w:rsidR="0035332C">
        <w:rPr>
          <w:lang w:val="fr-FR"/>
        </w:rPr>
        <w:t>’</w:t>
      </w:r>
      <w:r w:rsidRPr="00311C56">
        <w:rPr>
          <w:lang w:val="fr-FR"/>
        </w:rPr>
        <w:t>homme</w:t>
      </w:r>
      <w:r w:rsidR="00A04738">
        <w:rPr>
          <w:lang w:val="fr-FR"/>
        </w:rPr>
        <w:t xml:space="preserve"> </w:t>
      </w:r>
      <w:r w:rsidRPr="00311C56">
        <w:rPr>
          <w:lang w:val="fr-FR"/>
        </w:rPr>
        <w:t>est l</w:t>
      </w:r>
      <w:r w:rsidR="0035332C">
        <w:rPr>
          <w:lang w:val="fr-FR"/>
        </w:rPr>
        <w:t>’</w:t>
      </w:r>
      <w:r w:rsidRPr="00311C56">
        <w:rPr>
          <w:lang w:val="fr-FR"/>
        </w:rPr>
        <w:t>instrument constitutionnel suprême qui garantit à tous la jouissance et l</w:t>
      </w:r>
      <w:r w:rsidR="0035332C">
        <w:rPr>
          <w:lang w:val="fr-FR"/>
        </w:rPr>
        <w:t>’</w:t>
      </w:r>
      <w:r w:rsidRPr="00311C56">
        <w:rPr>
          <w:lang w:val="fr-FR"/>
        </w:rPr>
        <w:t>exercice des droits et libertés</w:t>
      </w:r>
      <w:r w:rsidRPr="00310D49">
        <w:rPr>
          <w:lang w:val="fr-FR"/>
        </w:rPr>
        <w:t xml:space="preserve"> ainsi que la pleine égalité sans aucune discrimination. De même, l</w:t>
      </w:r>
      <w:r w:rsidR="0035332C">
        <w:rPr>
          <w:lang w:val="fr-FR"/>
        </w:rPr>
        <w:t>’</w:t>
      </w:r>
      <w:r w:rsidRPr="00310D49">
        <w:rPr>
          <w:lang w:val="fr-FR"/>
        </w:rPr>
        <w:t>article 9 de la Loi fondamentale, telle que modifiée, consacre l</w:t>
      </w:r>
      <w:r w:rsidR="0035332C">
        <w:rPr>
          <w:lang w:val="fr-FR"/>
        </w:rPr>
        <w:t>’</w:t>
      </w:r>
      <w:r w:rsidRPr="00310D49">
        <w:rPr>
          <w:lang w:val="fr-FR"/>
        </w:rPr>
        <w:t>égalité et la non-discrimination en ces termes</w:t>
      </w:r>
      <w:r w:rsidR="00B02693">
        <w:rPr>
          <w:lang w:val="fr-FR"/>
        </w:rPr>
        <w:t> </w:t>
      </w:r>
      <w:r w:rsidRPr="00310D49">
        <w:rPr>
          <w:lang w:val="fr-FR"/>
        </w:rPr>
        <w:t>: «</w:t>
      </w:r>
      <w:r w:rsidR="00B02693">
        <w:rPr>
          <w:lang w:val="fr-FR"/>
        </w:rPr>
        <w:t> </w:t>
      </w:r>
      <w:r w:rsidRPr="00310D49">
        <w:rPr>
          <w:lang w:val="fr-FR"/>
        </w:rPr>
        <w:t>Les Palestiniens sont égaux en droits et devant la justice, sans distinction de race, de sexe, de couleur, de religion, d</w:t>
      </w:r>
      <w:r w:rsidR="0035332C">
        <w:rPr>
          <w:lang w:val="fr-FR"/>
        </w:rPr>
        <w:t>’</w:t>
      </w:r>
      <w:r w:rsidRPr="00310D49">
        <w:rPr>
          <w:lang w:val="fr-FR"/>
        </w:rPr>
        <w:t>opinion politique ou de handicap</w:t>
      </w:r>
      <w:r w:rsidR="00B02693">
        <w:rPr>
          <w:lang w:val="fr-FR"/>
        </w:rPr>
        <w:t> </w:t>
      </w:r>
      <w:r w:rsidRPr="00310D49">
        <w:rPr>
          <w:lang w:val="fr-FR"/>
        </w:rPr>
        <w:t>». L</w:t>
      </w:r>
      <w:r w:rsidR="0035332C">
        <w:rPr>
          <w:lang w:val="fr-FR"/>
        </w:rPr>
        <w:t>’</w:t>
      </w:r>
      <w:r w:rsidRPr="00310D49">
        <w:rPr>
          <w:lang w:val="fr-FR"/>
        </w:rPr>
        <w:t>interdiction de la discrimination est un des principes généraux fondamentaux sur le plan juridique. En conséquence, toute loi qui ne tiendrait pas compte de ces principes risque d</w:t>
      </w:r>
      <w:r w:rsidR="0035332C">
        <w:rPr>
          <w:lang w:val="fr-FR"/>
        </w:rPr>
        <w:t>’</w:t>
      </w:r>
      <w:r w:rsidRPr="00310D49">
        <w:rPr>
          <w:lang w:val="fr-FR"/>
        </w:rPr>
        <w:t>être jugée inconstitutionnelle par la Haute Cour constitutionnelle. Les</w:t>
      </w:r>
      <w:r w:rsidR="003E4D03">
        <w:rPr>
          <w:lang w:val="fr-FR"/>
        </w:rPr>
        <w:t> </w:t>
      </w:r>
      <w:r w:rsidRPr="00310D49">
        <w:rPr>
          <w:lang w:val="fr-FR"/>
        </w:rPr>
        <w:t>textes constitutionnels ont ainsi tracé une orientation juridique fondée sur l</w:t>
      </w:r>
      <w:r w:rsidR="0035332C">
        <w:rPr>
          <w:lang w:val="fr-FR"/>
        </w:rPr>
        <w:t>’</w:t>
      </w:r>
      <w:r w:rsidRPr="00310D49">
        <w:rPr>
          <w:lang w:val="fr-FR"/>
        </w:rPr>
        <w:t>égalité et la non-discrimination.</w:t>
      </w:r>
    </w:p>
    <w:p w14:paraId="2E3412D3" w14:textId="110BE374" w:rsidR="00D005FA" w:rsidRPr="00842F54" w:rsidRDefault="00842F54" w:rsidP="00842F54">
      <w:pPr>
        <w:pStyle w:val="SingleTxtG"/>
      </w:pPr>
      <w:r w:rsidRPr="00842F54">
        <w:t>47.</w:t>
      </w:r>
      <w:r w:rsidRPr="00842F54">
        <w:tab/>
        <w:t>La législation en vigueur contient des dispositions explicites interdisant la discrimination et reconnaissant le principe d</w:t>
      </w:r>
      <w:r w:rsidR="0035332C">
        <w:t>’</w:t>
      </w:r>
      <w:r w:rsidRPr="00842F54">
        <w:t>égalité. Ainsi, la législation régissant les élections reconnaît à tous les citoyens le droit de voter et de se porter candidat, le Code de la fonction publique n</w:t>
      </w:r>
      <w:r w:rsidR="003E4D03" w:rsidRPr="003E4D03">
        <w:rPr>
          <w:vertAlign w:val="superscript"/>
        </w:rPr>
        <w:t>o</w:t>
      </w:r>
      <w:r w:rsidR="003E4D03">
        <w:t> </w:t>
      </w:r>
      <w:r w:rsidRPr="00842F54">
        <w:t>4 de 1998 et le Code du travail n</w:t>
      </w:r>
      <w:r w:rsidR="003E4D03" w:rsidRPr="003E4D03">
        <w:rPr>
          <w:vertAlign w:val="superscript"/>
        </w:rPr>
        <w:t>o</w:t>
      </w:r>
      <w:r w:rsidR="003E4D03">
        <w:t> </w:t>
      </w:r>
      <w:r w:rsidRPr="00842F54">
        <w:t>7 de 2000 interdisent la discrimination entre les hommes et les femmes en matière d</w:t>
      </w:r>
      <w:r w:rsidR="0035332C">
        <w:t>’</w:t>
      </w:r>
      <w:r w:rsidRPr="00842F54">
        <w:t>emploi et le Code de l</w:t>
      </w:r>
      <w:r w:rsidR="0035332C">
        <w:t>’</w:t>
      </w:r>
      <w:r w:rsidRPr="00842F54">
        <w:t>enfance palestinien, tel que modifié par la loi n</w:t>
      </w:r>
      <w:r w:rsidR="003E4D03" w:rsidRPr="003E4D03">
        <w:rPr>
          <w:vertAlign w:val="superscript"/>
        </w:rPr>
        <w:t>o</w:t>
      </w:r>
      <w:r w:rsidR="003E4D03">
        <w:t> </w:t>
      </w:r>
      <w:r w:rsidRPr="00842F54">
        <w:t xml:space="preserve">7 de 2004, dispose que les mesures nécessaires doivent être prises pour protéger les enfants contre la discrimination. En outre, la loi </w:t>
      </w:r>
      <w:r w:rsidR="003E4D03">
        <w:t>n</w:t>
      </w:r>
      <w:r w:rsidR="003E4D03" w:rsidRPr="003E4D03">
        <w:rPr>
          <w:vertAlign w:val="superscript"/>
        </w:rPr>
        <w:t>o</w:t>
      </w:r>
      <w:r w:rsidR="003E4D03">
        <w:t> </w:t>
      </w:r>
      <w:r w:rsidRPr="00842F54">
        <w:t>4 de 1999 sur les droits des personnes handicapées garantit les droits de ces personnes et les protège de toutes les formes de discrimination.</w:t>
      </w:r>
    </w:p>
    <w:p w14:paraId="1EC2F9A7" w14:textId="37E10DE7" w:rsidR="00D005FA" w:rsidRPr="00310D49" w:rsidRDefault="00D005FA" w:rsidP="00A10A5D">
      <w:pPr>
        <w:pStyle w:val="SingleTxtG"/>
        <w:rPr>
          <w:lang w:val="fr-FR"/>
        </w:rPr>
      </w:pPr>
      <w:r w:rsidRPr="00310D49">
        <w:rPr>
          <w:lang w:val="fr-FR"/>
        </w:rPr>
        <w:t>48.</w:t>
      </w:r>
      <w:r w:rsidRPr="00310D49">
        <w:rPr>
          <w:lang w:val="fr-FR"/>
        </w:rPr>
        <w:tab/>
        <w:t>L</w:t>
      </w:r>
      <w:r w:rsidR="0035332C">
        <w:rPr>
          <w:lang w:val="fr-FR"/>
        </w:rPr>
        <w:t>’</w:t>
      </w:r>
      <w:r w:rsidRPr="00310D49">
        <w:rPr>
          <w:lang w:val="fr-FR"/>
        </w:rPr>
        <w:t>article</w:t>
      </w:r>
      <w:r w:rsidR="003E4D03">
        <w:rPr>
          <w:lang w:val="fr-FR"/>
        </w:rPr>
        <w:t> </w:t>
      </w:r>
      <w:r w:rsidRPr="00310D49">
        <w:rPr>
          <w:lang w:val="fr-FR"/>
        </w:rPr>
        <w:t>14 du projet de Constitution de l</w:t>
      </w:r>
      <w:r w:rsidR="0035332C">
        <w:rPr>
          <w:lang w:val="fr-FR"/>
        </w:rPr>
        <w:t>’</w:t>
      </w:r>
      <w:r w:rsidRPr="00310D49">
        <w:rPr>
          <w:lang w:val="fr-FR"/>
        </w:rPr>
        <w:t>État de Palestine de 2015 dispose que «</w:t>
      </w:r>
      <w:r w:rsidR="003E4D03">
        <w:rPr>
          <w:lang w:val="fr-FR"/>
        </w:rPr>
        <w:t> </w:t>
      </w:r>
      <w:r w:rsidRPr="00310D49">
        <w:rPr>
          <w:lang w:val="fr-FR"/>
        </w:rPr>
        <w:t>[t]ous les Palestiniens sont égaux devant la loi et jouissent des mêmes droits, ils sont soumis aux devoirs prévus par la loi, sans distinction d</w:t>
      </w:r>
      <w:r w:rsidR="0035332C">
        <w:rPr>
          <w:lang w:val="fr-FR"/>
        </w:rPr>
        <w:t>’</w:t>
      </w:r>
      <w:r w:rsidRPr="00310D49">
        <w:rPr>
          <w:lang w:val="fr-FR"/>
        </w:rPr>
        <w:t>origine, de race, de sexe, de religion, de statut social, d</w:t>
      </w:r>
      <w:r w:rsidR="0035332C">
        <w:rPr>
          <w:lang w:val="fr-FR"/>
        </w:rPr>
        <w:t>’</w:t>
      </w:r>
      <w:r w:rsidRPr="00310D49">
        <w:rPr>
          <w:lang w:val="fr-FR"/>
        </w:rPr>
        <w:t>opinion ou de handicap</w:t>
      </w:r>
      <w:r w:rsidR="003E4D03">
        <w:rPr>
          <w:lang w:val="fr-FR"/>
        </w:rPr>
        <w:t>. </w:t>
      </w:r>
      <w:r w:rsidRPr="00310D49">
        <w:rPr>
          <w:lang w:val="fr-FR"/>
        </w:rPr>
        <w:t>».</w:t>
      </w:r>
    </w:p>
    <w:p w14:paraId="38F03CB5" w14:textId="3271EF11" w:rsidR="00D005FA" w:rsidRPr="00310D49" w:rsidRDefault="00D005FA" w:rsidP="00A10A5D">
      <w:pPr>
        <w:pStyle w:val="SingleTxtG"/>
        <w:rPr>
          <w:spacing w:val="-2"/>
          <w:lang w:val="fr-FR"/>
        </w:rPr>
      </w:pPr>
      <w:r w:rsidRPr="00310D49">
        <w:rPr>
          <w:lang w:val="fr-FR"/>
        </w:rPr>
        <w:t>49.</w:t>
      </w:r>
      <w:r w:rsidRPr="00310D49">
        <w:rPr>
          <w:lang w:val="fr-FR"/>
        </w:rPr>
        <w:tab/>
        <w:t>Le projet de Code pénal palestinien érige en infraction les actes de discrimination et réprime par une peine privative de liberté et/ou une amende les auteurs de tels actes, en définissant la discrimination comme étant «</w:t>
      </w:r>
      <w:r w:rsidR="003E4D03">
        <w:rPr>
          <w:lang w:val="fr-FR"/>
        </w:rPr>
        <w:t> </w:t>
      </w:r>
      <w:r w:rsidRPr="00310D49">
        <w:rPr>
          <w:lang w:val="fr-FR"/>
        </w:rPr>
        <w:t>[t]oute distinction entre les personnes physiques fondée sur l</w:t>
      </w:r>
      <w:r w:rsidR="0035332C">
        <w:rPr>
          <w:lang w:val="fr-FR"/>
        </w:rPr>
        <w:t>’</w:t>
      </w:r>
      <w:r w:rsidRPr="00310D49">
        <w:rPr>
          <w:lang w:val="fr-FR"/>
        </w:rPr>
        <w:t>origine nationale ou sociale, la couleur, le sexe, la situation familiale, l</w:t>
      </w:r>
      <w:r w:rsidR="0035332C">
        <w:rPr>
          <w:lang w:val="fr-FR"/>
        </w:rPr>
        <w:t>’</w:t>
      </w:r>
      <w:r w:rsidRPr="00310D49">
        <w:rPr>
          <w:lang w:val="fr-FR"/>
        </w:rPr>
        <w:t>état de santé, le handicap, l</w:t>
      </w:r>
      <w:r w:rsidR="0035332C">
        <w:rPr>
          <w:lang w:val="fr-FR"/>
        </w:rPr>
        <w:t>’</w:t>
      </w:r>
      <w:r w:rsidRPr="00310D49">
        <w:rPr>
          <w:lang w:val="fr-FR"/>
        </w:rPr>
        <w:t>opinion politique, l</w:t>
      </w:r>
      <w:r w:rsidR="0035332C">
        <w:rPr>
          <w:lang w:val="fr-FR"/>
        </w:rPr>
        <w:t>’</w:t>
      </w:r>
      <w:r w:rsidRPr="00310D49">
        <w:rPr>
          <w:lang w:val="fr-FR"/>
        </w:rPr>
        <w:t>affiliation syndicale et l</w:t>
      </w:r>
      <w:r w:rsidR="0035332C">
        <w:rPr>
          <w:lang w:val="fr-FR"/>
        </w:rPr>
        <w:t>’</w:t>
      </w:r>
      <w:r w:rsidRPr="00310D49">
        <w:rPr>
          <w:lang w:val="fr-FR"/>
        </w:rPr>
        <w:t>appartenance ou la non</w:t>
      </w:r>
      <w:r w:rsidR="003E4D03">
        <w:rPr>
          <w:lang w:val="fr-FR"/>
        </w:rPr>
        <w:noBreakHyphen/>
      </w:r>
      <w:r w:rsidRPr="00310D49">
        <w:rPr>
          <w:lang w:val="fr-FR"/>
        </w:rPr>
        <w:t>appartenance, réelle ou supposée, à une race, une nation, une filiation ou une religion déterminée</w:t>
      </w:r>
      <w:r w:rsidR="003E4D03">
        <w:rPr>
          <w:lang w:val="fr-FR"/>
        </w:rPr>
        <w:t> </w:t>
      </w:r>
      <w:r w:rsidRPr="00310D49">
        <w:rPr>
          <w:lang w:val="fr-FR"/>
        </w:rPr>
        <w:t xml:space="preserve">». </w:t>
      </w:r>
    </w:p>
    <w:p w14:paraId="7355B8B4" w14:textId="3AB8E2D7" w:rsidR="00D005FA" w:rsidRPr="00310D49" w:rsidRDefault="00D005FA" w:rsidP="00A10A5D">
      <w:pPr>
        <w:pStyle w:val="SingleTxtG"/>
        <w:rPr>
          <w:lang w:val="fr-FR"/>
        </w:rPr>
      </w:pPr>
      <w:r w:rsidRPr="00310D49">
        <w:rPr>
          <w:lang w:val="fr-FR"/>
        </w:rPr>
        <w:t>50.</w:t>
      </w:r>
      <w:r w:rsidRPr="00310D49">
        <w:rPr>
          <w:lang w:val="fr-FR"/>
        </w:rPr>
        <w:tab/>
        <w:t>Le projet de loi sur la protection de la famille contre la violence définit la discrimination à l</w:t>
      </w:r>
      <w:r w:rsidR="0035332C">
        <w:rPr>
          <w:lang w:val="fr-FR"/>
        </w:rPr>
        <w:t>’</w:t>
      </w:r>
      <w:r w:rsidRPr="00310D49">
        <w:rPr>
          <w:lang w:val="fr-FR"/>
        </w:rPr>
        <w:t>égard des femmes conformément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et la désigne comme une infraction pénale pour laquelle des peines appropriées sont prévues.</w:t>
      </w:r>
    </w:p>
    <w:p w14:paraId="3A9BC023" w14:textId="7EE2865B" w:rsidR="00D005FA" w:rsidRPr="00310D49" w:rsidRDefault="00D005FA" w:rsidP="00A10A5D">
      <w:pPr>
        <w:pStyle w:val="SingleTxtG"/>
        <w:rPr>
          <w:lang w:val="fr-FR"/>
        </w:rPr>
      </w:pPr>
      <w:r w:rsidRPr="00310D49">
        <w:rPr>
          <w:lang w:val="fr-FR"/>
        </w:rPr>
        <w:t>51.</w:t>
      </w:r>
      <w:r w:rsidRPr="00310D49">
        <w:rPr>
          <w:lang w:val="fr-FR"/>
        </w:rPr>
        <w:tab/>
        <w:t>L</w:t>
      </w:r>
      <w:r w:rsidR="0035332C">
        <w:rPr>
          <w:lang w:val="fr-FR"/>
        </w:rPr>
        <w:t>’</w:t>
      </w:r>
      <w:r w:rsidRPr="00310D49">
        <w:rPr>
          <w:lang w:val="fr-FR"/>
        </w:rPr>
        <w:t>adhésion de l</w:t>
      </w:r>
      <w:r w:rsidR="0035332C">
        <w:rPr>
          <w:lang w:val="fr-FR"/>
        </w:rPr>
        <w:t>’</w:t>
      </w:r>
      <w:r w:rsidRPr="00310D49">
        <w:rPr>
          <w:lang w:val="fr-FR"/>
        </w:rPr>
        <w:t>État de Palestine à la Convention internationale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à la Convention sur l</w:t>
      </w:r>
      <w:r w:rsidR="0035332C">
        <w:rPr>
          <w:lang w:val="fr-FR"/>
        </w:rPr>
        <w:t>’</w:t>
      </w:r>
      <w:r w:rsidRPr="00310D49">
        <w:rPr>
          <w:lang w:val="fr-FR"/>
        </w:rPr>
        <w:t>élimination de toutes les formes de discrimination raciale, aux deux pactes internationaux et à d</w:t>
      </w:r>
      <w:r w:rsidR="0035332C">
        <w:rPr>
          <w:lang w:val="fr-FR"/>
        </w:rPr>
        <w:t>’</w:t>
      </w:r>
      <w:r w:rsidRPr="00310D49">
        <w:rPr>
          <w:lang w:val="fr-FR"/>
        </w:rPr>
        <w:t>autres instruments internationaux relatifs aux droits de l</w:t>
      </w:r>
      <w:r w:rsidR="0035332C">
        <w:rPr>
          <w:lang w:val="fr-FR"/>
        </w:rPr>
        <w:t>’</w:t>
      </w:r>
      <w:r w:rsidRPr="00310D49">
        <w:rPr>
          <w:lang w:val="fr-FR"/>
        </w:rPr>
        <w:t>homme exprime la volonté politique de l</w:t>
      </w:r>
      <w:r w:rsidR="0035332C">
        <w:rPr>
          <w:lang w:val="fr-FR"/>
        </w:rPr>
        <w:t>’</w:t>
      </w:r>
      <w:r w:rsidRPr="00310D49">
        <w:rPr>
          <w:lang w:val="fr-FR"/>
        </w:rPr>
        <w:t>État et son engagement à interdire toutes les formes de discrimination et à prendre toutes les mesures nécessaires en ce sens.</w:t>
      </w:r>
    </w:p>
    <w:p w14:paraId="0426C42D" w14:textId="77777777" w:rsidR="00D005FA" w:rsidRPr="00310D49" w:rsidRDefault="00D005FA" w:rsidP="00A10A5D">
      <w:pPr>
        <w:pStyle w:val="H23G"/>
        <w:rPr>
          <w:lang w:val="fr-FR"/>
        </w:rPr>
      </w:pPr>
      <w:r w:rsidRPr="00310D49">
        <w:rPr>
          <w:lang w:val="fr-FR"/>
        </w:rPr>
        <w:lastRenderedPageBreak/>
        <w:tab/>
      </w:r>
      <w:r w:rsidRPr="00310D49">
        <w:rPr>
          <w:lang w:val="fr-FR"/>
        </w:rPr>
        <w:tab/>
        <w:t>Obstacles</w:t>
      </w:r>
    </w:p>
    <w:p w14:paraId="5E40B46F" w14:textId="58D9A10B" w:rsidR="00D005FA" w:rsidRPr="00310D49" w:rsidRDefault="00D005FA" w:rsidP="00A10A5D">
      <w:pPr>
        <w:pStyle w:val="SingleTxtG"/>
        <w:rPr>
          <w:lang w:val="fr-FR"/>
        </w:rPr>
      </w:pPr>
      <w:r w:rsidRPr="00310D49">
        <w:rPr>
          <w:lang w:val="fr-FR"/>
        </w:rPr>
        <w:t>52.</w:t>
      </w:r>
      <w:r w:rsidRPr="00310D49">
        <w:rPr>
          <w:lang w:val="fr-FR"/>
        </w:rPr>
        <w:tab/>
        <w:t xml:space="preserve">Israël, Puissance occupante, fragmente géographiquement le territoire palestinien occupé, tente de détruire le tissu social du peuple palestinien et soumet les Palestiniens à des catégories distinctes de lois racistes. La loi sur la résidence permanente est appliquée aux Palestiniens vivant dans la ville occupée de Jérusalem et les lois militaires sont appliquées aux civils palestiniens en Cisjordanie et dans la bande de Gaza, tandis que les lois civiles israéliennes sont appliquées aux colons israéliens, et Israël impose sa politique qui prive les Palestiniens </w:t>
      </w:r>
      <w:r w:rsidR="002D38B1">
        <w:rPr>
          <w:lang w:val="fr-FR"/>
        </w:rPr>
        <w:t>−</w:t>
      </w:r>
      <w:r w:rsidRPr="00310D49">
        <w:rPr>
          <w:lang w:val="fr-FR"/>
        </w:rPr>
        <w:t xml:space="preserve"> qu</w:t>
      </w:r>
      <w:r w:rsidR="0035332C">
        <w:rPr>
          <w:lang w:val="fr-FR"/>
        </w:rPr>
        <w:t>’</w:t>
      </w:r>
      <w:r w:rsidRPr="00310D49">
        <w:rPr>
          <w:lang w:val="fr-FR"/>
        </w:rPr>
        <w:t>il s</w:t>
      </w:r>
      <w:r w:rsidR="0035332C">
        <w:rPr>
          <w:lang w:val="fr-FR"/>
        </w:rPr>
        <w:t>’</w:t>
      </w:r>
      <w:r w:rsidRPr="00310D49">
        <w:rPr>
          <w:lang w:val="fr-FR"/>
        </w:rPr>
        <w:t xml:space="preserve">agisse de réfugiés ou de personnes déplacées vivant hors du Territoire occupé </w:t>
      </w:r>
      <w:r w:rsidR="00C807B4">
        <w:rPr>
          <w:lang w:val="fr-FR"/>
        </w:rPr>
        <w:t>−</w:t>
      </w:r>
      <w:r w:rsidRPr="00310D49">
        <w:rPr>
          <w:lang w:val="fr-FR"/>
        </w:rPr>
        <w:t xml:space="preserve"> de leur droit au retour.</w:t>
      </w:r>
    </w:p>
    <w:p w14:paraId="7356E81A" w14:textId="2851DF83" w:rsidR="00D005FA" w:rsidRPr="00310D49" w:rsidRDefault="00D005FA" w:rsidP="00A10A5D">
      <w:pPr>
        <w:pStyle w:val="SingleTxtG"/>
        <w:rPr>
          <w:lang w:val="fr-FR"/>
        </w:rPr>
      </w:pPr>
      <w:r w:rsidRPr="00310D49">
        <w:rPr>
          <w:lang w:val="fr-FR"/>
        </w:rPr>
        <w:t>53.</w:t>
      </w:r>
      <w:r w:rsidRPr="00310D49">
        <w:rPr>
          <w:lang w:val="fr-FR"/>
        </w:rPr>
        <w:tab/>
      </w:r>
      <w:r w:rsidR="00B34078" w:rsidRPr="00310D49">
        <w:rPr>
          <w:lang w:val="fr-FR"/>
        </w:rPr>
        <w:t xml:space="preserve">Dans </w:t>
      </w:r>
      <w:r w:rsidR="00B34078" w:rsidRPr="00310D49">
        <w:rPr>
          <w:lang w:val="fr-FR"/>
        </w:rPr>
        <w:t>son rapport présenté à l</w:t>
      </w:r>
      <w:r w:rsidR="0035332C">
        <w:rPr>
          <w:lang w:val="fr-FR"/>
        </w:rPr>
        <w:t>’</w:t>
      </w:r>
      <w:r w:rsidR="00B34078" w:rsidRPr="00310D49">
        <w:rPr>
          <w:lang w:val="fr-FR"/>
        </w:rPr>
        <w:t>Assemblée générale en 2012</w:t>
      </w:r>
      <w:r w:rsidR="00B34078">
        <w:rPr>
          <w:lang w:val="fr-FR"/>
        </w:rPr>
        <w:t>, l</w:t>
      </w:r>
      <w:r w:rsidRPr="00310D49">
        <w:rPr>
          <w:lang w:val="fr-FR"/>
        </w:rPr>
        <w:t>e Rapporteur spécial des Nations Unies sur la situation des droits de l</w:t>
      </w:r>
      <w:r w:rsidR="0035332C">
        <w:rPr>
          <w:lang w:val="fr-FR"/>
        </w:rPr>
        <w:t>’</w:t>
      </w:r>
      <w:r w:rsidRPr="00310D49">
        <w:rPr>
          <w:lang w:val="fr-FR"/>
        </w:rPr>
        <w:t>homme dans les territoires palestiniens occupés, a souligné ce qui suit</w:t>
      </w:r>
      <w:r w:rsidR="00B02693">
        <w:rPr>
          <w:lang w:val="fr-FR"/>
        </w:rPr>
        <w:t> </w:t>
      </w:r>
      <w:r w:rsidRPr="00310D49">
        <w:rPr>
          <w:lang w:val="fr-FR"/>
        </w:rPr>
        <w:t>: «</w:t>
      </w:r>
      <w:r w:rsidR="00B02693">
        <w:rPr>
          <w:lang w:val="fr-FR"/>
        </w:rPr>
        <w:t> </w:t>
      </w:r>
      <w:r w:rsidRPr="00310D49">
        <w:rPr>
          <w:lang w:val="fr-FR"/>
        </w:rPr>
        <w:t>Israël a créé un régime de séparation et de discrimination appliquant deux régimes de droit différents dans les territoires palestiniens</w:t>
      </w:r>
      <w:r w:rsidR="00A53B5A">
        <w:rPr>
          <w:lang w:val="fr-FR"/>
        </w:rPr>
        <w:t> </w:t>
      </w:r>
      <w:r w:rsidRPr="00310D49">
        <w:rPr>
          <w:lang w:val="fr-FR"/>
        </w:rPr>
        <w:t>: l</w:t>
      </w:r>
      <w:r w:rsidR="0035332C">
        <w:rPr>
          <w:lang w:val="fr-FR"/>
        </w:rPr>
        <w:t>’</w:t>
      </w:r>
      <w:r w:rsidRPr="00310D49">
        <w:rPr>
          <w:lang w:val="fr-FR"/>
        </w:rPr>
        <w:t>un, qui s</w:t>
      </w:r>
      <w:r w:rsidR="0035332C">
        <w:rPr>
          <w:lang w:val="fr-FR"/>
        </w:rPr>
        <w:t>’</w:t>
      </w:r>
      <w:r w:rsidRPr="00310D49">
        <w:rPr>
          <w:lang w:val="fr-FR"/>
        </w:rPr>
        <w:t>applique aux colons, considère les colonies comme des extensions de facto d</w:t>
      </w:r>
      <w:r w:rsidR="0035332C">
        <w:rPr>
          <w:lang w:val="fr-FR"/>
        </w:rPr>
        <w:t>’</w:t>
      </w:r>
      <w:r w:rsidRPr="00310D49">
        <w:rPr>
          <w:lang w:val="fr-FR"/>
        </w:rPr>
        <w:t>Israël et accorde aux colons les droits des citoyens et les protections d</w:t>
      </w:r>
      <w:r w:rsidR="0035332C">
        <w:rPr>
          <w:lang w:val="fr-FR"/>
        </w:rPr>
        <w:t>’</w:t>
      </w:r>
      <w:r w:rsidRPr="00310D49">
        <w:rPr>
          <w:lang w:val="fr-FR"/>
        </w:rPr>
        <w:t>un État quasi démocratique. Avec l</w:t>
      </w:r>
      <w:r w:rsidR="0035332C">
        <w:rPr>
          <w:lang w:val="fr-FR"/>
        </w:rPr>
        <w:t>’</w:t>
      </w:r>
      <w:r w:rsidRPr="00310D49">
        <w:rPr>
          <w:lang w:val="fr-FR"/>
        </w:rPr>
        <w:t>autre, les Palestiniens sont soumis à un régime d</w:t>
      </w:r>
      <w:r w:rsidR="0035332C">
        <w:rPr>
          <w:lang w:val="fr-FR"/>
        </w:rPr>
        <w:t>’</w:t>
      </w:r>
      <w:r w:rsidRPr="00310D49">
        <w:rPr>
          <w:lang w:val="fr-FR"/>
        </w:rPr>
        <w:t>administration militaire qui les prive de protection juridique et du droit de participer à l</w:t>
      </w:r>
      <w:r w:rsidR="0035332C">
        <w:rPr>
          <w:lang w:val="fr-FR"/>
        </w:rPr>
        <w:t>’</w:t>
      </w:r>
      <w:r w:rsidRPr="00310D49">
        <w:rPr>
          <w:lang w:val="fr-FR"/>
        </w:rPr>
        <w:t>élaboration des politiques concernant la terre sur laquelle ils vivent. Cette dualité ne fait que renforcer un système dans lequel les droits dépendent de l</w:t>
      </w:r>
      <w:r w:rsidR="0035332C">
        <w:rPr>
          <w:lang w:val="fr-FR"/>
        </w:rPr>
        <w:t>’</w:t>
      </w:r>
      <w:r w:rsidRPr="00310D49">
        <w:rPr>
          <w:lang w:val="fr-FR"/>
        </w:rPr>
        <w:t xml:space="preserve">identité nationale et de la citoyenneté. Un double réseau de routes </w:t>
      </w:r>
      <w:r w:rsidR="00C807B4">
        <w:rPr>
          <w:lang w:val="fr-FR"/>
        </w:rPr>
        <w:t>− </w:t>
      </w:r>
      <w:r w:rsidRPr="00310D49">
        <w:rPr>
          <w:lang w:val="fr-FR"/>
        </w:rPr>
        <w:t>l</w:t>
      </w:r>
      <w:r w:rsidR="0035332C">
        <w:rPr>
          <w:lang w:val="fr-FR"/>
        </w:rPr>
        <w:t>’</w:t>
      </w:r>
      <w:r w:rsidRPr="00310D49">
        <w:rPr>
          <w:lang w:val="fr-FR"/>
        </w:rPr>
        <w:t>un pour les colons, l</w:t>
      </w:r>
      <w:r w:rsidR="0035332C">
        <w:rPr>
          <w:lang w:val="fr-FR"/>
        </w:rPr>
        <w:t>’</w:t>
      </w:r>
      <w:r w:rsidRPr="00310D49">
        <w:rPr>
          <w:lang w:val="fr-FR"/>
        </w:rPr>
        <w:t xml:space="preserve">autre pour les Palestiniens </w:t>
      </w:r>
      <w:r w:rsidR="00C807B4">
        <w:rPr>
          <w:lang w:val="fr-FR"/>
        </w:rPr>
        <w:t>−</w:t>
      </w:r>
      <w:r w:rsidRPr="00310D49">
        <w:rPr>
          <w:lang w:val="fr-FR"/>
        </w:rPr>
        <w:t xml:space="preserve"> vient encore accentuer la séparation discriminatoire entre les deux communautés</w:t>
      </w:r>
      <w:r w:rsidR="00C807B4">
        <w:rPr>
          <w:lang w:val="fr-FR"/>
        </w:rPr>
        <w:t>.</w:t>
      </w:r>
      <w:r w:rsidR="00B02693">
        <w:rPr>
          <w:lang w:val="fr-FR"/>
        </w:rPr>
        <w:t> </w:t>
      </w:r>
      <w:r w:rsidRPr="00310D49">
        <w:rPr>
          <w:lang w:val="fr-FR"/>
        </w:rPr>
        <w:t>».</w:t>
      </w:r>
    </w:p>
    <w:p w14:paraId="68132F38" w14:textId="4510B2C1" w:rsidR="00D005FA" w:rsidRPr="00310D49" w:rsidRDefault="00D005FA" w:rsidP="00A10A5D">
      <w:pPr>
        <w:pStyle w:val="SingleTxtG"/>
        <w:rPr>
          <w:spacing w:val="-4"/>
          <w:lang w:val="fr-FR"/>
        </w:rPr>
      </w:pPr>
      <w:r w:rsidRPr="00310D49">
        <w:rPr>
          <w:lang w:val="fr-FR"/>
        </w:rPr>
        <w:t>54.</w:t>
      </w:r>
      <w:r w:rsidRPr="00310D49">
        <w:rPr>
          <w:lang w:val="fr-FR"/>
        </w:rPr>
        <w:tab/>
        <w:t>Le Comité pour l</w:t>
      </w:r>
      <w:r w:rsidR="0035332C">
        <w:rPr>
          <w:lang w:val="fr-FR"/>
        </w:rPr>
        <w:t>’</w:t>
      </w:r>
      <w:r w:rsidRPr="00310D49">
        <w:rPr>
          <w:lang w:val="fr-FR"/>
        </w:rPr>
        <w:t>élimination de toutes les formes de discrimination raciale a reconnu que l</w:t>
      </w:r>
      <w:r w:rsidR="0035332C">
        <w:rPr>
          <w:lang w:val="fr-FR"/>
        </w:rPr>
        <w:t>’</w:t>
      </w:r>
      <w:r w:rsidRPr="00310D49">
        <w:rPr>
          <w:lang w:val="fr-FR"/>
        </w:rPr>
        <w:t>examen de la plainte déposée par l</w:t>
      </w:r>
      <w:r w:rsidR="0035332C">
        <w:rPr>
          <w:lang w:val="fr-FR"/>
        </w:rPr>
        <w:t>’</w:t>
      </w:r>
      <w:r w:rsidRPr="00310D49">
        <w:rPr>
          <w:lang w:val="fr-FR"/>
        </w:rPr>
        <w:t>État de Palestine contre Israël, Puissance occupante, et ses pratiques racistes contre le peuple palestinien relève de sa compétence.</w:t>
      </w:r>
    </w:p>
    <w:p w14:paraId="43076843" w14:textId="77777777" w:rsidR="00D005FA" w:rsidRPr="00310D49" w:rsidRDefault="00D005FA" w:rsidP="00A10A5D">
      <w:pPr>
        <w:pStyle w:val="H23G"/>
        <w:rPr>
          <w:lang w:val="fr-FR"/>
        </w:rPr>
      </w:pPr>
      <w:r w:rsidRPr="00310D49">
        <w:rPr>
          <w:lang w:val="fr-FR"/>
        </w:rPr>
        <w:tab/>
      </w:r>
      <w:r w:rsidRPr="00310D49">
        <w:rPr>
          <w:lang w:val="fr-FR"/>
        </w:rPr>
        <w:tab/>
        <w:t>Étrangers</w:t>
      </w:r>
    </w:p>
    <w:p w14:paraId="0E37A1EB" w14:textId="4F459700" w:rsidR="00D005FA" w:rsidRPr="00310D49" w:rsidRDefault="00D005FA" w:rsidP="00A10A5D">
      <w:pPr>
        <w:pStyle w:val="SingleTxtG"/>
        <w:rPr>
          <w:lang w:val="fr-FR"/>
        </w:rPr>
      </w:pPr>
      <w:r w:rsidRPr="00310D49">
        <w:rPr>
          <w:lang w:val="fr-FR"/>
        </w:rPr>
        <w:t>55.</w:t>
      </w:r>
      <w:r w:rsidRPr="00310D49">
        <w:rPr>
          <w:lang w:val="fr-FR"/>
        </w:rPr>
        <w:tab/>
        <w:t>Toutes les lois en vigueur relatives aux droits et libertés énoncés dans le Pacte s</w:t>
      </w:r>
      <w:r w:rsidR="0035332C">
        <w:rPr>
          <w:lang w:val="fr-FR"/>
        </w:rPr>
        <w:t>’</w:t>
      </w:r>
      <w:r w:rsidRPr="00310D49">
        <w:rPr>
          <w:lang w:val="fr-FR"/>
        </w:rPr>
        <w:t>appliquent sans distinction aussi bien aux ressortissants palestiniens qu</w:t>
      </w:r>
      <w:r w:rsidR="0035332C">
        <w:rPr>
          <w:lang w:val="fr-FR"/>
        </w:rPr>
        <w:t>’</w:t>
      </w:r>
      <w:r w:rsidRPr="00310D49">
        <w:rPr>
          <w:lang w:val="fr-FR"/>
        </w:rPr>
        <w:t>aux étrangers, sous réserve des limites et garanties prévues par la loi. L</w:t>
      </w:r>
      <w:r w:rsidR="0035332C">
        <w:rPr>
          <w:lang w:val="fr-FR"/>
        </w:rPr>
        <w:t>’</w:t>
      </w:r>
      <w:r w:rsidRPr="00310D49">
        <w:rPr>
          <w:lang w:val="fr-FR"/>
        </w:rPr>
        <w:t>État respecte le droit de toute personne d</w:t>
      </w:r>
      <w:r w:rsidR="0035332C">
        <w:rPr>
          <w:lang w:val="fr-FR"/>
        </w:rPr>
        <w:t>’</w:t>
      </w:r>
      <w:r w:rsidRPr="00310D49">
        <w:rPr>
          <w:lang w:val="fr-FR"/>
        </w:rPr>
        <w:t>ester en justice et d</w:t>
      </w:r>
      <w:r w:rsidR="0035332C">
        <w:rPr>
          <w:lang w:val="fr-FR"/>
        </w:rPr>
        <w:t>’</w:t>
      </w:r>
      <w:r w:rsidRPr="00310D49">
        <w:rPr>
          <w:lang w:val="fr-FR"/>
        </w:rPr>
        <w:t>accéder aux tribunaux, conformément à la Déclaration d</w:t>
      </w:r>
      <w:r w:rsidR="0035332C">
        <w:rPr>
          <w:lang w:val="fr-FR"/>
        </w:rPr>
        <w:t>’</w:t>
      </w:r>
      <w:r w:rsidRPr="00310D49">
        <w:rPr>
          <w:lang w:val="fr-FR"/>
        </w:rPr>
        <w:t>indépendance et à la Loi fondamentale, telle que modifiée, qui consacre les principes de l</w:t>
      </w:r>
      <w:r w:rsidR="0035332C">
        <w:rPr>
          <w:lang w:val="fr-FR"/>
        </w:rPr>
        <w:t>’</w:t>
      </w:r>
      <w:r w:rsidRPr="00310D49">
        <w:rPr>
          <w:lang w:val="fr-FR"/>
        </w:rPr>
        <w:t xml:space="preserve">égalité et de la primauté du droit. </w:t>
      </w:r>
    </w:p>
    <w:p w14:paraId="074B641B" w14:textId="30EFE79D" w:rsidR="00D005FA" w:rsidRPr="00310D49" w:rsidRDefault="00D005FA" w:rsidP="00A10A5D">
      <w:pPr>
        <w:pStyle w:val="H1G"/>
        <w:rPr>
          <w:lang w:val="fr-FR"/>
        </w:rPr>
      </w:pPr>
      <w:r w:rsidRPr="00310D49">
        <w:rPr>
          <w:lang w:val="fr-FR"/>
        </w:rPr>
        <w:tab/>
      </w:r>
      <w:r w:rsidRPr="00310D49">
        <w:rPr>
          <w:lang w:val="fr-FR"/>
        </w:rPr>
        <w:tab/>
        <w:t>Article 3</w:t>
      </w:r>
      <w:bookmarkStart w:id="2" w:name="_Toc80715492"/>
      <w:bookmarkEnd w:id="2"/>
    </w:p>
    <w:p w14:paraId="724C07F8" w14:textId="5ED2555E" w:rsidR="00D005FA" w:rsidRPr="00310D49" w:rsidRDefault="00D005FA" w:rsidP="00A10A5D">
      <w:pPr>
        <w:pStyle w:val="SingleTxtG"/>
        <w:rPr>
          <w:i/>
          <w:iCs/>
          <w:lang w:val="fr-FR"/>
        </w:rPr>
      </w:pPr>
      <w:r w:rsidRPr="00310D49">
        <w:rPr>
          <w:lang w:val="fr-FR"/>
        </w:rPr>
        <w:t>56.</w:t>
      </w:r>
      <w:r w:rsidRPr="00310D49">
        <w:rPr>
          <w:lang w:val="fr-FR"/>
        </w:rPr>
        <w:tab/>
        <w:t>Outre les mesures législatives et les mesures de politique générale susmentionnées visant à prévenir la discrimination, l</w:t>
      </w:r>
      <w:r w:rsidR="0035332C">
        <w:rPr>
          <w:lang w:val="fr-FR"/>
        </w:rPr>
        <w:t>’</w:t>
      </w:r>
      <w:r w:rsidRPr="00310D49">
        <w:rPr>
          <w:lang w:val="fr-FR"/>
        </w:rPr>
        <w:t>État de Palestine a adopté des mesures législatives et de</w:t>
      </w:r>
      <w:r>
        <w:rPr>
          <w:lang w:val="fr-FR"/>
        </w:rPr>
        <w:t>s</w:t>
      </w:r>
      <w:r w:rsidRPr="00310D49">
        <w:rPr>
          <w:lang w:val="fr-FR"/>
        </w:rPr>
        <w:t xml:space="preserve"> politique générales spécifiques pour garantir l</w:t>
      </w:r>
      <w:r w:rsidR="0035332C">
        <w:rPr>
          <w:lang w:val="fr-FR"/>
        </w:rPr>
        <w:t>’</w:t>
      </w:r>
      <w:r w:rsidRPr="00310D49">
        <w:rPr>
          <w:lang w:val="fr-FR"/>
        </w:rPr>
        <w:t>égalité entre les hommes et les femmes dans l</w:t>
      </w:r>
      <w:r w:rsidR="0035332C">
        <w:rPr>
          <w:lang w:val="fr-FR"/>
        </w:rPr>
        <w:t>’</w:t>
      </w:r>
      <w:r w:rsidRPr="00310D49">
        <w:rPr>
          <w:lang w:val="fr-FR"/>
        </w:rPr>
        <w:t>exercice des droits énoncés dans le Pacte.</w:t>
      </w:r>
    </w:p>
    <w:p w14:paraId="69DA9CB8" w14:textId="77777777" w:rsidR="00D005FA" w:rsidRPr="00310D49" w:rsidRDefault="00D005FA" w:rsidP="00A10A5D">
      <w:pPr>
        <w:pStyle w:val="H23G"/>
        <w:rPr>
          <w:lang w:val="fr-FR"/>
        </w:rPr>
      </w:pPr>
      <w:r w:rsidRPr="00310D49">
        <w:rPr>
          <w:lang w:val="fr-FR"/>
        </w:rPr>
        <w:tab/>
      </w:r>
      <w:r w:rsidRPr="00310D49">
        <w:rPr>
          <w:lang w:val="fr-FR"/>
        </w:rPr>
        <w:tab/>
        <w:t>Mesures législatives</w:t>
      </w:r>
    </w:p>
    <w:p w14:paraId="02BB20C7" w14:textId="3CBFCE1E" w:rsidR="00D005FA" w:rsidRPr="00310D49" w:rsidRDefault="00D005FA" w:rsidP="00A10A5D">
      <w:pPr>
        <w:pStyle w:val="SingleTxtG"/>
        <w:rPr>
          <w:i/>
          <w:iCs/>
          <w:lang w:val="fr-FR"/>
        </w:rPr>
      </w:pPr>
      <w:r w:rsidRPr="00310D49">
        <w:rPr>
          <w:lang w:val="fr-FR"/>
        </w:rPr>
        <w:t>57.</w:t>
      </w:r>
      <w:r w:rsidRPr="00310D49">
        <w:rPr>
          <w:lang w:val="fr-FR"/>
        </w:rPr>
        <w:tab/>
        <w:t>Le Déclaration d</w:t>
      </w:r>
      <w:r w:rsidR="0035332C">
        <w:rPr>
          <w:lang w:val="fr-FR"/>
        </w:rPr>
        <w:t>’</w:t>
      </w:r>
      <w:r w:rsidRPr="00310D49">
        <w:rPr>
          <w:lang w:val="fr-FR"/>
        </w:rPr>
        <w:t>indépendance prévoit l</w:t>
      </w:r>
      <w:r w:rsidR="0035332C">
        <w:rPr>
          <w:lang w:val="fr-FR"/>
        </w:rPr>
        <w:t>’</w:t>
      </w:r>
      <w:r w:rsidRPr="00310D49">
        <w:rPr>
          <w:lang w:val="fr-FR"/>
        </w:rPr>
        <w:t>égalité entre la femme et l</w:t>
      </w:r>
      <w:r w:rsidR="0035332C">
        <w:rPr>
          <w:lang w:val="fr-FR"/>
        </w:rPr>
        <w:t>’</w:t>
      </w:r>
      <w:r w:rsidRPr="00310D49">
        <w:rPr>
          <w:lang w:val="fr-FR"/>
        </w:rPr>
        <w:t>homme dans l</w:t>
      </w:r>
      <w:r w:rsidR="0035332C">
        <w:rPr>
          <w:lang w:val="fr-FR"/>
        </w:rPr>
        <w:t>’</w:t>
      </w:r>
      <w:r w:rsidRPr="00310D49">
        <w:rPr>
          <w:lang w:val="fr-FR"/>
        </w:rPr>
        <w:t>exercice de tous les droits et libertés publiques. En outre, la Loi fondamentale, telle que modifiée, définit de nombreuses garanties juridiques générales qui assurent aux femmes l</w:t>
      </w:r>
      <w:r w:rsidR="0035332C">
        <w:rPr>
          <w:lang w:val="fr-FR"/>
        </w:rPr>
        <w:t>’</w:t>
      </w:r>
      <w:r w:rsidRPr="00310D49">
        <w:rPr>
          <w:lang w:val="fr-FR"/>
        </w:rPr>
        <w:t>exercice de leur droit à l</w:t>
      </w:r>
      <w:r w:rsidR="0035332C">
        <w:rPr>
          <w:lang w:val="fr-FR"/>
        </w:rPr>
        <w:t>’</w:t>
      </w:r>
      <w:r w:rsidRPr="00310D49">
        <w:rPr>
          <w:lang w:val="fr-FR"/>
        </w:rPr>
        <w:t>égalité, à la non-discrimination et à l</w:t>
      </w:r>
      <w:r w:rsidR="0035332C">
        <w:rPr>
          <w:lang w:val="fr-FR"/>
        </w:rPr>
        <w:t>’</w:t>
      </w:r>
      <w:r w:rsidRPr="00310D49">
        <w:rPr>
          <w:lang w:val="fr-FR"/>
        </w:rPr>
        <w:t>égalité des chances.</w:t>
      </w:r>
    </w:p>
    <w:p w14:paraId="5FE53547" w14:textId="5CFA6DB0" w:rsidR="00D005FA" w:rsidRPr="00310D49" w:rsidRDefault="00D005FA" w:rsidP="00A10A5D">
      <w:pPr>
        <w:pStyle w:val="SingleTxtG"/>
        <w:rPr>
          <w:lang w:val="fr-FR"/>
        </w:rPr>
      </w:pPr>
      <w:r w:rsidRPr="00310D49">
        <w:rPr>
          <w:lang w:val="fr-FR"/>
        </w:rPr>
        <w:t>58.</w:t>
      </w:r>
      <w:r w:rsidRPr="00310D49">
        <w:rPr>
          <w:lang w:val="fr-FR"/>
        </w:rPr>
        <w:tab/>
        <w:t>Croyant en l</w:t>
      </w:r>
      <w:r w:rsidR="0035332C">
        <w:rPr>
          <w:lang w:val="fr-FR"/>
        </w:rPr>
        <w:t>’</w:t>
      </w:r>
      <w:r w:rsidRPr="00310D49">
        <w:rPr>
          <w:lang w:val="fr-FR"/>
        </w:rPr>
        <w:t>importance du principe de l</w:t>
      </w:r>
      <w:r w:rsidR="0035332C">
        <w:rPr>
          <w:lang w:val="fr-FR"/>
        </w:rPr>
        <w:t>’</w:t>
      </w:r>
      <w:r w:rsidRPr="00310D49">
        <w:rPr>
          <w:lang w:val="fr-FR"/>
        </w:rPr>
        <w:t>égalité entre femmes et hommes et ayant la volonté politique</w:t>
      </w:r>
      <w:r w:rsidRPr="00C807B4">
        <w:rPr>
          <w:lang w:val="fr-FR"/>
        </w:rPr>
        <w:t xml:space="preserve"> </w:t>
      </w:r>
      <w:r w:rsidRPr="00310D49">
        <w:rPr>
          <w:lang w:val="fr-FR"/>
        </w:rPr>
        <w:t>de l</w:t>
      </w:r>
      <w:r w:rsidR="0035332C">
        <w:rPr>
          <w:lang w:val="fr-FR"/>
        </w:rPr>
        <w:t>’</w:t>
      </w:r>
      <w:r w:rsidRPr="00310D49">
        <w:rPr>
          <w:lang w:val="fr-FR"/>
        </w:rPr>
        <w:t>appliquer effectivement, l</w:t>
      </w:r>
      <w:r w:rsidR="0035332C">
        <w:rPr>
          <w:lang w:val="fr-FR"/>
        </w:rPr>
        <w:t>’</w:t>
      </w:r>
      <w:r w:rsidRPr="00310D49">
        <w:rPr>
          <w:lang w:val="fr-FR"/>
        </w:rPr>
        <w:t>État de Palestine a engagé une série de réformes législatives et élaboré des projets de loi, y compris le projet de loi sur la protection de la famille contre la violence qui définit la discrimination à l</w:t>
      </w:r>
      <w:r w:rsidR="0035332C">
        <w:rPr>
          <w:lang w:val="fr-FR"/>
        </w:rPr>
        <w:t>’</w:t>
      </w:r>
      <w:r w:rsidRPr="00310D49">
        <w:rPr>
          <w:lang w:val="fr-FR"/>
        </w:rPr>
        <w:t>égard des femmes conformément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pour mettre fin aux comportements discriminatoires à l</w:t>
      </w:r>
      <w:r w:rsidR="0035332C">
        <w:rPr>
          <w:lang w:val="fr-FR"/>
        </w:rPr>
        <w:t>’</w:t>
      </w:r>
      <w:r w:rsidRPr="00310D49">
        <w:rPr>
          <w:lang w:val="fr-FR"/>
        </w:rPr>
        <w:t>égard des femmes. Outre le Comité d</w:t>
      </w:r>
      <w:r w:rsidR="0035332C">
        <w:rPr>
          <w:lang w:val="fr-FR"/>
        </w:rPr>
        <w:t>’</w:t>
      </w:r>
      <w:r w:rsidRPr="00310D49">
        <w:rPr>
          <w:lang w:val="fr-FR"/>
        </w:rPr>
        <w:t>harmonisation de la législation, deux commissions ont été constituées</w:t>
      </w:r>
      <w:r w:rsidR="00B02693">
        <w:rPr>
          <w:lang w:val="fr-FR"/>
        </w:rPr>
        <w:t> </w:t>
      </w:r>
      <w:r w:rsidRPr="00310D49">
        <w:rPr>
          <w:lang w:val="fr-FR"/>
        </w:rPr>
        <w:t>: la Commission pour une législation équitable en matière d</w:t>
      </w:r>
      <w:r w:rsidR="0035332C">
        <w:rPr>
          <w:lang w:val="fr-FR"/>
        </w:rPr>
        <w:t>’</w:t>
      </w:r>
      <w:r w:rsidRPr="00310D49">
        <w:rPr>
          <w:lang w:val="fr-FR"/>
        </w:rPr>
        <w:t>égalité des sexes et la Commission technique pour l</w:t>
      </w:r>
      <w:r w:rsidR="0035332C">
        <w:rPr>
          <w:lang w:val="fr-FR"/>
        </w:rPr>
        <w:t>’</w:t>
      </w:r>
      <w:r w:rsidRPr="00310D49">
        <w:rPr>
          <w:lang w:val="fr-FR"/>
        </w:rPr>
        <w:t>examen et la mise à jour de la législation régissant le statut personnel et l</w:t>
      </w:r>
      <w:r w:rsidR="0035332C">
        <w:rPr>
          <w:lang w:val="fr-FR"/>
        </w:rPr>
        <w:t>’</w:t>
      </w:r>
      <w:r w:rsidRPr="00310D49">
        <w:rPr>
          <w:lang w:val="fr-FR"/>
        </w:rPr>
        <w:t>état civil. Ces commissions examinent les textes législatifs sous l</w:t>
      </w:r>
      <w:r w:rsidR="0035332C">
        <w:rPr>
          <w:lang w:val="fr-FR"/>
        </w:rPr>
        <w:t>’</w:t>
      </w:r>
      <w:r w:rsidRPr="00310D49">
        <w:rPr>
          <w:lang w:val="fr-FR"/>
        </w:rPr>
        <w:t xml:space="preserve">angle de la </w:t>
      </w:r>
      <w:r w:rsidRPr="00310D49">
        <w:rPr>
          <w:lang w:val="fr-FR"/>
        </w:rPr>
        <w:lastRenderedPageBreak/>
        <w:t>problématique hommes-femmes et élaborent d</w:t>
      </w:r>
      <w:r w:rsidR="0035332C">
        <w:rPr>
          <w:lang w:val="fr-FR"/>
        </w:rPr>
        <w:t>’</w:t>
      </w:r>
      <w:r w:rsidRPr="00310D49">
        <w:rPr>
          <w:lang w:val="fr-FR"/>
        </w:rPr>
        <w:t>autres textes en tenant compte de l</w:t>
      </w:r>
      <w:r w:rsidR="0035332C">
        <w:rPr>
          <w:lang w:val="fr-FR"/>
        </w:rPr>
        <w:t>’</w:t>
      </w:r>
      <w:r w:rsidRPr="00310D49">
        <w:rPr>
          <w:lang w:val="fr-FR"/>
        </w:rPr>
        <w:t>égalité des sexes et de manière à les mettre en conformité avec les normes du droit international.</w:t>
      </w:r>
    </w:p>
    <w:p w14:paraId="7739CD78" w14:textId="77777777" w:rsidR="00D005FA" w:rsidRPr="00310D49" w:rsidRDefault="00D005FA" w:rsidP="00A10A5D">
      <w:pPr>
        <w:pStyle w:val="H23G"/>
        <w:rPr>
          <w:i/>
          <w:iCs/>
          <w:lang w:val="fr-FR"/>
        </w:rPr>
      </w:pPr>
      <w:r w:rsidRPr="00310D49">
        <w:rPr>
          <w:lang w:val="fr-FR"/>
        </w:rPr>
        <w:tab/>
      </w:r>
      <w:r w:rsidRPr="00310D49">
        <w:rPr>
          <w:lang w:val="fr-FR"/>
        </w:rPr>
        <w:tab/>
        <w:t>Mesures de politique générale</w:t>
      </w:r>
    </w:p>
    <w:p w14:paraId="7F8C5BEB" w14:textId="50E56280" w:rsidR="00D005FA" w:rsidRPr="00310D49" w:rsidRDefault="00D005FA" w:rsidP="00A10A5D">
      <w:pPr>
        <w:pStyle w:val="SingleTxtG"/>
        <w:rPr>
          <w:lang w:val="fr-FR"/>
        </w:rPr>
      </w:pPr>
      <w:r w:rsidRPr="00310D49">
        <w:rPr>
          <w:lang w:val="fr-FR"/>
        </w:rPr>
        <w:t>59.</w:t>
      </w:r>
      <w:r w:rsidRPr="00310D49">
        <w:rPr>
          <w:lang w:val="fr-FR"/>
        </w:rPr>
        <w:tab/>
        <w:t>Le Ministère de la condition de la femme a été créé en 2003 pour améliorer la condition de la femme de manière globale et renforcer l</w:t>
      </w:r>
      <w:r w:rsidR="0035332C">
        <w:rPr>
          <w:lang w:val="fr-FR"/>
        </w:rPr>
        <w:t>’</w:t>
      </w:r>
      <w:r w:rsidRPr="00310D49">
        <w:rPr>
          <w:lang w:val="fr-FR"/>
        </w:rPr>
        <w:t>engagement du Gouvernement dans les politiques, stratégies et mesures visant à éliminer la discrimination et à les mettre effectivement en œuvre. Depuis sa création, le Ministère applique le Programme d</w:t>
      </w:r>
      <w:r w:rsidR="0035332C">
        <w:rPr>
          <w:lang w:val="fr-FR"/>
        </w:rPr>
        <w:t>’</w:t>
      </w:r>
      <w:r w:rsidRPr="00310D49">
        <w:rPr>
          <w:lang w:val="fr-FR"/>
        </w:rPr>
        <w:t>action de</w:t>
      </w:r>
      <w:r w:rsidR="00C807B4">
        <w:rPr>
          <w:lang w:val="fr-FR"/>
        </w:rPr>
        <w:t> </w:t>
      </w:r>
      <w:r w:rsidRPr="00310D49">
        <w:rPr>
          <w:lang w:val="fr-FR"/>
        </w:rPr>
        <w:t>Beijing.</w:t>
      </w:r>
    </w:p>
    <w:p w14:paraId="46AF32CB" w14:textId="727C8F19" w:rsidR="00D005FA" w:rsidRPr="00310D49" w:rsidRDefault="00D005FA" w:rsidP="00A10A5D">
      <w:pPr>
        <w:pStyle w:val="SingleTxtG"/>
        <w:rPr>
          <w:lang w:val="fr-FR"/>
        </w:rPr>
      </w:pPr>
      <w:r w:rsidRPr="00310D49">
        <w:rPr>
          <w:lang w:val="fr-FR"/>
        </w:rPr>
        <w:t>60.</w:t>
      </w:r>
      <w:r w:rsidRPr="00310D49">
        <w:rPr>
          <w:lang w:val="fr-FR"/>
        </w:rPr>
        <w:tab/>
        <w:t>Les unités d</w:t>
      </w:r>
      <w:r w:rsidR="0035332C">
        <w:rPr>
          <w:lang w:val="fr-FR"/>
        </w:rPr>
        <w:t>’</w:t>
      </w:r>
      <w:r w:rsidRPr="00310D49">
        <w:rPr>
          <w:lang w:val="fr-FR"/>
        </w:rPr>
        <w:t>égalité des sexes relevant des organes publics ont été restructurées afin d</w:t>
      </w:r>
      <w:r w:rsidR="0035332C">
        <w:rPr>
          <w:lang w:val="fr-FR"/>
        </w:rPr>
        <w:t>’</w:t>
      </w:r>
      <w:r w:rsidRPr="00310D49">
        <w:rPr>
          <w:lang w:val="fr-FR"/>
        </w:rPr>
        <w:t>assurer l</w:t>
      </w:r>
      <w:r w:rsidR="0035332C">
        <w:rPr>
          <w:lang w:val="fr-FR"/>
        </w:rPr>
        <w:t>’</w:t>
      </w:r>
      <w:r w:rsidRPr="00310D49">
        <w:rPr>
          <w:lang w:val="fr-FR"/>
        </w:rPr>
        <w:t>institutionnalisation et l</w:t>
      </w:r>
      <w:r w:rsidR="0035332C">
        <w:rPr>
          <w:lang w:val="fr-FR"/>
        </w:rPr>
        <w:t>’</w:t>
      </w:r>
      <w:r w:rsidRPr="00310D49">
        <w:rPr>
          <w:lang w:val="fr-FR"/>
        </w:rPr>
        <w:t>intégration des questions d</w:t>
      </w:r>
      <w:r w:rsidR="0035332C">
        <w:rPr>
          <w:lang w:val="fr-FR"/>
        </w:rPr>
        <w:t>’</w:t>
      </w:r>
      <w:r w:rsidRPr="00310D49">
        <w:rPr>
          <w:lang w:val="fr-FR"/>
        </w:rPr>
        <w:t>égalité des sexes dans différents secteurs, ainsi que le suivi des programmes et des politiques gouvernementales dans ce domaine. Certaines unités portent des noms propres à la nature du travail qu</w:t>
      </w:r>
      <w:r w:rsidR="0035332C">
        <w:rPr>
          <w:lang w:val="fr-FR"/>
        </w:rPr>
        <w:t>’</w:t>
      </w:r>
      <w:r w:rsidRPr="00310D49">
        <w:rPr>
          <w:lang w:val="fr-FR"/>
        </w:rPr>
        <w:t>elles exécutent (amélioration de la santé de la femme au Ministère de la santé, administration générale de l</w:t>
      </w:r>
      <w:r w:rsidR="0035332C">
        <w:rPr>
          <w:lang w:val="fr-FR"/>
        </w:rPr>
        <w:t>’</w:t>
      </w:r>
      <w:r w:rsidRPr="00310D49">
        <w:rPr>
          <w:lang w:val="fr-FR"/>
        </w:rPr>
        <w:t>action féminine au Ministère des Awqaf et statistiques ventilées par sexe au sein du service de statistique). L</w:t>
      </w:r>
      <w:r w:rsidR="0035332C">
        <w:rPr>
          <w:lang w:val="fr-FR"/>
        </w:rPr>
        <w:t>’</w:t>
      </w:r>
      <w:r w:rsidRPr="00310D49">
        <w:rPr>
          <w:lang w:val="fr-FR"/>
        </w:rPr>
        <w:t>Unité de l</w:t>
      </w:r>
      <w:r w:rsidR="0035332C">
        <w:rPr>
          <w:lang w:val="fr-FR"/>
        </w:rPr>
        <w:t>’</w:t>
      </w:r>
      <w:r w:rsidRPr="00310D49">
        <w:rPr>
          <w:lang w:val="fr-FR"/>
        </w:rPr>
        <w:t>égalité des sexes au Ministère de l</w:t>
      </w:r>
      <w:r w:rsidR="0035332C">
        <w:rPr>
          <w:lang w:val="fr-FR"/>
        </w:rPr>
        <w:t>’</w:t>
      </w:r>
      <w:r w:rsidRPr="00310D49">
        <w:rPr>
          <w:lang w:val="fr-FR"/>
        </w:rPr>
        <w:t>information s</w:t>
      </w:r>
      <w:r w:rsidR="0035332C">
        <w:rPr>
          <w:lang w:val="fr-FR"/>
        </w:rPr>
        <w:t>’</w:t>
      </w:r>
      <w:r w:rsidRPr="00310D49">
        <w:rPr>
          <w:lang w:val="fr-FR"/>
        </w:rPr>
        <w:t>emploie à institutionnaliser les questions relatives aux femmes et à assurer le suivi des politiques et des plans médiatiques et des politiques de programmation, de diffusion et de production dans une perspective soucieuse de l</w:t>
      </w:r>
      <w:r w:rsidR="0035332C">
        <w:rPr>
          <w:lang w:val="fr-FR"/>
        </w:rPr>
        <w:t>’</w:t>
      </w:r>
      <w:r w:rsidRPr="00310D49">
        <w:rPr>
          <w:lang w:val="fr-FR"/>
        </w:rPr>
        <w:t>égalité entre hommes et femmes.</w:t>
      </w:r>
    </w:p>
    <w:p w14:paraId="4A3C694A" w14:textId="45A5FDDA" w:rsidR="00D005FA" w:rsidRPr="00310D49" w:rsidRDefault="00D005FA" w:rsidP="00A10A5D">
      <w:pPr>
        <w:pStyle w:val="SingleTxtG"/>
        <w:rPr>
          <w:lang w:val="fr-FR"/>
        </w:rPr>
      </w:pPr>
      <w:r w:rsidRPr="00310D49">
        <w:rPr>
          <w:lang w:val="fr-FR"/>
        </w:rPr>
        <w:t>61.</w:t>
      </w:r>
      <w:r w:rsidRPr="00310D49">
        <w:rPr>
          <w:lang w:val="fr-FR"/>
        </w:rPr>
        <w:tab/>
        <w:t>Conformément à la décision du Conseil des ministres de 2019, le Gender Policy Institute (Institut des politiques de genre) a été créé pour produire les études et les recherches nécessaires sur lesquelles on puisse s</w:t>
      </w:r>
      <w:r w:rsidR="0035332C">
        <w:rPr>
          <w:lang w:val="fr-FR"/>
        </w:rPr>
        <w:t>’</w:t>
      </w:r>
      <w:r w:rsidRPr="00310D49">
        <w:rPr>
          <w:lang w:val="fr-FR"/>
        </w:rPr>
        <w:t>appuyer pour formuler des politiques permettant d</w:t>
      </w:r>
      <w:r w:rsidR="0035332C">
        <w:rPr>
          <w:lang w:val="fr-FR"/>
        </w:rPr>
        <w:t>’</w:t>
      </w:r>
      <w:r w:rsidRPr="00310D49">
        <w:rPr>
          <w:lang w:val="fr-FR"/>
        </w:rPr>
        <w:t>atteindre l</w:t>
      </w:r>
      <w:r w:rsidR="0035332C">
        <w:rPr>
          <w:lang w:val="fr-FR"/>
        </w:rPr>
        <w:t>’</w:t>
      </w:r>
      <w:r w:rsidRPr="00310D49">
        <w:rPr>
          <w:lang w:val="fr-FR"/>
        </w:rPr>
        <w:t>égalité des sexes.</w:t>
      </w:r>
    </w:p>
    <w:p w14:paraId="0AA02A08" w14:textId="3AF09B40" w:rsidR="00D005FA" w:rsidRPr="00310D49" w:rsidRDefault="00D005FA" w:rsidP="00A10A5D">
      <w:pPr>
        <w:pStyle w:val="SingleTxtG"/>
        <w:rPr>
          <w:lang w:val="fr-FR"/>
        </w:rPr>
      </w:pPr>
      <w:r w:rsidRPr="00310D49">
        <w:rPr>
          <w:lang w:val="fr-FR"/>
        </w:rPr>
        <w:t>62.</w:t>
      </w:r>
      <w:r w:rsidRPr="00310D49">
        <w:rPr>
          <w:lang w:val="fr-FR"/>
        </w:rPr>
        <w:tab/>
        <w:t>En mars 2018, le Conseil des ministres a pris des décrets accordant aux femmes le droit de faire établir des passeports à leurs enfants, de leur ouvrir des comptes bancaires et de les chercher à l</w:t>
      </w:r>
      <w:r w:rsidR="0035332C">
        <w:rPr>
          <w:lang w:val="fr-FR"/>
        </w:rPr>
        <w:t>’</w:t>
      </w:r>
      <w:r w:rsidRPr="00310D49">
        <w:rPr>
          <w:lang w:val="fr-FR"/>
        </w:rPr>
        <w:t>école.</w:t>
      </w:r>
    </w:p>
    <w:p w14:paraId="3D7928D5" w14:textId="7B7B8BFC" w:rsidR="00D005FA" w:rsidRPr="00310D49" w:rsidRDefault="00D005FA" w:rsidP="00A10A5D">
      <w:pPr>
        <w:pStyle w:val="SingleTxtG"/>
        <w:rPr>
          <w:spacing w:val="-4"/>
          <w:lang w:val="fr-FR"/>
        </w:rPr>
      </w:pPr>
      <w:r w:rsidRPr="00310D49">
        <w:rPr>
          <w:lang w:val="fr-FR"/>
        </w:rPr>
        <w:t>63.</w:t>
      </w:r>
      <w:r w:rsidRPr="00310D49">
        <w:rPr>
          <w:lang w:val="fr-FR"/>
        </w:rPr>
        <w:tab/>
        <w:t>Au niveau de la planification nationale, le Gouvernement palestinien s</w:t>
      </w:r>
      <w:r w:rsidR="0035332C">
        <w:rPr>
          <w:lang w:val="fr-FR"/>
        </w:rPr>
        <w:t>’</w:t>
      </w:r>
      <w:r w:rsidRPr="00310D49">
        <w:rPr>
          <w:lang w:val="fr-FR"/>
        </w:rPr>
        <w:t>emploie à intégrer l</w:t>
      </w:r>
      <w:r w:rsidR="0035332C">
        <w:rPr>
          <w:lang w:val="fr-FR"/>
        </w:rPr>
        <w:t>’</w:t>
      </w:r>
      <w:r w:rsidRPr="00310D49">
        <w:rPr>
          <w:lang w:val="fr-FR"/>
        </w:rPr>
        <w:t>égalité des sexes dans les politiques nationales et sectorielles, les budgets publics. À cet égard, le Gouvernement palestinien a adopté le plan national de développement intitulé «</w:t>
      </w:r>
      <w:r w:rsidR="00C807B4">
        <w:rPr>
          <w:lang w:val="fr-FR"/>
        </w:rPr>
        <w:t> </w:t>
      </w:r>
      <w:r w:rsidRPr="00310D49">
        <w:rPr>
          <w:lang w:val="fr-FR"/>
        </w:rPr>
        <w:t>Édification de la nation et concrétisation de la souveraineté (2014-2016)</w:t>
      </w:r>
      <w:r w:rsidR="00C807B4">
        <w:rPr>
          <w:lang w:val="fr-FR"/>
        </w:rPr>
        <w:t> </w:t>
      </w:r>
      <w:r w:rsidRPr="00310D49">
        <w:rPr>
          <w:lang w:val="fr-FR"/>
        </w:rPr>
        <w:t>», qui fixe parmi ses priorités une plus grande protection des femmes palestiniennes, le renforcement de leur participation au marché du travail et la facilitation de leur accès à tous les services de base. En outre, le Gouvernement a adopté le programme de politiques nationales (2017-2022) sous le thème «</w:t>
      </w:r>
      <w:r w:rsidR="00C807B4">
        <w:rPr>
          <w:lang w:val="fr-FR"/>
        </w:rPr>
        <w:t> </w:t>
      </w:r>
      <w:r w:rsidRPr="00310D49">
        <w:rPr>
          <w:lang w:val="fr-FR"/>
        </w:rPr>
        <w:t>Le citoyen d</w:t>
      </w:r>
      <w:r w:rsidR="0035332C">
        <w:rPr>
          <w:lang w:val="fr-FR"/>
        </w:rPr>
        <w:t>’</w:t>
      </w:r>
      <w:r w:rsidRPr="00310D49">
        <w:rPr>
          <w:lang w:val="fr-FR"/>
        </w:rPr>
        <w:t>abord</w:t>
      </w:r>
      <w:r w:rsidR="00C807B4">
        <w:rPr>
          <w:lang w:val="fr-FR"/>
        </w:rPr>
        <w:t> </w:t>
      </w:r>
      <w:r w:rsidRPr="00310D49">
        <w:rPr>
          <w:lang w:val="fr-FR"/>
        </w:rPr>
        <w:t>» et la stratégie intersectorielle nationale d</w:t>
      </w:r>
      <w:r w:rsidR="0035332C">
        <w:rPr>
          <w:lang w:val="fr-FR"/>
        </w:rPr>
        <w:t>’</w:t>
      </w:r>
      <w:r w:rsidRPr="00310D49">
        <w:rPr>
          <w:lang w:val="fr-FR"/>
        </w:rPr>
        <w:t>égalité des sexes (2017-2022).</w:t>
      </w:r>
    </w:p>
    <w:p w14:paraId="6C20487F" w14:textId="5F955614" w:rsidR="00D005FA" w:rsidRPr="00310D49" w:rsidRDefault="00D005FA" w:rsidP="00A10A5D">
      <w:pPr>
        <w:pStyle w:val="SingleTxtG"/>
        <w:rPr>
          <w:lang w:val="fr-FR"/>
        </w:rPr>
      </w:pPr>
      <w:r w:rsidRPr="00310D49">
        <w:rPr>
          <w:lang w:val="fr-FR"/>
        </w:rPr>
        <w:t>64.</w:t>
      </w:r>
      <w:r w:rsidRPr="00310D49">
        <w:rPr>
          <w:lang w:val="fr-FR"/>
        </w:rPr>
        <w:tab/>
        <w:t>En 2012, la Haute Commission nationale de mise en œuvre de la résolution 1325 (2000) du Conseil de sécurité sur les femmes, la paix et la sécurité a été créée en vue de renforcer la protection des femmes face à l</w:t>
      </w:r>
      <w:r w:rsidR="0035332C">
        <w:rPr>
          <w:lang w:val="fr-FR"/>
        </w:rPr>
        <w:t>’</w:t>
      </w:r>
      <w:r w:rsidRPr="00310D49">
        <w:rPr>
          <w:lang w:val="fr-FR"/>
        </w:rPr>
        <w:t>occupation israélienne. La commission se compose d</w:t>
      </w:r>
      <w:r w:rsidR="0035332C">
        <w:rPr>
          <w:lang w:val="fr-FR"/>
        </w:rPr>
        <w:t>’</w:t>
      </w:r>
      <w:r w:rsidRPr="00310D49">
        <w:rPr>
          <w:lang w:val="fr-FR"/>
        </w:rPr>
        <w:t>institutions gouvernementales et non gouvernementales représentées par la Coalition nationale pour la mise en œuvre de la résolution 1325.</w:t>
      </w:r>
    </w:p>
    <w:p w14:paraId="2D8A172A" w14:textId="64E0D7B0" w:rsidR="00D005FA" w:rsidRPr="00310D49" w:rsidRDefault="00D005FA" w:rsidP="00A10A5D">
      <w:pPr>
        <w:pStyle w:val="SingleTxtG"/>
        <w:rPr>
          <w:lang w:val="fr-FR"/>
        </w:rPr>
      </w:pPr>
      <w:r w:rsidRPr="00310D49">
        <w:rPr>
          <w:lang w:val="fr-FR"/>
        </w:rPr>
        <w:t>65.</w:t>
      </w:r>
      <w:r w:rsidRPr="00310D49">
        <w:rPr>
          <w:lang w:val="fr-FR"/>
        </w:rPr>
        <w:tab/>
        <w:t>En 2010, la plupart des partis politiques ont signé une charte qui les engage à promouvoir la participation des femmes palestiniennes dans la prise de décision</w:t>
      </w:r>
      <w:r w:rsidR="00C807B4">
        <w:rPr>
          <w:lang w:val="fr-FR"/>
        </w:rPr>
        <w:t>s</w:t>
      </w:r>
      <w:r w:rsidRPr="00310D49">
        <w:rPr>
          <w:lang w:val="fr-FR"/>
        </w:rPr>
        <w:t xml:space="preserve"> politique</w:t>
      </w:r>
      <w:r w:rsidR="00C807B4">
        <w:rPr>
          <w:lang w:val="fr-FR"/>
        </w:rPr>
        <w:t>s</w:t>
      </w:r>
      <w:r w:rsidRPr="00310D49">
        <w:rPr>
          <w:lang w:val="fr-FR"/>
        </w:rPr>
        <w:t>, à hauteur de 30</w:t>
      </w:r>
      <w:r w:rsidR="00C807B4">
        <w:rPr>
          <w:lang w:val="fr-FR"/>
        </w:rPr>
        <w:t> </w:t>
      </w:r>
      <w:r w:rsidRPr="00310D49">
        <w:rPr>
          <w:lang w:val="fr-FR"/>
        </w:rPr>
        <w:t>% au moins. À cet effet, le Conseil central palestinien a décidé récemment de créer les mécanismes d</w:t>
      </w:r>
      <w:r w:rsidR="0035332C">
        <w:rPr>
          <w:lang w:val="fr-FR"/>
        </w:rPr>
        <w:t>’</w:t>
      </w:r>
      <w:r w:rsidRPr="00310D49">
        <w:rPr>
          <w:lang w:val="fr-FR"/>
        </w:rPr>
        <w:t>application de cette décision et d</w:t>
      </w:r>
      <w:r w:rsidR="0035332C">
        <w:rPr>
          <w:lang w:val="fr-FR"/>
        </w:rPr>
        <w:t>’</w:t>
      </w:r>
      <w:r w:rsidRPr="00310D49">
        <w:rPr>
          <w:lang w:val="fr-FR"/>
        </w:rPr>
        <w:t>harmoniser les lois conformément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w:t>
      </w:r>
    </w:p>
    <w:p w14:paraId="25A776CF" w14:textId="6AF57BFE" w:rsidR="00D005FA" w:rsidRPr="00310D49" w:rsidRDefault="00D005FA" w:rsidP="00A10A5D">
      <w:pPr>
        <w:pStyle w:val="SingleTxtG"/>
        <w:rPr>
          <w:lang w:val="fr-FR"/>
        </w:rPr>
      </w:pPr>
      <w:r w:rsidRPr="00310D49">
        <w:rPr>
          <w:lang w:val="fr-FR"/>
        </w:rPr>
        <w:t>66.</w:t>
      </w:r>
      <w:r w:rsidRPr="00310D49">
        <w:rPr>
          <w:lang w:val="fr-FR"/>
        </w:rPr>
        <w:tab/>
        <w:t>La problématique hommes-femmes est intégrée dans les enquêtes effectuées par le Bureau central palestinien de statistique depuis 1996. Des données ventilées par sexe sont fournies. Par ailleurs, le Bureau met en œuvre le Plan national de surveillance des indicateurs de développement durable à l</w:t>
      </w:r>
      <w:r w:rsidR="0035332C">
        <w:rPr>
          <w:lang w:val="fr-FR"/>
        </w:rPr>
        <w:t>’</w:t>
      </w:r>
      <w:r w:rsidRPr="00310D49">
        <w:rPr>
          <w:lang w:val="fr-FR"/>
        </w:rPr>
        <w:t xml:space="preserve">horizon 2030 et, dans ce contexte, il a réalisé </w:t>
      </w:r>
      <w:r w:rsidRPr="007C5787">
        <w:rPr>
          <w:lang w:val="fr-FR"/>
        </w:rPr>
        <w:t>deux enquêtes</w:t>
      </w:r>
      <w:r w:rsidRPr="00310D49">
        <w:rPr>
          <w:lang w:val="fr-FR"/>
        </w:rPr>
        <w:t xml:space="preserve"> sur la violence dans la société palestinienne, la première en 2011 et la seconde en 2019.</w:t>
      </w:r>
    </w:p>
    <w:p w14:paraId="2485A0CB" w14:textId="463DE74A" w:rsidR="00D005FA" w:rsidRPr="00310D49" w:rsidRDefault="00D005FA" w:rsidP="00A10A5D">
      <w:pPr>
        <w:pStyle w:val="SingleTxtG"/>
        <w:rPr>
          <w:lang w:val="fr-FR"/>
        </w:rPr>
      </w:pPr>
      <w:r w:rsidRPr="00310D49">
        <w:rPr>
          <w:lang w:val="fr-FR"/>
        </w:rPr>
        <w:t>67.</w:t>
      </w:r>
      <w:r w:rsidRPr="00310D49">
        <w:rPr>
          <w:lang w:val="fr-FR"/>
        </w:rPr>
        <w:tab/>
        <w:t>Les organisations de la société civile spécialisées dans l</w:t>
      </w:r>
      <w:r w:rsidR="0035332C">
        <w:rPr>
          <w:lang w:val="fr-FR"/>
        </w:rPr>
        <w:t>’</w:t>
      </w:r>
      <w:r w:rsidRPr="00310D49">
        <w:rPr>
          <w:lang w:val="fr-FR"/>
        </w:rPr>
        <w:t>action féminine jouent un rôle actif en œuvrant pour l</w:t>
      </w:r>
      <w:r w:rsidR="0035332C">
        <w:rPr>
          <w:lang w:val="fr-FR"/>
        </w:rPr>
        <w:t>’</w:t>
      </w:r>
      <w:r w:rsidRPr="00310D49">
        <w:rPr>
          <w:lang w:val="fr-FR"/>
        </w:rPr>
        <w:t xml:space="preserve">autonomisation des femmes dans tous les domaines et contribuant à la sensibilisation aux droits et au statut des femmes. Ces organisations jouent également un </w:t>
      </w:r>
      <w:r w:rsidRPr="00310D49">
        <w:rPr>
          <w:lang w:val="fr-FR"/>
        </w:rPr>
        <w:lastRenderedPageBreak/>
        <w:t>rôle important dans l</w:t>
      </w:r>
      <w:r w:rsidR="0035332C">
        <w:rPr>
          <w:lang w:val="fr-FR"/>
        </w:rPr>
        <w:t>’</w:t>
      </w:r>
      <w:r w:rsidRPr="00310D49">
        <w:rPr>
          <w:lang w:val="fr-FR"/>
        </w:rPr>
        <w:t>abolition des coutumes et pratiques discriminatoires à l</w:t>
      </w:r>
      <w:r w:rsidR="0035332C">
        <w:rPr>
          <w:lang w:val="fr-FR"/>
        </w:rPr>
        <w:t>’</w:t>
      </w:r>
      <w:r w:rsidRPr="00310D49">
        <w:rPr>
          <w:lang w:val="fr-FR"/>
        </w:rPr>
        <w:t>encontre des femmes.</w:t>
      </w:r>
    </w:p>
    <w:p w14:paraId="35764B10" w14:textId="7F44A151" w:rsidR="00D005FA" w:rsidRPr="00310D49" w:rsidRDefault="00D005FA" w:rsidP="00A10A5D">
      <w:pPr>
        <w:pStyle w:val="SingleTxtG"/>
        <w:rPr>
          <w:lang w:val="fr-FR"/>
        </w:rPr>
      </w:pPr>
      <w:r w:rsidRPr="00310D49">
        <w:rPr>
          <w:lang w:val="fr-FR"/>
        </w:rPr>
        <w:t>68.</w:t>
      </w:r>
      <w:r w:rsidRPr="00310D49">
        <w:rPr>
          <w:lang w:val="fr-FR"/>
        </w:rPr>
        <w:tab/>
        <w:t>En 2014, l</w:t>
      </w:r>
      <w:r w:rsidR="0035332C">
        <w:rPr>
          <w:lang w:val="fr-FR"/>
        </w:rPr>
        <w:t>’</w:t>
      </w:r>
      <w:r w:rsidRPr="00310D49">
        <w:rPr>
          <w:lang w:val="fr-FR"/>
        </w:rPr>
        <w:t>État de Palestine a adhéré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sans émettre de réserve. Cela dénote une véritable volonté politique et représente une étape qualitative reflétant les progrès faits sur le plan national pour protéger les droits des femmes palestiniennes et éliminer dans les textes législatifs et les politiques existantes toutes dispositions discriminatoires à leur encontre. De</w:t>
      </w:r>
      <w:r w:rsidR="00C807B4">
        <w:rPr>
          <w:lang w:val="fr-FR"/>
        </w:rPr>
        <w:t> </w:t>
      </w:r>
      <w:r w:rsidRPr="00310D49">
        <w:rPr>
          <w:lang w:val="fr-FR"/>
        </w:rPr>
        <w:t>plus, l</w:t>
      </w:r>
      <w:r w:rsidR="0035332C">
        <w:rPr>
          <w:lang w:val="fr-FR"/>
        </w:rPr>
        <w:t>’</w:t>
      </w:r>
      <w:r w:rsidRPr="00310D49">
        <w:rPr>
          <w:lang w:val="fr-FR"/>
        </w:rPr>
        <w:t>État de Palestine a présenté son rapport initial sur la mise en œuvre de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en mars 2017 et s</w:t>
      </w:r>
      <w:r w:rsidR="0035332C">
        <w:rPr>
          <w:lang w:val="fr-FR"/>
        </w:rPr>
        <w:t>’</w:t>
      </w:r>
      <w:r w:rsidRPr="00310D49">
        <w:rPr>
          <w:lang w:val="fr-FR"/>
        </w:rPr>
        <w:t>emploie actuellement à mettre en œuvre les observations finales formulées par le comité concerné.</w:t>
      </w:r>
    </w:p>
    <w:p w14:paraId="162A6AF3" w14:textId="2AE79417" w:rsidR="00D005FA" w:rsidRPr="00310D49" w:rsidRDefault="00D005FA" w:rsidP="00A10A5D">
      <w:pPr>
        <w:pStyle w:val="SingleTxtG"/>
        <w:rPr>
          <w:lang w:val="fr-FR"/>
        </w:rPr>
      </w:pPr>
      <w:r w:rsidRPr="00310D49">
        <w:rPr>
          <w:lang w:val="fr-FR"/>
        </w:rPr>
        <w:t>69.</w:t>
      </w:r>
      <w:r w:rsidRPr="00310D49">
        <w:rPr>
          <w:lang w:val="fr-FR"/>
        </w:rPr>
        <w:tab/>
        <w:t>L</w:t>
      </w:r>
      <w:r w:rsidR="0035332C">
        <w:rPr>
          <w:lang w:val="fr-FR"/>
        </w:rPr>
        <w:t>’</w:t>
      </w:r>
      <w:r w:rsidRPr="00310D49">
        <w:rPr>
          <w:lang w:val="fr-FR"/>
        </w:rPr>
        <w:t>État de Palestine a adhéré en 2018 au Protocole facultatif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à la Convention sur le consentement au mariage, l</w:t>
      </w:r>
      <w:r w:rsidR="0035332C">
        <w:rPr>
          <w:lang w:val="fr-FR"/>
        </w:rPr>
        <w:t>’</w:t>
      </w:r>
      <w:r w:rsidRPr="00310D49">
        <w:rPr>
          <w:lang w:val="fr-FR"/>
        </w:rPr>
        <w:t>âge minimum du mariage et l</w:t>
      </w:r>
      <w:r w:rsidR="0035332C">
        <w:rPr>
          <w:lang w:val="fr-FR"/>
        </w:rPr>
        <w:t>’</w:t>
      </w:r>
      <w:r w:rsidRPr="00310D49">
        <w:rPr>
          <w:lang w:val="fr-FR"/>
        </w:rPr>
        <w:t>enregistrement des mariages, et à la Convention sur la nationalité de la femme mariée et, en 2014, à la Convention sur les droits politiques de la femme. Par ailleurs et dans le but de tenir son rôle dans les efforts régionaux de promotion du statut de la femme, l</w:t>
      </w:r>
      <w:r w:rsidR="0035332C">
        <w:rPr>
          <w:lang w:val="fr-FR"/>
        </w:rPr>
        <w:t>’</w:t>
      </w:r>
      <w:r w:rsidRPr="00310D49">
        <w:rPr>
          <w:lang w:val="fr-FR"/>
        </w:rPr>
        <w:t>État de Palestine a adhéré à l</w:t>
      </w:r>
      <w:r w:rsidR="0035332C">
        <w:rPr>
          <w:lang w:val="fr-FR"/>
        </w:rPr>
        <w:t>’</w:t>
      </w:r>
      <w:r w:rsidRPr="00310D49">
        <w:rPr>
          <w:lang w:val="fr-FR"/>
        </w:rPr>
        <w:t>Organisation des femmes arabes en 2003 et a ratifié le Statut de l</w:t>
      </w:r>
      <w:r w:rsidR="0035332C">
        <w:rPr>
          <w:lang w:val="fr-FR"/>
        </w:rPr>
        <w:t>’</w:t>
      </w:r>
      <w:r w:rsidRPr="00310D49">
        <w:rPr>
          <w:lang w:val="fr-FR"/>
        </w:rPr>
        <w:t>Organisation pour le développement des femmes de l</w:t>
      </w:r>
      <w:r w:rsidR="0035332C">
        <w:rPr>
          <w:lang w:val="fr-FR"/>
        </w:rPr>
        <w:t>’</w:t>
      </w:r>
      <w:r w:rsidRPr="00310D49">
        <w:rPr>
          <w:lang w:val="fr-FR"/>
        </w:rPr>
        <w:t>Organisation de la coopération islamique en 2013.</w:t>
      </w:r>
    </w:p>
    <w:p w14:paraId="7455A05A" w14:textId="6CA1BF64" w:rsidR="00D005FA" w:rsidRPr="00310D49" w:rsidRDefault="00D005FA" w:rsidP="00A10A5D">
      <w:pPr>
        <w:pStyle w:val="H23G"/>
        <w:rPr>
          <w:lang w:val="fr-FR"/>
        </w:rPr>
      </w:pPr>
      <w:r w:rsidRPr="00310D49">
        <w:rPr>
          <w:lang w:val="fr-FR"/>
        </w:rPr>
        <w:tab/>
      </w:r>
      <w:r w:rsidRPr="00310D49">
        <w:rPr>
          <w:lang w:val="fr-FR"/>
        </w:rPr>
        <w:tab/>
        <w:t>Secteurs public et privé de l</w:t>
      </w:r>
      <w:r w:rsidR="0035332C">
        <w:rPr>
          <w:lang w:val="fr-FR"/>
        </w:rPr>
        <w:t>’</w:t>
      </w:r>
      <w:r w:rsidRPr="00310D49">
        <w:rPr>
          <w:lang w:val="fr-FR"/>
        </w:rPr>
        <w:t>emploi</w:t>
      </w:r>
    </w:p>
    <w:p w14:paraId="13F57FC1" w14:textId="04CBE121" w:rsidR="00D005FA" w:rsidRPr="00310D49" w:rsidRDefault="00D005FA" w:rsidP="00A10A5D">
      <w:pPr>
        <w:pStyle w:val="SingleTxtG"/>
        <w:rPr>
          <w:lang w:val="fr-FR"/>
        </w:rPr>
      </w:pPr>
      <w:r w:rsidRPr="00310D49">
        <w:rPr>
          <w:lang w:val="fr-FR"/>
        </w:rPr>
        <w:t>70.</w:t>
      </w:r>
      <w:r w:rsidRPr="00310D49">
        <w:rPr>
          <w:lang w:val="fr-FR"/>
        </w:rPr>
        <w:tab/>
        <w:t>Le secteur de l</w:t>
      </w:r>
      <w:r w:rsidR="0035332C">
        <w:rPr>
          <w:lang w:val="fr-FR"/>
        </w:rPr>
        <w:t>’</w:t>
      </w:r>
      <w:r w:rsidRPr="00310D49">
        <w:rPr>
          <w:lang w:val="fr-FR"/>
        </w:rPr>
        <w:t>emploi dans l</w:t>
      </w:r>
      <w:r w:rsidR="0035332C">
        <w:rPr>
          <w:lang w:val="fr-FR"/>
        </w:rPr>
        <w:t>’</w:t>
      </w:r>
      <w:r w:rsidRPr="00310D49">
        <w:rPr>
          <w:lang w:val="fr-FR"/>
        </w:rPr>
        <w:t>État de Palestine est régi par la Loi fondamentale, telle que modifiée, la loi n</w:t>
      </w:r>
      <w:r w:rsidR="000348DE" w:rsidRPr="000348DE">
        <w:rPr>
          <w:vertAlign w:val="superscript"/>
          <w:lang w:val="fr-FR"/>
        </w:rPr>
        <w:t>o</w:t>
      </w:r>
      <w:r w:rsidR="000348DE">
        <w:rPr>
          <w:lang w:val="fr-FR"/>
        </w:rPr>
        <w:t> </w:t>
      </w:r>
      <w:r w:rsidRPr="00310D49">
        <w:rPr>
          <w:lang w:val="fr-FR"/>
        </w:rPr>
        <w:t>4 de 1998 portant Code de la fonction publique, telle que modifiée, et le Code du travail de 2000 dans les secteurs privé et de la société civile. Ces lois ne font pas de discrimination entre hommes et femmes en matière de droit au travail, de possibilités d</w:t>
      </w:r>
      <w:r w:rsidR="0035332C">
        <w:rPr>
          <w:lang w:val="fr-FR"/>
        </w:rPr>
        <w:t>’</w:t>
      </w:r>
      <w:r w:rsidRPr="00310D49">
        <w:rPr>
          <w:lang w:val="fr-FR"/>
        </w:rPr>
        <w:t>emploi et de salaires, l</w:t>
      </w:r>
      <w:r w:rsidR="0035332C">
        <w:rPr>
          <w:lang w:val="fr-FR"/>
        </w:rPr>
        <w:t>’</w:t>
      </w:r>
      <w:r w:rsidRPr="00310D49">
        <w:rPr>
          <w:lang w:val="fr-FR"/>
        </w:rPr>
        <w:t>évaluation de la qualité du travail étant soumise aux mêmes critères de rendement et de promotion. Ces lois respectent le droit de la femme d</w:t>
      </w:r>
      <w:r w:rsidR="0035332C">
        <w:rPr>
          <w:lang w:val="fr-FR"/>
        </w:rPr>
        <w:t>’</w:t>
      </w:r>
      <w:r w:rsidRPr="00310D49">
        <w:rPr>
          <w:lang w:val="fr-FR"/>
        </w:rPr>
        <w:t>avoir des enfants et son droit à un congé de grossesse et de maternité avec plein traitement, avec la garantie du maintien de ses droits d</w:t>
      </w:r>
      <w:r w:rsidR="0035332C">
        <w:rPr>
          <w:lang w:val="fr-FR"/>
        </w:rPr>
        <w:t>’</w:t>
      </w:r>
      <w:r w:rsidRPr="00310D49">
        <w:rPr>
          <w:lang w:val="fr-FR"/>
        </w:rPr>
        <w:t>ancienneté, de ses droits de promotion et de ses avantages sociaux. Dans le cadre de son plan d</w:t>
      </w:r>
      <w:r w:rsidR="0035332C">
        <w:rPr>
          <w:lang w:val="fr-FR"/>
        </w:rPr>
        <w:t>’</w:t>
      </w:r>
      <w:r w:rsidRPr="00310D49">
        <w:rPr>
          <w:lang w:val="fr-FR"/>
        </w:rPr>
        <w:t>action, le Comité d</w:t>
      </w:r>
      <w:r w:rsidR="0035332C">
        <w:rPr>
          <w:lang w:val="fr-FR"/>
        </w:rPr>
        <w:t>’</w:t>
      </w:r>
      <w:r w:rsidRPr="00310D49">
        <w:rPr>
          <w:lang w:val="fr-FR"/>
        </w:rPr>
        <w:t>harmonisation examine et modifie la loi sur le régime public des retraites et le Code de la fonction publique, prend des mesures pour assurer l</w:t>
      </w:r>
      <w:r w:rsidR="0035332C">
        <w:rPr>
          <w:lang w:val="fr-FR"/>
        </w:rPr>
        <w:t>’</w:t>
      </w:r>
      <w:r w:rsidRPr="00310D49">
        <w:rPr>
          <w:lang w:val="fr-FR"/>
        </w:rPr>
        <w:t>égalité de rémunération et en matière de droits à pension, révise le Code du travail, impose des sanctions en cas de discrimination sur le lieu de travail et réprime le harcèlement sur le lieu de travail.</w:t>
      </w:r>
    </w:p>
    <w:p w14:paraId="4C32C7AF" w14:textId="0C6C9C3A" w:rsidR="00D005FA" w:rsidRPr="00310D49" w:rsidRDefault="00D005FA" w:rsidP="00A10A5D">
      <w:pPr>
        <w:pStyle w:val="SingleTxtG"/>
        <w:rPr>
          <w:spacing w:val="-4"/>
          <w:lang w:val="fr-FR"/>
        </w:rPr>
      </w:pPr>
      <w:r w:rsidRPr="00310D49">
        <w:rPr>
          <w:lang w:val="fr-FR"/>
        </w:rPr>
        <w:t>71.</w:t>
      </w:r>
      <w:r w:rsidRPr="00310D49">
        <w:rPr>
          <w:lang w:val="fr-FR"/>
        </w:rPr>
        <w:tab/>
        <w:t>Le taux d</w:t>
      </w:r>
      <w:r w:rsidR="0035332C">
        <w:rPr>
          <w:lang w:val="fr-FR"/>
        </w:rPr>
        <w:t>’</w:t>
      </w:r>
      <w:r w:rsidRPr="00310D49">
        <w:rPr>
          <w:lang w:val="fr-FR"/>
        </w:rPr>
        <w:t>activité des femmes a augmenté au cours des années précédentes, mais il reste très faible par rapport à celui des hommes. En 2018, les femmes représentaient 21</w:t>
      </w:r>
      <w:r w:rsidR="000348DE">
        <w:rPr>
          <w:lang w:val="fr-FR"/>
        </w:rPr>
        <w:t> </w:t>
      </w:r>
      <w:r w:rsidRPr="00310D49">
        <w:rPr>
          <w:lang w:val="fr-FR"/>
        </w:rPr>
        <w:t>% de la population active en 2018 (contre 10</w:t>
      </w:r>
      <w:r w:rsidR="000348DE">
        <w:rPr>
          <w:lang w:val="fr-FR"/>
        </w:rPr>
        <w:t> </w:t>
      </w:r>
      <w:r w:rsidRPr="00310D49">
        <w:rPr>
          <w:lang w:val="fr-FR"/>
        </w:rPr>
        <w:t>% en 2001), alors que les hommes en constituaient 72</w:t>
      </w:r>
      <w:r w:rsidR="000348DE">
        <w:rPr>
          <w:lang w:val="fr-FR"/>
        </w:rPr>
        <w:t> </w:t>
      </w:r>
      <w:r w:rsidRPr="00310D49">
        <w:rPr>
          <w:lang w:val="fr-FR"/>
        </w:rPr>
        <w:t>%, avec un écart très net entre hommes et femmes dans le salaire journalier. En effet, selon les données du Bureau central palestinien de statistique, les femmes touchaient un salaire journalier de 92</w:t>
      </w:r>
      <w:r w:rsidR="000348DE">
        <w:rPr>
          <w:lang w:val="fr-FR"/>
        </w:rPr>
        <w:t> </w:t>
      </w:r>
      <w:r w:rsidRPr="00310D49">
        <w:rPr>
          <w:lang w:val="fr-FR"/>
        </w:rPr>
        <w:t>shekels contre 129</w:t>
      </w:r>
      <w:r w:rsidR="000348DE">
        <w:rPr>
          <w:lang w:val="fr-FR"/>
        </w:rPr>
        <w:t> </w:t>
      </w:r>
      <w:r w:rsidRPr="00310D49">
        <w:rPr>
          <w:lang w:val="fr-FR"/>
        </w:rPr>
        <w:t>shekels pour les hommes. Pour réduire cet écart, le Comité d</w:t>
      </w:r>
      <w:r w:rsidR="0035332C">
        <w:rPr>
          <w:lang w:val="fr-FR"/>
        </w:rPr>
        <w:t>’</w:t>
      </w:r>
      <w:r w:rsidRPr="00310D49">
        <w:rPr>
          <w:lang w:val="fr-FR"/>
        </w:rPr>
        <w:t>harmonisation a révisé la loi n</w:t>
      </w:r>
      <w:r w:rsidR="000348DE" w:rsidRPr="000348DE">
        <w:rPr>
          <w:vertAlign w:val="superscript"/>
          <w:lang w:val="fr-FR"/>
        </w:rPr>
        <w:t>o</w:t>
      </w:r>
      <w:r w:rsidR="000348DE">
        <w:rPr>
          <w:lang w:val="fr-FR"/>
        </w:rPr>
        <w:t> </w:t>
      </w:r>
      <w:r w:rsidRPr="00310D49">
        <w:rPr>
          <w:lang w:val="fr-FR"/>
        </w:rPr>
        <w:t>7 de 2000 portant Code du travail pour la mettre en conformité avec les normes internationales et les recommandations du Comité pour l</w:t>
      </w:r>
      <w:r w:rsidR="0035332C">
        <w:rPr>
          <w:lang w:val="fr-FR"/>
        </w:rPr>
        <w:t>’</w:t>
      </w:r>
      <w:r w:rsidRPr="00310D49">
        <w:rPr>
          <w:lang w:val="fr-FR"/>
        </w:rPr>
        <w:t>élimination de la discrimination à l</w:t>
      </w:r>
      <w:r w:rsidR="0035332C">
        <w:rPr>
          <w:lang w:val="fr-FR"/>
        </w:rPr>
        <w:t>’</w:t>
      </w:r>
      <w:r w:rsidRPr="00310D49">
        <w:rPr>
          <w:lang w:val="fr-FR"/>
        </w:rPr>
        <w:t>égard des femmes relatives à l</w:t>
      </w:r>
      <w:r w:rsidR="0035332C">
        <w:rPr>
          <w:lang w:val="fr-FR"/>
        </w:rPr>
        <w:t>’</w:t>
      </w:r>
      <w:r w:rsidRPr="00310D49">
        <w:rPr>
          <w:lang w:val="fr-FR"/>
        </w:rPr>
        <w:t>égalité de rémunération entre hommes et femmes pour un travail de valeur égale. Le Comité d</w:t>
      </w:r>
      <w:r w:rsidR="0035332C">
        <w:rPr>
          <w:lang w:val="fr-FR"/>
        </w:rPr>
        <w:t>’</w:t>
      </w:r>
      <w:r w:rsidRPr="00310D49">
        <w:rPr>
          <w:lang w:val="fr-FR"/>
        </w:rPr>
        <w:t xml:space="preserve">harmonisation a également renforcé les procédures de contrôle et de sanction du Ministère du travail pour veiller à la bonne application de la loi révisée. </w:t>
      </w:r>
    </w:p>
    <w:p w14:paraId="532363BB" w14:textId="77777777" w:rsidR="00D005FA" w:rsidRPr="00310D49" w:rsidRDefault="00D005FA" w:rsidP="00A10A5D">
      <w:pPr>
        <w:pStyle w:val="H23G"/>
        <w:rPr>
          <w:lang w:val="fr-FR"/>
        </w:rPr>
      </w:pPr>
      <w:r w:rsidRPr="00310D49">
        <w:rPr>
          <w:lang w:val="fr-FR"/>
        </w:rPr>
        <w:tab/>
      </w:r>
      <w:r w:rsidRPr="00310D49">
        <w:rPr>
          <w:lang w:val="fr-FR"/>
        </w:rPr>
        <w:tab/>
        <w:t>Proportion de femmes participant à la vie politique et publique</w:t>
      </w:r>
    </w:p>
    <w:p w14:paraId="0FB5F100" w14:textId="2C735424" w:rsidR="00D005FA" w:rsidRPr="00310D49" w:rsidRDefault="00D005FA" w:rsidP="00A10A5D">
      <w:pPr>
        <w:pStyle w:val="SingleTxtG"/>
        <w:rPr>
          <w:lang w:val="fr-FR"/>
        </w:rPr>
      </w:pPr>
      <w:r w:rsidRPr="00310D49">
        <w:rPr>
          <w:lang w:val="fr-FR"/>
        </w:rPr>
        <w:t>72.</w:t>
      </w:r>
      <w:r w:rsidRPr="00310D49">
        <w:rPr>
          <w:lang w:val="fr-FR"/>
        </w:rPr>
        <w:tab/>
        <w:t>D</w:t>
      </w:r>
      <w:r w:rsidR="0035332C">
        <w:rPr>
          <w:lang w:val="fr-FR"/>
        </w:rPr>
        <w:t>’</w:t>
      </w:r>
      <w:r w:rsidRPr="00310D49">
        <w:rPr>
          <w:lang w:val="fr-FR"/>
        </w:rPr>
        <w:t>après les statistiques disponibles, la proportion de femmes occupant des postes de responsabilité dans les secteurs public et privé, des sièges parlementaires et des postes de haut niveau est modeste. En effet, environ 5</w:t>
      </w:r>
      <w:r w:rsidR="00A10A5D">
        <w:rPr>
          <w:lang w:val="fr-FR"/>
        </w:rPr>
        <w:t> </w:t>
      </w:r>
      <w:r w:rsidRPr="00310D49">
        <w:rPr>
          <w:lang w:val="fr-FR"/>
        </w:rPr>
        <w:t>% des membres du Conseil central et 11</w:t>
      </w:r>
      <w:r w:rsidR="000348DE">
        <w:rPr>
          <w:lang w:val="fr-FR"/>
        </w:rPr>
        <w:t> </w:t>
      </w:r>
      <w:r w:rsidRPr="00310D49">
        <w:rPr>
          <w:lang w:val="fr-FR"/>
        </w:rPr>
        <w:t>% des membres du Conseil national de l</w:t>
      </w:r>
      <w:r w:rsidR="0035332C">
        <w:rPr>
          <w:lang w:val="fr-FR"/>
        </w:rPr>
        <w:t>’</w:t>
      </w:r>
      <w:r w:rsidRPr="00310D49">
        <w:rPr>
          <w:lang w:val="fr-FR"/>
        </w:rPr>
        <w:t>Organisation de libération de la Palestine sont des femmes. Quant au Comité exécutif, la plus haute autorité exécutive de l</w:t>
      </w:r>
      <w:r w:rsidR="0035332C">
        <w:rPr>
          <w:lang w:val="fr-FR"/>
        </w:rPr>
        <w:t>’</w:t>
      </w:r>
      <w:r w:rsidRPr="00310D49">
        <w:rPr>
          <w:lang w:val="fr-FR"/>
        </w:rPr>
        <w:t>organisation, il n</w:t>
      </w:r>
      <w:r w:rsidR="0035332C">
        <w:rPr>
          <w:lang w:val="fr-FR"/>
        </w:rPr>
        <w:t>’</w:t>
      </w:r>
      <w:r w:rsidRPr="00310D49">
        <w:rPr>
          <w:lang w:val="fr-FR"/>
        </w:rPr>
        <w:t>y a qu</w:t>
      </w:r>
      <w:r w:rsidR="0035332C">
        <w:rPr>
          <w:lang w:val="fr-FR"/>
        </w:rPr>
        <w:t>’</w:t>
      </w:r>
      <w:r w:rsidRPr="00310D49">
        <w:rPr>
          <w:lang w:val="fr-FR"/>
        </w:rPr>
        <w:t>une seule femme en son sein.</w:t>
      </w:r>
    </w:p>
    <w:p w14:paraId="51EB4E56" w14:textId="4158E0DA" w:rsidR="00D005FA" w:rsidRPr="00310D49" w:rsidRDefault="00D005FA" w:rsidP="000348DE">
      <w:pPr>
        <w:pStyle w:val="SingleTxtG"/>
        <w:keepNext/>
        <w:keepLines/>
        <w:rPr>
          <w:lang w:val="fr-FR"/>
        </w:rPr>
      </w:pPr>
      <w:r w:rsidRPr="00310D49">
        <w:rPr>
          <w:lang w:val="fr-FR"/>
        </w:rPr>
        <w:lastRenderedPageBreak/>
        <w:t>73.</w:t>
      </w:r>
      <w:r w:rsidRPr="00310D49">
        <w:rPr>
          <w:lang w:val="fr-FR"/>
        </w:rPr>
        <w:tab/>
        <w:t>La proportion de femmes siégeant au Conseil législatif a augmenté après les élections de 2006 par rapport aux élections de 1996, passant ainsi de 5,6</w:t>
      </w:r>
      <w:r w:rsidR="00A10A5D">
        <w:rPr>
          <w:lang w:val="fr-FR"/>
        </w:rPr>
        <w:t> </w:t>
      </w:r>
      <w:r w:rsidRPr="00310D49">
        <w:rPr>
          <w:lang w:val="fr-FR"/>
        </w:rPr>
        <w:t>% à 12,9</w:t>
      </w:r>
      <w:r w:rsidR="00A10A5D">
        <w:rPr>
          <w:lang w:val="fr-FR"/>
        </w:rPr>
        <w:t> </w:t>
      </w:r>
      <w:r w:rsidRPr="00310D49">
        <w:rPr>
          <w:lang w:val="fr-FR"/>
        </w:rPr>
        <w:t>%. En outre, le décret-loi n</w:t>
      </w:r>
      <w:r w:rsidR="00A10A5D" w:rsidRPr="00A10A5D">
        <w:rPr>
          <w:vertAlign w:val="superscript"/>
          <w:lang w:val="fr-FR"/>
        </w:rPr>
        <w:t>o</w:t>
      </w:r>
      <w:r w:rsidR="00A10A5D">
        <w:rPr>
          <w:lang w:val="fr-FR"/>
        </w:rPr>
        <w:t> </w:t>
      </w:r>
      <w:r w:rsidRPr="00310D49">
        <w:rPr>
          <w:lang w:val="fr-FR"/>
        </w:rPr>
        <w:t>1 de 2007 sur les élections générales a introduit un système de «</w:t>
      </w:r>
      <w:r w:rsidR="000348DE">
        <w:rPr>
          <w:lang w:val="fr-FR"/>
        </w:rPr>
        <w:t> </w:t>
      </w:r>
      <w:r w:rsidRPr="00310D49">
        <w:rPr>
          <w:lang w:val="fr-FR"/>
        </w:rPr>
        <w:t>quotas pour les candidatures féminines</w:t>
      </w:r>
      <w:r w:rsidR="000348DE">
        <w:rPr>
          <w:lang w:val="fr-FR"/>
        </w:rPr>
        <w:t> </w:t>
      </w:r>
      <w:r w:rsidRPr="00310D49">
        <w:rPr>
          <w:lang w:val="fr-FR"/>
        </w:rPr>
        <w:t>» à titre de mesure spéciale provisoire.</w:t>
      </w:r>
    </w:p>
    <w:p w14:paraId="4B292211" w14:textId="7C71DD4A" w:rsidR="00D005FA" w:rsidRPr="00310D49" w:rsidRDefault="00D005FA" w:rsidP="00A10A5D">
      <w:pPr>
        <w:pStyle w:val="SingleTxtG"/>
        <w:rPr>
          <w:lang w:val="fr-FR"/>
        </w:rPr>
      </w:pPr>
      <w:r w:rsidRPr="00310D49">
        <w:rPr>
          <w:lang w:val="fr-FR"/>
        </w:rPr>
        <w:t>74.</w:t>
      </w:r>
      <w:r w:rsidRPr="00310D49">
        <w:rPr>
          <w:lang w:val="fr-FR"/>
        </w:rPr>
        <w:tab/>
        <w:t>Il en va de même pour la loi n</w:t>
      </w:r>
      <w:r w:rsidR="000348DE" w:rsidRPr="000348DE">
        <w:rPr>
          <w:vertAlign w:val="superscript"/>
          <w:lang w:val="fr-FR"/>
        </w:rPr>
        <w:t>o</w:t>
      </w:r>
      <w:r w:rsidR="000348DE">
        <w:rPr>
          <w:lang w:val="fr-FR"/>
        </w:rPr>
        <w:t> </w:t>
      </w:r>
      <w:r w:rsidRPr="00310D49">
        <w:rPr>
          <w:lang w:val="fr-FR"/>
        </w:rPr>
        <w:t>10 de 2005 sur les conseils des collectivités locales, qui a instauré un système de «</w:t>
      </w:r>
      <w:r w:rsidR="000348DE">
        <w:rPr>
          <w:lang w:val="fr-FR"/>
        </w:rPr>
        <w:t> </w:t>
      </w:r>
      <w:r w:rsidRPr="00310D49">
        <w:rPr>
          <w:lang w:val="fr-FR"/>
        </w:rPr>
        <w:t>quotas pour les candidatures féminines</w:t>
      </w:r>
      <w:r w:rsidR="000348DE">
        <w:rPr>
          <w:lang w:val="fr-FR"/>
        </w:rPr>
        <w:t> </w:t>
      </w:r>
      <w:r w:rsidRPr="00310D49">
        <w:rPr>
          <w:lang w:val="fr-FR"/>
        </w:rPr>
        <w:t>», mais la proportion de femmes aux élections locales, tant au niveau des candidatures que des résultats, demeure faible, comme le prouvent les chiffres présentés dans le tableau ci-après.</w:t>
      </w:r>
    </w:p>
    <w:tbl>
      <w:tblPr>
        <w:tblW w:w="7370" w:type="dxa"/>
        <w:tblInd w:w="1134" w:type="dxa"/>
        <w:tblLayout w:type="fixed"/>
        <w:tblCellMar>
          <w:left w:w="0" w:type="dxa"/>
          <w:right w:w="0" w:type="dxa"/>
        </w:tblCellMar>
        <w:tblLook w:val="04A0" w:firstRow="1" w:lastRow="0" w:firstColumn="1" w:lastColumn="0" w:noHBand="0" w:noVBand="1"/>
      </w:tblPr>
      <w:tblGrid>
        <w:gridCol w:w="2285"/>
        <w:gridCol w:w="3102"/>
        <w:gridCol w:w="1983"/>
      </w:tblGrid>
      <w:tr w:rsidR="003E6D19" w:rsidRPr="003E6D19" w14:paraId="165297A5" w14:textId="77777777" w:rsidTr="003E6D19">
        <w:trPr>
          <w:tblHeader/>
        </w:trPr>
        <w:tc>
          <w:tcPr>
            <w:tcW w:w="2285" w:type="dxa"/>
            <w:tcBorders>
              <w:top w:val="single" w:sz="4" w:space="0" w:color="auto"/>
              <w:bottom w:val="single" w:sz="12" w:space="0" w:color="auto"/>
            </w:tcBorders>
            <w:shd w:val="clear" w:color="auto" w:fill="auto"/>
            <w:vAlign w:val="bottom"/>
          </w:tcPr>
          <w:p w14:paraId="040CC471" w14:textId="77777777" w:rsidR="00D005FA" w:rsidRPr="003E6D19" w:rsidRDefault="00D005FA" w:rsidP="003E6D19">
            <w:pPr>
              <w:suppressAutoHyphens w:val="0"/>
              <w:spacing w:before="80" w:after="80" w:line="200" w:lineRule="exact"/>
              <w:rPr>
                <w:i/>
                <w:sz w:val="16"/>
                <w:lang w:val="fr-FR"/>
              </w:rPr>
            </w:pPr>
            <w:r w:rsidRPr="003E6D19">
              <w:rPr>
                <w:i/>
                <w:sz w:val="16"/>
                <w:lang w:val="fr-FR"/>
              </w:rPr>
              <w:t>Période électorale</w:t>
            </w:r>
          </w:p>
        </w:tc>
        <w:tc>
          <w:tcPr>
            <w:tcW w:w="3102" w:type="dxa"/>
            <w:tcBorders>
              <w:top w:val="single" w:sz="4" w:space="0" w:color="auto"/>
              <w:bottom w:val="single" w:sz="12" w:space="0" w:color="auto"/>
            </w:tcBorders>
            <w:shd w:val="clear" w:color="auto" w:fill="auto"/>
            <w:vAlign w:val="bottom"/>
          </w:tcPr>
          <w:p w14:paraId="78D8C37E" w14:textId="77777777" w:rsidR="00D005FA" w:rsidRPr="003E6D19" w:rsidRDefault="00D005FA" w:rsidP="003E6D19">
            <w:pPr>
              <w:suppressAutoHyphens w:val="0"/>
              <w:spacing w:before="80" w:after="80" w:line="200" w:lineRule="exact"/>
              <w:jc w:val="right"/>
              <w:rPr>
                <w:i/>
                <w:sz w:val="16"/>
                <w:lang w:val="fr-FR"/>
              </w:rPr>
            </w:pPr>
            <w:r w:rsidRPr="003E6D19">
              <w:rPr>
                <w:i/>
                <w:sz w:val="16"/>
                <w:lang w:val="fr-FR"/>
              </w:rPr>
              <w:t>Femmes candidates (%)</w:t>
            </w:r>
          </w:p>
        </w:tc>
        <w:tc>
          <w:tcPr>
            <w:tcW w:w="1983" w:type="dxa"/>
            <w:tcBorders>
              <w:top w:val="single" w:sz="4" w:space="0" w:color="auto"/>
              <w:bottom w:val="single" w:sz="12" w:space="0" w:color="auto"/>
            </w:tcBorders>
            <w:shd w:val="clear" w:color="auto" w:fill="auto"/>
            <w:vAlign w:val="bottom"/>
          </w:tcPr>
          <w:p w14:paraId="2ED0AB91" w14:textId="77777777" w:rsidR="00D005FA" w:rsidRPr="003E6D19" w:rsidRDefault="00D005FA" w:rsidP="003E6D19">
            <w:pPr>
              <w:suppressAutoHyphens w:val="0"/>
              <w:spacing w:before="80" w:after="80" w:line="200" w:lineRule="exact"/>
              <w:jc w:val="right"/>
              <w:rPr>
                <w:i/>
                <w:sz w:val="16"/>
                <w:lang w:val="fr-FR"/>
              </w:rPr>
            </w:pPr>
            <w:r w:rsidRPr="003E6D19">
              <w:rPr>
                <w:i/>
                <w:sz w:val="16"/>
                <w:lang w:val="fr-FR"/>
              </w:rPr>
              <w:t>Femmes élues (%)</w:t>
            </w:r>
          </w:p>
        </w:tc>
      </w:tr>
      <w:tr w:rsidR="003E6D19" w:rsidRPr="003E6D19" w14:paraId="10DCE412" w14:textId="77777777" w:rsidTr="003E6D19">
        <w:tc>
          <w:tcPr>
            <w:tcW w:w="2285" w:type="dxa"/>
            <w:tcBorders>
              <w:top w:val="single" w:sz="12" w:space="0" w:color="auto"/>
            </w:tcBorders>
            <w:shd w:val="clear" w:color="auto" w:fill="auto"/>
          </w:tcPr>
          <w:p w14:paraId="799050BB" w14:textId="77777777" w:rsidR="00D005FA" w:rsidRPr="003E6D19" w:rsidRDefault="00D005FA" w:rsidP="003E6D19">
            <w:pPr>
              <w:suppressAutoHyphens w:val="0"/>
              <w:spacing w:before="40" w:after="40" w:line="220" w:lineRule="exact"/>
              <w:rPr>
                <w:sz w:val="18"/>
                <w:lang w:val="fr-FR"/>
              </w:rPr>
            </w:pPr>
            <w:r w:rsidRPr="003E6D19">
              <w:rPr>
                <w:sz w:val="18"/>
                <w:lang w:val="fr-FR"/>
              </w:rPr>
              <w:t>2004-2005</w:t>
            </w:r>
          </w:p>
        </w:tc>
        <w:tc>
          <w:tcPr>
            <w:tcW w:w="3102" w:type="dxa"/>
            <w:tcBorders>
              <w:top w:val="single" w:sz="12" w:space="0" w:color="auto"/>
            </w:tcBorders>
            <w:shd w:val="clear" w:color="auto" w:fill="auto"/>
            <w:vAlign w:val="bottom"/>
          </w:tcPr>
          <w:p w14:paraId="30761430"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19,2</w:t>
            </w:r>
          </w:p>
        </w:tc>
        <w:tc>
          <w:tcPr>
            <w:tcW w:w="1983" w:type="dxa"/>
            <w:tcBorders>
              <w:top w:val="single" w:sz="12" w:space="0" w:color="auto"/>
            </w:tcBorders>
            <w:shd w:val="clear" w:color="auto" w:fill="auto"/>
            <w:vAlign w:val="bottom"/>
          </w:tcPr>
          <w:p w14:paraId="3CF151D3"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13,7</w:t>
            </w:r>
          </w:p>
        </w:tc>
      </w:tr>
      <w:tr w:rsidR="00D005FA" w:rsidRPr="003E6D19" w14:paraId="05D1608F" w14:textId="77777777" w:rsidTr="003E6D19">
        <w:tc>
          <w:tcPr>
            <w:tcW w:w="2285" w:type="dxa"/>
            <w:shd w:val="clear" w:color="auto" w:fill="auto"/>
          </w:tcPr>
          <w:p w14:paraId="052646E8" w14:textId="77777777" w:rsidR="00D005FA" w:rsidRPr="003E6D19" w:rsidRDefault="00D005FA" w:rsidP="003E6D19">
            <w:pPr>
              <w:suppressAutoHyphens w:val="0"/>
              <w:spacing w:before="40" w:after="40" w:line="220" w:lineRule="exact"/>
              <w:rPr>
                <w:sz w:val="18"/>
                <w:lang w:val="fr-FR"/>
              </w:rPr>
            </w:pPr>
            <w:r w:rsidRPr="003E6D19">
              <w:rPr>
                <w:sz w:val="18"/>
                <w:lang w:val="fr-FR"/>
              </w:rPr>
              <w:t>2012</w:t>
            </w:r>
          </w:p>
        </w:tc>
        <w:tc>
          <w:tcPr>
            <w:tcW w:w="3102" w:type="dxa"/>
            <w:shd w:val="clear" w:color="auto" w:fill="auto"/>
            <w:vAlign w:val="bottom"/>
          </w:tcPr>
          <w:p w14:paraId="287AE6E2"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24,8</w:t>
            </w:r>
          </w:p>
        </w:tc>
        <w:tc>
          <w:tcPr>
            <w:tcW w:w="1983" w:type="dxa"/>
            <w:shd w:val="clear" w:color="auto" w:fill="auto"/>
            <w:vAlign w:val="bottom"/>
          </w:tcPr>
          <w:p w14:paraId="0DF83336"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21</w:t>
            </w:r>
          </w:p>
        </w:tc>
      </w:tr>
      <w:tr w:rsidR="003E6D19" w:rsidRPr="003E6D19" w14:paraId="26825A82" w14:textId="77777777" w:rsidTr="003E6D19">
        <w:tc>
          <w:tcPr>
            <w:tcW w:w="2285" w:type="dxa"/>
            <w:tcBorders>
              <w:bottom w:val="single" w:sz="12" w:space="0" w:color="auto"/>
            </w:tcBorders>
            <w:shd w:val="clear" w:color="auto" w:fill="auto"/>
          </w:tcPr>
          <w:p w14:paraId="4C71FB6E" w14:textId="77777777" w:rsidR="00D005FA" w:rsidRPr="003E6D19" w:rsidRDefault="00D005FA" w:rsidP="003E6D19">
            <w:pPr>
              <w:suppressAutoHyphens w:val="0"/>
              <w:spacing w:before="40" w:after="40" w:line="220" w:lineRule="exact"/>
              <w:rPr>
                <w:sz w:val="18"/>
                <w:lang w:val="fr-FR"/>
              </w:rPr>
            </w:pPr>
            <w:r w:rsidRPr="003E6D19">
              <w:rPr>
                <w:sz w:val="18"/>
                <w:lang w:val="fr-FR"/>
              </w:rPr>
              <w:t>2017</w:t>
            </w:r>
          </w:p>
        </w:tc>
        <w:tc>
          <w:tcPr>
            <w:tcW w:w="3102" w:type="dxa"/>
            <w:tcBorders>
              <w:bottom w:val="single" w:sz="12" w:space="0" w:color="auto"/>
            </w:tcBorders>
            <w:shd w:val="clear" w:color="auto" w:fill="auto"/>
            <w:vAlign w:val="bottom"/>
          </w:tcPr>
          <w:p w14:paraId="4BC78E9D"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26</w:t>
            </w:r>
          </w:p>
        </w:tc>
        <w:tc>
          <w:tcPr>
            <w:tcW w:w="1983" w:type="dxa"/>
            <w:tcBorders>
              <w:bottom w:val="single" w:sz="12" w:space="0" w:color="auto"/>
            </w:tcBorders>
            <w:shd w:val="clear" w:color="auto" w:fill="auto"/>
            <w:vAlign w:val="bottom"/>
          </w:tcPr>
          <w:p w14:paraId="41B70D34" w14:textId="77777777" w:rsidR="00D005FA" w:rsidRPr="003E6D19" w:rsidRDefault="00D005FA" w:rsidP="003E6D19">
            <w:pPr>
              <w:suppressAutoHyphens w:val="0"/>
              <w:spacing w:before="40" w:after="40" w:line="220" w:lineRule="exact"/>
              <w:jc w:val="right"/>
              <w:rPr>
                <w:sz w:val="18"/>
                <w:lang w:val="fr-FR"/>
              </w:rPr>
            </w:pPr>
            <w:r w:rsidRPr="003E6D19">
              <w:rPr>
                <w:sz w:val="18"/>
                <w:lang w:val="fr-FR"/>
              </w:rPr>
              <w:t>21</w:t>
            </w:r>
          </w:p>
        </w:tc>
      </w:tr>
    </w:tbl>
    <w:p w14:paraId="71D7062A" w14:textId="35CA6363" w:rsidR="00D005FA" w:rsidRPr="00310D49" w:rsidRDefault="00D005FA" w:rsidP="00A10A5D">
      <w:pPr>
        <w:pStyle w:val="SingleTxtG"/>
        <w:spacing w:before="120"/>
        <w:rPr>
          <w:lang w:val="fr-FR"/>
        </w:rPr>
      </w:pPr>
      <w:r w:rsidRPr="00310D49">
        <w:rPr>
          <w:lang w:val="fr-FR"/>
        </w:rPr>
        <w:t>75.</w:t>
      </w:r>
      <w:r w:rsidRPr="00310D49">
        <w:rPr>
          <w:lang w:val="fr-FR"/>
        </w:rPr>
        <w:tab/>
        <w:t>En ce qui concerne les conseils d</w:t>
      </w:r>
      <w:r w:rsidR="0035332C">
        <w:rPr>
          <w:lang w:val="fr-FR"/>
        </w:rPr>
        <w:t>’</w:t>
      </w:r>
      <w:r w:rsidRPr="00310D49">
        <w:rPr>
          <w:lang w:val="fr-FR"/>
        </w:rPr>
        <w:t>étudiants et malgré l</w:t>
      </w:r>
      <w:r w:rsidR="0035332C">
        <w:rPr>
          <w:lang w:val="fr-FR"/>
        </w:rPr>
        <w:t>’</w:t>
      </w:r>
      <w:r w:rsidRPr="00310D49">
        <w:rPr>
          <w:lang w:val="fr-FR"/>
        </w:rPr>
        <w:t>augmentation de la proportion d</w:t>
      </w:r>
      <w:r w:rsidR="0035332C">
        <w:rPr>
          <w:lang w:val="fr-FR"/>
        </w:rPr>
        <w:t>’</w:t>
      </w:r>
      <w:r w:rsidRPr="00310D49">
        <w:rPr>
          <w:lang w:val="fr-FR"/>
        </w:rPr>
        <w:t>étudiantes parmi l</w:t>
      </w:r>
      <w:r w:rsidR="0035332C">
        <w:rPr>
          <w:lang w:val="fr-FR"/>
        </w:rPr>
        <w:t>’</w:t>
      </w:r>
      <w:r w:rsidRPr="00310D49">
        <w:rPr>
          <w:lang w:val="fr-FR"/>
        </w:rPr>
        <w:t>ensemble des étudiants des universités et instituts, la culture sociale dominante demeure un obstacle majeur à la participation des femmes. En effet, les membres des conseils d</w:t>
      </w:r>
      <w:r w:rsidR="0035332C">
        <w:rPr>
          <w:lang w:val="fr-FR"/>
        </w:rPr>
        <w:t>’</w:t>
      </w:r>
      <w:r w:rsidRPr="00310D49">
        <w:rPr>
          <w:lang w:val="fr-FR"/>
        </w:rPr>
        <w:t>étudiants par sexe dans les universités et instituts palestiniens se répartissaient comme suit</w:t>
      </w:r>
      <w:r w:rsidR="00B02693">
        <w:rPr>
          <w:lang w:val="fr-FR"/>
        </w:rPr>
        <w:t> </w:t>
      </w:r>
      <w:r w:rsidRPr="00310D49">
        <w:rPr>
          <w:lang w:val="fr-FR"/>
        </w:rPr>
        <w:t>: pour la Cisjordanie, 23,2</w:t>
      </w:r>
      <w:r w:rsidR="00B02693">
        <w:rPr>
          <w:lang w:val="fr-FR"/>
        </w:rPr>
        <w:t> </w:t>
      </w:r>
      <w:r w:rsidRPr="00310D49">
        <w:rPr>
          <w:lang w:val="fr-FR"/>
        </w:rPr>
        <w:t>% d</w:t>
      </w:r>
      <w:r w:rsidR="0035332C">
        <w:rPr>
          <w:lang w:val="fr-FR"/>
        </w:rPr>
        <w:t>’</w:t>
      </w:r>
      <w:r w:rsidRPr="00310D49">
        <w:rPr>
          <w:lang w:val="fr-FR"/>
        </w:rPr>
        <w:t>étudiantes contre 76,8</w:t>
      </w:r>
      <w:r w:rsidR="00B02693">
        <w:rPr>
          <w:lang w:val="fr-FR"/>
        </w:rPr>
        <w:t> </w:t>
      </w:r>
      <w:r w:rsidRPr="00310D49">
        <w:rPr>
          <w:lang w:val="fr-FR"/>
        </w:rPr>
        <w:t>% d</w:t>
      </w:r>
      <w:r w:rsidR="0035332C">
        <w:rPr>
          <w:lang w:val="fr-FR"/>
        </w:rPr>
        <w:t>’</w:t>
      </w:r>
      <w:r w:rsidRPr="00310D49">
        <w:rPr>
          <w:lang w:val="fr-FR"/>
        </w:rPr>
        <w:t>étudiants en 2015 et 12,4</w:t>
      </w:r>
      <w:r w:rsidR="00B02693">
        <w:rPr>
          <w:lang w:val="fr-FR"/>
        </w:rPr>
        <w:t> </w:t>
      </w:r>
      <w:r w:rsidRPr="00310D49">
        <w:rPr>
          <w:lang w:val="fr-FR"/>
        </w:rPr>
        <w:t>% d</w:t>
      </w:r>
      <w:r w:rsidR="0035332C">
        <w:rPr>
          <w:lang w:val="fr-FR"/>
        </w:rPr>
        <w:t>’</w:t>
      </w:r>
      <w:r w:rsidRPr="00310D49">
        <w:rPr>
          <w:lang w:val="fr-FR"/>
        </w:rPr>
        <w:t>étudiantes contre 87,6</w:t>
      </w:r>
      <w:r w:rsidR="00B02693">
        <w:rPr>
          <w:lang w:val="fr-FR"/>
        </w:rPr>
        <w:t> </w:t>
      </w:r>
      <w:r w:rsidRPr="00310D49">
        <w:rPr>
          <w:lang w:val="fr-FR"/>
        </w:rPr>
        <w:t>% d</w:t>
      </w:r>
      <w:r w:rsidR="0035332C">
        <w:rPr>
          <w:lang w:val="fr-FR"/>
        </w:rPr>
        <w:t>’</w:t>
      </w:r>
      <w:r w:rsidRPr="00310D49">
        <w:rPr>
          <w:lang w:val="fr-FR"/>
        </w:rPr>
        <w:t>étudiants en 2016. Par ailleurs, les conseils d</w:t>
      </w:r>
      <w:r w:rsidR="0035332C">
        <w:rPr>
          <w:lang w:val="fr-FR"/>
        </w:rPr>
        <w:t>’</w:t>
      </w:r>
      <w:r w:rsidRPr="00310D49">
        <w:rPr>
          <w:lang w:val="fr-FR"/>
        </w:rPr>
        <w:t>étudiants sont inexistants dans les universités de Gaza, exception faite de l</w:t>
      </w:r>
      <w:r w:rsidR="0035332C">
        <w:rPr>
          <w:lang w:val="fr-FR"/>
        </w:rPr>
        <w:t>’</w:t>
      </w:r>
      <w:r w:rsidRPr="00310D49">
        <w:rPr>
          <w:lang w:val="fr-FR"/>
        </w:rPr>
        <w:t>Université islamique, qui compte deux conseils, l</w:t>
      </w:r>
      <w:r w:rsidR="0035332C">
        <w:rPr>
          <w:lang w:val="fr-FR"/>
        </w:rPr>
        <w:t>’</w:t>
      </w:r>
      <w:r w:rsidRPr="00310D49">
        <w:rPr>
          <w:lang w:val="fr-FR"/>
        </w:rPr>
        <w:t xml:space="preserve">un pour les hommes, qui est composé de 11 membres masculins, et le second pour </w:t>
      </w:r>
      <w:r w:rsidRPr="0026633B">
        <w:rPr>
          <w:lang w:val="fr-FR"/>
        </w:rPr>
        <w:t>les femmes</w:t>
      </w:r>
      <w:r w:rsidRPr="00310D49">
        <w:rPr>
          <w:lang w:val="fr-FR"/>
        </w:rPr>
        <w:t>, qui se compose de 11 membres féminins.</w:t>
      </w:r>
    </w:p>
    <w:p w14:paraId="61146A66" w14:textId="77777777" w:rsidR="00D005FA" w:rsidRPr="00310D49" w:rsidRDefault="00D005FA" w:rsidP="00A10A5D">
      <w:pPr>
        <w:pStyle w:val="SingleTxtG"/>
        <w:rPr>
          <w:lang w:val="fr-FR"/>
        </w:rPr>
      </w:pPr>
      <w:r w:rsidRPr="00310D49">
        <w:rPr>
          <w:lang w:val="fr-FR"/>
        </w:rPr>
        <w:t>76.</w:t>
      </w:r>
      <w:r w:rsidRPr="00310D49">
        <w:rPr>
          <w:lang w:val="fr-FR"/>
        </w:rPr>
        <w:tab/>
        <w:t>Trois femmes ont occupé le poste de ministre dans le dix-huitième gouvernement, et des femmes occupent des postes de direction tels que le chef du Bureau central palestinien de statistique, le chef du Bureau des avis juridiques et de la législation et la fonction de Gouverneur de Ramallah et Al-Bireh.</w:t>
      </w:r>
    </w:p>
    <w:p w14:paraId="6742AFAE" w14:textId="148C1A80" w:rsidR="00D005FA" w:rsidRPr="00310D49" w:rsidRDefault="00D005FA" w:rsidP="00A10A5D">
      <w:pPr>
        <w:pStyle w:val="SingleTxtG"/>
        <w:rPr>
          <w:lang w:val="fr-FR"/>
        </w:rPr>
      </w:pPr>
      <w:r w:rsidRPr="00310D49">
        <w:rPr>
          <w:lang w:val="fr-FR"/>
        </w:rPr>
        <w:t>77.</w:t>
      </w:r>
      <w:r w:rsidRPr="00310D49">
        <w:rPr>
          <w:lang w:val="fr-FR"/>
        </w:rPr>
        <w:tab/>
        <w:t>Des mesures sont prises pour augmenter progressivement le nombre de femmes juges. Il y a actuellement quatre femmes juges charaïques et deux femmes fonctionnaires habilitées à célébrer les mariages. Le tableau ci-après montre la répartition des juges ordinaires dans l</w:t>
      </w:r>
      <w:r w:rsidR="0035332C">
        <w:rPr>
          <w:lang w:val="fr-FR"/>
        </w:rPr>
        <w:t>’</w:t>
      </w:r>
      <w:r w:rsidRPr="00310D49">
        <w:rPr>
          <w:lang w:val="fr-FR"/>
        </w:rPr>
        <w:t>État de Palestine en 2018, en fonction du sexe.</w:t>
      </w:r>
    </w:p>
    <w:tbl>
      <w:tblPr>
        <w:tblW w:w="7370" w:type="dxa"/>
        <w:tblInd w:w="1134" w:type="dxa"/>
        <w:tblLayout w:type="fixed"/>
        <w:tblCellMar>
          <w:left w:w="0" w:type="dxa"/>
          <w:right w:w="0" w:type="dxa"/>
        </w:tblCellMar>
        <w:tblLook w:val="04A0" w:firstRow="1" w:lastRow="0" w:firstColumn="1" w:lastColumn="0" w:noHBand="0" w:noVBand="1"/>
      </w:tblPr>
      <w:tblGrid>
        <w:gridCol w:w="2666"/>
        <w:gridCol w:w="927"/>
        <w:gridCol w:w="713"/>
        <w:gridCol w:w="712"/>
        <w:gridCol w:w="652"/>
        <w:gridCol w:w="852"/>
        <w:gridCol w:w="848"/>
      </w:tblGrid>
      <w:tr w:rsidR="003E6D19" w:rsidRPr="003E6D19" w14:paraId="59526B9C" w14:textId="77777777" w:rsidTr="003E6D19">
        <w:trPr>
          <w:tblHeader/>
        </w:trPr>
        <w:tc>
          <w:tcPr>
            <w:tcW w:w="2666" w:type="dxa"/>
            <w:vMerge w:val="restart"/>
            <w:tcBorders>
              <w:top w:val="single" w:sz="4" w:space="0" w:color="auto"/>
              <w:bottom w:val="single" w:sz="12" w:space="0" w:color="auto"/>
            </w:tcBorders>
            <w:shd w:val="clear" w:color="auto" w:fill="auto"/>
            <w:noWrap/>
            <w:vAlign w:val="bottom"/>
            <w:hideMark/>
          </w:tcPr>
          <w:p w14:paraId="045AA43F" w14:textId="77777777" w:rsidR="00D005FA" w:rsidRPr="003E6D19" w:rsidRDefault="00D005FA" w:rsidP="003E6D19">
            <w:pPr>
              <w:suppressAutoHyphens w:val="0"/>
              <w:spacing w:before="80" w:after="80" w:line="200" w:lineRule="exact"/>
              <w:rPr>
                <w:rFonts w:eastAsia="Times New Roman"/>
                <w:i/>
                <w:sz w:val="16"/>
                <w:lang w:val="fr-FR"/>
              </w:rPr>
            </w:pPr>
            <w:r w:rsidRPr="003E6D19">
              <w:rPr>
                <w:i/>
                <w:sz w:val="16"/>
                <w:lang w:val="fr-FR"/>
              </w:rPr>
              <w:t>Type de juridiction</w:t>
            </w:r>
          </w:p>
        </w:tc>
        <w:tc>
          <w:tcPr>
            <w:tcW w:w="1640" w:type="dxa"/>
            <w:gridSpan w:val="2"/>
            <w:tcBorders>
              <w:top w:val="single" w:sz="4" w:space="0" w:color="auto"/>
              <w:bottom w:val="single" w:sz="4" w:space="0" w:color="auto"/>
            </w:tcBorders>
            <w:shd w:val="clear" w:color="auto" w:fill="auto"/>
            <w:noWrap/>
            <w:vAlign w:val="bottom"/>
            <w:hideMark/>
          </w:tcPr>
          <w:p w14:paraId="245BA5EF" w14:textId="77777777" w:rsidR="00D005FA" w:rsidRPr="003E6D19" w:rsidRDefault="00D005FA" w:rsidP="003E6D19">
            <w:pPr>
              <w:suppressAutoHyphens w:val="0"/>
              <w:spacing w:before="80" w:after="80" w:line="200" w:lineRule="exact"/>
              <w:jc w:val="center"/>
              <w:rPr>
                <w:rFonts w:eastAsia="Times New Roman"/>
                <w:i/>
                <w:sz w:val="16"/>
                <w:lang w:val="fr-FR"/>
              </w:rPr>
            </w:pPr>
            <w:r w:rsidRPr="003E6D19">
              <w:rPr>
                <w:i/>
                <w:sz w:val="16"/>
                <w:lang w:val="fr-FR"/>
              </w:rPr>
              <w:t>Cisjordanie</w:t>
            </w:r>
          </w:p>
        </w:tc>
        <w:tc>
          <w:tcPr>
            <w:tcW w:w="1364" w:type="dxa"/>
            <w:gridSpan w:val="2"/>
            <w:tcBorders>
              <w:top w:val="single" w:sz="4" w:space="0" w:color="auto"/>
              <w:bottom w:val="single" w:sz="4" w:space="0" w:color="auto"/>
            </w:tcBorders>
            <w:shd w:val="clear" w:color="auto" w:fill="auto"/>
            <w:noWrap/>
            <w:vAlign w:val="bottom"/>
            <w:hideMark/>
          </w:tcPr>
          <w:p w14:paraId="6AF97945" w14:textId="77777777" w:rsidR="00D005FA" w:rsidRPr="003E6D19" w:rsidRDefault="00D005FA" w:rsidP="003E6D19">
            <w:pPr>
              <w:suppressAutoHyphens w:val="0"/>
              <w:spacing w:before="80" w:after="80" w:line="200" w:lineRule="exact"/>
              <w:jc w:val="center"/>
              <w:rPr>
                <w:rFonts w:eastAsia="Times New Roman"/>
                <w:i/>
                <w:sz w:val="16"/>
                <w:lang w:val="fr-FR"/>
              </w:rPr>
            </w:pPr>
            <w:r w:rsidRPr="003E6D19">
              <w:rPr>
                <w:i/>
                <w:sz w:val="16"/>
                <w:lang w:val="fr-FR"/>
              </w:rPr>
              <w:t>Bande de Gaza</w:t>
            </w:r>
          </w:p>
        </w:tc>
        <w:tc>
          <w:tcPr>
            <w:tcW w:w="1700" w:type="dxa"/>
            <w:gridSpan w:val="2"/>
            <w:tcBorders>
              <w:top w:val="single" w:sz="4" w:space="0" w:color="auto"/>
              <w:bottom w:val="single" w:sz="4" w:space="0" w:color="auto"/>
            </w:tcBorders>
            <w:shd w:val="clear" w:color="auto" w:fill="auto"/>
            <w:noWrap/>
            <w:vAlign w:val="bottom"/>
            <w:hideMark/>
          </w:tcPr>
          <w:p w14:paraId="7FAE35C9" w14:textId="77777777" w:rsidR="00D005FA" w:rsidRPr="003E6D19" w:rsidRDefault="00D005FA" w:rsidP="003E6D19">
            <w:pPr>
              <w:suppressAutoHyphens w:val="0"/>
              <w:spacing w:before="80" w:after="80" w:line="200" w:lineRule="exact"/>
              <w:jc w:val="center"/>
              <w:rPr>
                <w:rFonts w:eastAsia="Times New Roman"/>
                <w:i/>
                <w:sz w:val="16"/>
                <w:lang w:val="fr-FR"/>
              </w:rPr>
            </w:pPr>
            <w:r w:rsidRPr="003E6D19">
              <w:rPr>
                <w:i/>
                <w:sz w:val="16"/>
                <w:lang w:val="fr-FR"/>
              </w:rPr>
              <w:t>Palestine</w:t>
            </w:r>
          </w:p>
        </w:tc>
      </w:tr>
      <w:tr w:rsidR="003E6D19" w:rsidRPr="003E6D19" w14:paraId="39183E35" w14:textId="77777777" w:rsidTr="003E6D19">
        <w:trPr>
          <w:tblHeader/>
        </w:trPr>
        <w:tc>
          <w:tcPr>
            <w:tcW w:w="2666" w:type="dxa"/>
            <w:vMerge/>
            <w:tcBorders>
              <w:top w:val="single" w:sz="12" w:space="0" w:color="auto"/>
              <w:bottom w:val="single" w:sz="12" w:space="0" w:color="auto"/>
            </w:tcBorders>
            <w:shd w:val="clear" w:color="auto" w:fill="auto"/>
            <w:vAlign w:val="bottom"/>
            <w:hideMark/>
          </w:tcPr>
          <w:p w14:paraId="49F728CC" w14:textId="77777777" w:rsidR="00D005FA" w:rsidRPr="003E6D19" w:rsidRDefault="00D005FA" w:rsidP="003E6D19">
            <w:pPr>
              <w:suppressAutoHyphens w:val="0"/>
              <w:spacing w:before="40" w:after="40" w:line="220" w:lineRule="exact"/>
              <w:rPr>
                <w:rFonts w:eastAsia="Times New Roman"/>
                <w:sz w:val="18"/>
                <w:rtl/>
                <w:lang w:val="fr-FR"/>
              </w:rPr>
            </w:pPr>
          </w:p>
        </w:tc>
        <w:tc>
          <w:tcPr>
            <w:tcW w:w="927" w:type="dxa"/>
            <w:tcBorders>
              <w:top w:val="single" w:sz="4" w:space="0" w:color="auto"/>
              <w:bottom w:val="single" w:sz="12" w:space="0" w:color="auto"/>
            </w:tcBorders>
            <w:shd w:val="clear" w:color="auto" w:fill="auto"/>
            <w:noWrap/>
            <w:vAlign w:val="bottom"/>
            <w:hideMark/>
          </w:tcPr>
          <w:p w14:paraId="29E4EDE2"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hommes</w:t>
            </w:r>
          </w:p>
        </w:tc>
        <w:tc>
          <w:tcPr>
            <w:tcW w:w="713" w:type="dxa"/>
            <w:tcBorders>
              <w:top w:val="single" w:sz="4" w:space="0" w:color="auto"/>
              <w:bottom w:val="single" w:sz="12" w:space="0" w:color="auto"/>
            </w:tcBorders>
            <w:shd w:val="clear" w:color="auto" w:fill="auto"/>
            <w:noWrap/>
            <w:vAlign w:val="bottom"/>
            <w:hideMark/>
          </w:tcPr>
          <w:p w14:paraId="4E86AD6D"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femmes</w:t>
            </w:r>
          </w:p>
        </w:tc>
        <w:tc>
          <w:tcPr>
            <w:tcW w:w="712" w:type="dxa"/>
            <w:tcBorders>
              <w:top w:val="single" w:sz="4" w:space="0" w:color="auto"/>
              <w:bottom w:val="single" w:sz="12" w:space="0" w:color="auto"/>
            </w:tcBorders>
            <w:shd w:val="clear" w:color="auto" w:fill="auto"/>
            <w:noWrap/>
            <w:vAlign w:val="bottom"/>
            <w:hideMark/>
          </w:tcPr>
          <w:p w14:paraId="1FB7FC86"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hommes</w:t>
            </w:r>
          </w:p>
        </w:tc>
        <w:tc>
          <w:tcPr>
            <w:tcW w:w="652" w:type="dxa"/>
            <w:tcBorders>
              <w:top w:val="single" w:sz="4" w:space="0" w:color="auto"/>
              <w:bottom w:val="single" w:sz="12" w:space="0" w:color="auto"/>
            </w:tcBorders>
            <w:shd w:val="clear" w:color="auto" w:fill="auto"/>
            <w:noWrap/>
            <w:vAlign w:val="bottom"/>
            <w:hideMark/>
          </w:tcPr>
          <w:p w14:paraId="705F76EB"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femmes</w:t>
            </w:r>
          </w:p>
        </w:tc>
        <w:tc>
          <w:tcPr>
            <w:tcW w:w="852" w:type="dxa"/>
            <w:tcBorders>
              <w:top w:val="single" w:sz="4" w:space="0" w:color="auto"/>
              <w:bottom w:val="single" w:sz="12" w:space="0" w:color="auto"/>
            </w:tcBorders>
            <w:shd w:val="clear" w:color="auto" w:fill="auto"/>
            <w:noWrap/>
            <w:vAlign w:val="bottom"/>
            <w:hideMark/>
          </w:tcPr>
          <w:p w14:paraId="19621833"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hommes</w:t>
            </w:r>
          </w:p>
        </w:tc>
        <w:tc>
          <w:tcPr>
            <w:tcW w:w="848" w:type="dxa"/>
            <w:tcBorders>
              <w:top w:val="single" w:sz="4" w:space="0" w:color="auto"/>
              <w:bottom w:val="single" w:sz="12" w:space="0" w:color="auto"/>
            </w:tcBorders>
            <w:shd w:val="clear" w:color="auto" w:fill="auto"/>
            <w:noWrap/>
            <w:vAlign w:val="bottom"/>
            <w:hideMark/>
          </w:tcPr>
          <w:p w14:paraId="634715B2" w14:textId="77777777" w:rsidR="00D005FA" w:rsidRPr="003E6D19" w:rsidRDefault="00D005FA" w:rsidP="003E6D19">
            <w:pPr>
              <w:suppressAutoHyphens w:val="0"/>
              <w:spacing w:before="40" w:after="40" w:line="220" w:lineRule="exact"/>
              <w:jc w:val="right"/>
              <w:rPr>
                <w:rFonts w:eastAsia="Times New Roman"/>
                <w:sz w:val="18"/>
                <w:lang w:val="fr-FR"/>
              </w:rPr>
            </w:pPr>
            <w:r w:rsidRPr="003E6D19">
              <w:rPr>
                <w:sz w:val="18"/>
                <w:lang w:val="fr-FR"/>
              </w:rPr>
              <w:t>Juges femmes</w:t>
            </w:r>
          </w:p>
        </w:tc>
      </w:tr>
      <w:tr w:rsidR="003E6D19" w:rsidRPr="003E6D19" w14:paraId="5CE19F8B" w14:textId="77777777" w:rsidTr="003E6D19">
        <w:tc>
          <w:tcPr>
            <w:tcW w:w="2666" w:type="dxa"/>
            <w:tcBorders>
              <w:top w:val="single" w:sz="12" w:space="0" w:color="auto"/>
            </w:tcBorders>
            <w:shd w:val="clear" w:color="auto" w:fill="auto"/>
            <w:noWrap/>
            <w:hideMark/>
          </w:tcPr>
          <w:p w14:paraId="72174A59" w14:textId="77777777"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Chancelier de justice/Président de Haute Cour</w:t>
            </w:r>
          </w:p>
        </w:tc>
        <w:tc>
          <w:tcPr>
            <w:tcW w:w="927" w:type="dxa"/>
            <w:tcBorders>
              <w:top w:val="single" w:sz="12" w:space="0" w:color="auto"/>
            </w:tcBorders>
            <w:shd w:val="clear" w:color="auto" w:fill="auto"/>
            <w:noWrap/>
            <w:vAlign w:val="bottom"/>
          </w:tcPr>
          <w:p w14:paraId="028C2309"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c>
          <w:tcPr>
            <w:tcW w:w="713" w:type="dxa"/>
            <w:tcBorders>
              <w:top w:val="single" w:sz="12" w:space="0" w:color="auto"/>
            </w:tcBorders>
            <w:shd w:val="clear" w:color="auto" w:fill="auto"/>
            <w:noWrap/>
            <w:vAlign w:val="bottom"/>
          </w:tcPr>
          <w:p w14:paraId="5528B68F"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712" w:type="dxa"/>
            <w:tcBorders>
              <w:top w:val="single" w:sz="12" w:space="0" w:color="auto"/>
            </w:tcBorders>
            <w:shd w:val="clear" w:color="auto" w:fill="auto"/>
            <w:noWrap/>
            <w:vAlign w:val="bottom"/>
          </w:tcPr>
          <w:p w14:paraId="15F05ED3"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652" w:type="dxa"/>
            <w:tcBorders>
              <w:top w:val="single" w:sz="12" w:space="0" w:color="auto"/>
            </w:tcBorders>
            <w:shd w:val="clear" w:color="auto" w:fill="auto"/>
            <w:noWrap/>
            <w:vAlign w:val="bottom"/>
          </w:tcPr>
          <w:p w14:paraId="41728B16"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852" w:type="dxa"/>
            <w:tcBorders>
              <w:top w:val="single" w:sz="12" w:space="0" w:color="auto"/>
            </w:tcBorders>
            <w:shd w:val="clear" w:color="auto" w:fill="auto"/>
            <w:noWrap/>
            <w:vAlign w:val="bottom"/>
          </w:tcPr>
          <w:p w14:paraId="624E9AF0"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c>
          <w:tcPr>
            <w:tcW w:w="848" w:type="dxa"/>
            <w:tcBorders>
              <w:top w:val="single" w:sz="12" w:space="0" w:color="auto"/>
            </w:tcBorders>
            <w:shd w:val="clear" w:color="auto" w:fill="auto"/>
            <w:noWrap/>
            <w:vAlign w:val="bottom"/>
          </w:tcPr>
          <w:p w14:paraId="7C9AE21E"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r>
      <w:tr w:rsidR="003E6D19" w:rsidRPr="003E6D19" w14:paraId="0B68DD64" w14:textId="77777777" w:rsidTr="003E6D19">
        <w:tc>
          <w:tcPr>
            <w:tcW w:w="2666" w:type="dxa"/>
            <w:shd w:val="clear" w:color="auto" w:fill="auto"/>
            <w:noWrap/>
            <w:hideMark/>
          </w:tcPr>
          <w:p w14:paraId="56B28112" w14:textId="77777777"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Haute Cour</w:t>
            </w:r>
          </w:p>
        </w:tc>
        <w:tc>
          <w:tcPr>
            <w:tcW w:w="927" w:type="dxa"/>
            <w:shd w:val="clear" w:color="auto" w:fill="auto"/>
            <w:noWrap/>
            <w:vAlign w:val="bottom"/>
          </w:tcPr>
          <w:p w14:paraId="190E66C2"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25</w:t>
            </w:r>
          </w:p>
        </w:tc>
        <w:tc>
          <w:tcPr>
            <w:tcW w:w="713" w:type="dxa"/>
            <w:shd w:val="clear" w:color="auto" w:fill="auto"/>
            <w:noWrap/>
            <w:vAlign w:val="bottom"/>
          </w:tcPr>
          <w:p w14:paraId="5888E46F"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3</w:t>
            </w:r>
          </w:p>
        </w:tc>
        <w:tc>
          <w:tcPr>
            <w:tcW w:w="712" w:type="dxa"/>
            <w:shd w:val="clear" w:color="auto" w:fill="auto"/>
            <w:noWrap/>
            <w:vAlign w:val="bottom"/>
          </w:tcPr>
          <w:p w14:paraId="16B06CDD"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5</w:t>
            </w:r>
          </w:p>
        </w:tc>
        <w:tc>
          <w:tcPr>
            <w:tcW w:w="652" w:type="dxa"/>
            <w:shd w:val="clear" w:color="auto" w:fill="auto"/>
            <w:noWrap/>
            <w:vAlign w:val="bottom"/>
          </w:tcPr>
          <w:p w14:paraId="094D1B67"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c>
          <w:tcPr>
            <w:tcW w:w="852" w:type="dxa"/>
            <w:shd w:val="clear" w:color="auto" w:fill="auto"/>
            <w:noWrap/>
            <w:vAlign w:val="bottom"/>
          </w:tcPr>
          <w:p w14:paraId="6E20EBF9"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30</w:t>
            </w:r>
          </w:p>
        </w:tc>
        <w:tc>
          <w:tcPr>
            <w:tcW w:w="848" w:type="dxa"/>
            <w:shd w:val="clear" w:color="auto" w:fill="auto"/>
            <w:noWrap/>
            <w:vAlign w:val="bottom"/>
          </w:tcPr>
          <w:p w14:paraId="00099A16"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4</w:t>
            </w:r>
          </w:p>
        </w:tc>
      </w:tr>
      <w:tr w:rsidR="003E6D19" w:rsidRPr="003E6D19" w14:paraId="6DAB8A7F" w14:textId="77777777" w:rsidTr="003E6D19">
        <w:tc>
          <w:tcPr>
            <w:tcW w:w="2666" w:type="dxa"/>
            <w:shd w:val="clear" w:color="auto" w:fill="auto"/>
            <w:noWrap/>
            <w:hideMark/>
          </w:tcPr>
          <w:p w14:paraId="5101FCED" w14:textId="2C2823E9"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Cour d</w:t>
            </w:r>
            <w:r w:rsidR="0035332C">
              <w:rPr>
                <w:sz w:val="18"/>
                <w:lang w:val="fr-FR"/>
              </w:rPr>
              <w:t>’</w:t>
            </w:r>
            <w:r w:rsidRPr="003E6D19">
              <w:rPr>
                <w:sz w:val="18"/>
                <w:lang w:val="fr-FR"/>
              </w:rPr>
              <w:t>appel</w:t>
            </w:r>
          </w:p>
        </w:tc>
        <w:tc>
          <w:tcPr>
            <w:tcW w:w="927" w:type="dxa"/>
            <w:shd w:val="clear" w:color="auto" w:fill="auto"/>
            <w:noWrap/>
            <w:vAlign w:val="bottom"/>
          </w:tcPr>
          <w:p w14:paraId="5450EF0D"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23</w:t>
            </w:r>
          </w:p>
        </w:tc>
        <w:tc>
          <w:tcPr>
            <w:tcW w:w="713" w:type="dxa"/>
            <w:shd w:val="clear" w:color="auto" w:fill="auto"/>
            <w:noWrap/>
            <w:vAlign w:val="bottom"/>
          </w:tcPr>
          <w:p w14:paraId="3FEF9D04"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5</w:t>
            </w:r>
          </w:p>
        </w:tc>
        <w:tc>
          <w:tcPr>
            <w:tcW w:w="712" w:type="dxa"/>
            <w:shd w:val="clear" w:color="auto" w:fill="auto"/>
            <w:noWrap/>
            <w:vAlign w:val="bottom"/>
          </w:tcPr>
          <w:p w14:paraId="66676D61"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10</w:t>
            </w:r>
          </w:p>
        </w:tc>
        <w:tc>
          <w:tcPr>
            <w:tcW w:w="652" w:type="dxa"/>
            <w:shd w:val="clear" w:color="auto" w:fill="auto"/>
            <w:noWrap/>
            <w:vAlign w:val="bottom"/>
          </w:tcPr>
          <w:p w14:paraId="28DC14A8"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852" w:type="dxa"/>
            <w:shd w:val="clear" w:color="auto" w:fill="auto"/>
            <w:noWrap/>
            <w:vAlign w:val="bottom"/>
          </w:tcPr>
          <w:p w14:paraId="1E113285"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33</w:t>
            </w:r>
          </w:p>
        </w:tc>
        <w:tc>
          <w:tcPr>
            <w:tcW w:w="848" w:type="dxa"/>
            <w:shd w:val="clear" w:color="auto" w:fill="auto"/>
            <w:noWrap/>
            <w:vAlign w:val="bottom"/>
          </w:tcPr>
          <w:p w14:paraId="14CBE8B8"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5</w:t>
            </w:r>
          </w:p>
        </w:tc>
      </w:tr>
      <w:tr w:rsidR="003E6D19" w:rsidRPr="003E6D19" w14:paraId="21AC288E" w14:textId="77777777" w:rsidTr="003E6D19">
        <w:tc>
          <w:tcPr>
            <w:tcW w:w="2666" w:type="dxa"/>
            <w:shd w:val="clear" w:color="auto" w:fill="auto"/>
            <w:noWrap/>
            <w:hideMark/>
          </w:tcPr>
          <w:p w14:paraId="68ED180E" w14:textId="77777777"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Tribunal de première instance</w:t>
            </w:r>
          </w:p>
        </w:tc>
        <w:tc>
          <w:tcPr>
            <w:tcW w:w="927" w:type="dxa"/>
            <w:shd w:val="clear" w:color="auto" w:fill="auto"/>
            <w:noWrap/>
            <w:vAlign w:val="bottom"/>
          </w:tcPr>
          <w:p w14:paraId="6AC0BCE8"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64</w:t>
            </w:r>
          </w:p>
        </w:tc>
        <w:tc>
          <w:tcPr>
            <w:tcW w:w="713" w:type="dxa"/>
            <w:shd w:val="clear" w:color="auto" w:fill="auto"/>
            <w:noWrap/>
            <w:vAlign w:val="bottom"/>
          </w:tcPr>
          <w:p w14:paraId="7F1BF8BA"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9</w:t>
            </w:r>
          </w:p>
        </w:tc>
        <w:tc>
          <w:tcPr>
            <w:tcW w:w="712" w:type="dxa"/>
            <w:shd w:val="clear" w:color="auto" w:fill="auto"/>
            <w:noWrap/>
            <w:vAlign w:val="bottom"/>
          </w:tcPr>
          <w:p w14:paraId="6F21FFB6"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8</w:t>
            </w:r>
          </w:p>
        </w:tc>
        <w:tc>
          <w:tcPr>
            <w:tcW w:w="652" w:type="dxa"/>
            <w:shd w:val="clear" w:color="auto" w:fill="auto"/>
            <w:noWrap/>
            <w:vAlign w:val="bottom"/>
          </w:tcPr>
          <w:p w14:paraId="065BEAF9"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c>
          <w:tcPr>
            <w:tcW w:w="852" w:type="dxa"/>
            <w:shd w:val="clear" w:color="auto" w:fill="auto"/>
            <w:noWrap/>
            <w:vAlign w:val="bottom"/>
          </w:tcPr>
          <w:p w14:paraId="0F51FDB2"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72</w:t>
            </w:r>
          </w:p>
        </w:tc>
        <w:tc>
          <w:tcPr>
            <w:tcW w:w="848" w:type="dxa"/>
            <w:shd w:val="clear" w:color="auto" w:fill="auto"/>
            <w:noWrap/>
            <w:vAlign w:val="bottom"/>
          </w:tcPr>
          <w:p w14:paraId="577E41B9"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10</w:t>
            </w:r>
          </w:p>
        </w:tc>
      </w:tr>
      <w:tr w:rsidR="003E6D19" w:rsidRPr="003E6D19" w14:paraId="644E2BF8" w14:textId="77777777" w:rsidTr="003E6D19">
        <w:tc>
          <w:tcPr>
            <w:tcW w:w="2666" w:type="dxa"/>
            <w:shd w:val="clear" w:color="auto" w:fill="auto"/>
            <w:noWrap/>
            <w:hideMark/>
          </w:tcPr>
          <w:p w14:paraId="649C9AF6" w14:textId="77777777"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Tribunal anticorruption</w:t>
            </w:r>
          </w:p>
        </w:tc>
        <w:tc>
          <w:tcPr>
            <w:tcW w:w="927" w:type="dxa"/>
            <w:shd w:val="clear" w:color="auto" w:fill="auto"/>
            <w:noWrap/>
            <w:vAlign w:val="bottom"/>
          </w:tcPr>
          <w:p w14:paraId="66F1C53A"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w:t>
            </w:r>
          </w:p>
        </w:tc>
        <w:tc>
          <w:tcPr>
            <w:tcW w:w="713" w:type="dxa"/>
            <w:shd w:val="clear" w:color="auto" w:fill="auto"/>
            <w:noWrap/>
            <w:vAlign w:val="bottom"/>
          </w:tcPr>
          <w:p w14:paraId="6428378E"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c>
          <w:tcPr>
            <w:tcW w:w="712" w:type="dxa"/>
            <w:shd w:val="clear" w:color="auto" w:fill="auto"/>
            <w:noWrap/>
            <w:vAlign w:val="bottom"/>
          </w:tcPr>
          <w:p w14:paraId="75E83B98"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652" w:type="dxa"/>
            <w:shd w:val="clear" w:color="auto" w:fill="auto"/>
            <w:noWrap/>
            <w:vAlign w:val="bottom"/>
          </w:tcPr>
          <w:p w14:paraId="69431D78"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0</w:t>
            </w:r>
          </w:p>
        </w:tc>
        <w:tc>
          <w:tcPr>
            <w:tcW w:w="852" w:type="dxa"/>
            <w:shd w:val="clear" w:color="auto" w:fill="auto"/>
            <w:noWrap/>
            <w:vAlign w:val="bottom"/>
          </w:tcPr>
          <w:p w14:paraId="4ECE6A1F"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w:t>
            </w:r>
          </w:p>
        </w:tc>
        <w:tc>
          <w:tcPr>
            <w:tcW w:w="848" w:type="dxa"/>
            <w:shd w:val="clear" w:color="auto" w:fill="auto"/>
            <w:noWrap/>
            <w:vAlign w:val="bottom"/>
          </w:tcPr>
          <w:p w14:paraId="5FCA05D2"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w:t>
            </w:r>
          </w:p>
        </w:tc>
      </w:tr>
      <w:tr w:rsidR="003E6D19" w:rsidRPr="003E6D19" w14:paraId="6E5F4F0F" w14:textId="77777777" w:rsidTr="003E6D19">
        <w:tc>
          <w:tcPr>
            <w:tcW w:w="2666" w:type="dxa"/>
            <w:shd w:val="clear" w:color="auto" w:fill="auto"/>
            <w:noWrap/>
            <w:hideMark/>
          </w:tcPr>
          <w:p w14:paraId="25F9AB67" w14:textId="7BB2C3D0" w:rsidR="00D005FA" w:rsidRPr="003E6D19" w:rsidRDefault="00D005FA" w:rsidP="003E6D19">
            <w:pPr>
              <w:suppressAutoHyphens w:val="0"/>
              <w:spacing w:before="40" w:after="40" w:line="220" w:lineRule="exact"/>
              <w:rPr>
                <w:rFonts w:eastAsia="Times New Roman"/>
                <w:sz w:val="18"/>
                <w:lang w:val="fr-FR"/>
              </w:rPr>
            </w:pPr>
            <w:r w:rsidRPr="003E6D19">
              <w:rPr>
                <w:sz w:val="18"/>
                <w:lang w:val="fr-FR"/>
              </w:rPr>
              <w:t>Tribunal d</w:t>
            </w:r>
            <w:r w:rsidR="0035332C">
              <w:rPr>
                <w:sz w:val="18"/>
                <w:lang w:val="fr-FR"/>
              </w:rPr>
              <w:t>’</w:t>
            </w:r>
            <w:r w:rsidRPr="003E6D19">
              <w:rPr>
                <w:sz w:val="18"/>
                <w:lang w:val="fr-FR"/>
              </w:rPr>
              <w:t>arbitrage</w:t>
            </w:r>
          </w:p>
        </w:tc>
        <w:tc>
          <w:tcPr>
            <w:tcW w:w="927" w:type="dxa"/>
            <w:shd w:val="clear" w:color="auto" w:fill="auto"/>
            <w:noWrap/>
            <w:vAlign w:val="bottom"/>
          </w:tcPr>
          <w:p w14:paraId="76314DE1"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57</w:t>
            </w:r>
          </w:p>
        </w:tc>
        <w:tc>
          <w:tcPr>
            <w:tcW w:w="713" w:type="dxa"/>
            <w:shd w:val="clear" w:color="auto" w:fill="auto"/>
            <w:noWrap/>
            <w:vAlign w:val="bottom"/>
          </w:tcPr>
          <w:p w14:paraId="5C85AB2B"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23</w:t>
            </w:r>
          </w:p>
        </w:tc>
        <w:tc>
          <w:tcPr>
            <w:tcW w:w="712" w:type="dxa"/>
            <w:shd w:val="clear" w:color="auto" w:fill="auto"/>
            <w:noWrap/>
            <w:vAlign w:val="bottom"/>
          </w:tcPr>
          <w:p w14:paraId="0F048955"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11</w:t>
            </w:r>
          </w:p>
        </w:tc>
        <w:tc>
          <w:tcPr>
            <w:tcW w:w="652" w:type="dxa"/>
            <w:shd w:val="clear" w:color="auto" w:fill="auto"/>
            <w:noWrap/>
            <w:vAlign w:val="bottom"/>
          </w:tcPr>
          <w:p w14:paraId="3C154D42"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w:t>
            </w:r>
          </w:p>
        </w:tc>
        <w:tc>
          <w:tcPr>
            <w:tcW w:w="852" w:type="dxa"/>
            <w:shd w:val="clear" w:color="auto" w:fill="auto"/>
            <w:noWrap/>
            <w:vAlign w:val="bottom"/>
          </w:tcPr>
          <w:p w14:paraId="1841AC7A"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68</w:t>
            </w:r>
          </w:p>
        </w:tc>
        <w:tc>
          <w:tcPr>
            <w:tcW w:w="848" w:type="dxa"/>
            <w:shd w:val="clear" w:color="auto" w:fill="auto"/>
            <w:noWrap/>
            <w:vAlign w:val="bottom"/>
          </w:tcPr>
          <w:p w14:paraId="2A829372" w14:textId="77777777" w:rsidR="00D005FA" w:rsidRPr="003E6D19" w:rsidRDefault="00D005FA" w:rsidP="003E6D19">
            <w:pPr>
              <w:suppressAutoHyphens w:val="0"/>
              <w:spacing w:before="40" w:after="40" w:line="220" w:lineRule="exact"/>
              <w:jc w:val="right"/>
              <w:rPr>
                <w:rFonts w:eastAsia="Times New Roman"/>
                <w:sz w:val="18"/>
                <w:rtl/>
                <w:lang w:val="fr-FR"/>
              </w:rPr>
            </w:pPr>
            <w:r w:rsidRPr="003E6D19">
              <w:rPr>
                <w:rFonts w:eastAsia="Times New Roman"/>
                <w:sz w:val="18"/>
                <w:rtl/>
              </w:rPr>
              <w:t>25</w:t>
            </w:r>
          </w:p>
        </w:tc>
      </w:tr>
      <w:tr w:rsidR="003E6D19" w:rsidRPr="003E6D19" w14:paraId="77B32F04" w14:textId="77777777" w:rsidTr="003E6D19">
        <w:tc>
          <w:tcPr>
            <w:tcW w:w="2666" w:type="dxa"/>
            <w:tcBorders>
              <w:bottom w:val="single" w:sz="12" w:space="0" w:color="auto"/>
            </w:tcBorders>
            <w:shd w:val="clear" w:color="auto" w:fill="auto"/>
            <w:noWrap/>
            <w:hideMark/>
          </w:tcPr>
          <w:p w14:paraId="5968D9B3" w14:textId="77777777" w:rsidR="00D005FA" w:rsidRPr="003E6D19" w:rsidRDefault="00D005FA" w:rsidP="003E6D19">
            <w:pPr>
              <w:suppressAutoHyphens w:val="0"/>
              <w:spacing w:before="80" w:after="80" w:line="220" w:lineRule="exact"/>
              <w:ind w:left="170"/>
              <w:rPr>
                <w:rFonts w:eastAsia="Times New Roman"/>
                <w:b/>
                <w:bCs/>
                <w:sz w:val="18"/>
                <w:lang w:val="fr-FR"/>
              </w:rPr>
            </w:pPr>
            <w:r w:rsidRPr="003E6D19">
              <w:rPr>
                <w:b/>
                <w:bCs/>
                <w:sz w:val="18"/>
                <w:lang w:val="fr-FR"/>
              </w:rPr>
              <w:t>Total</w:t>
            </w:r>
          </w:p>
        </w:tc>
        <w:tc>
          <w:tcPr>
            <w:tcW w:w="927" w:type="dxa"/>
            <w:tcBorders>
              <w:bottom w:val="single" w:sz="12" w:space="0" w:color="auto"/>
            </w:tcBorders>
            <w:shd w:val="clear" w:color="auto" w:fill="auto"/>
            <w:noWrap/>
            <w:vAlign w:val="bottom"/>
          </w:tcPr>
          <w:p w14:paraId="26748D8F"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172</w:t>
            </w:r>
          </w:p>
        </w:tc>
        <w:tc>
          <w:tcPr>
            <w:tcW w:w="713" w:type="dxa"/>
            <w:tcBorders>
              <w:bottom w:val="single" w:sz="12" w:space="0" w:color="auto"/>
            </w:tcBorders>
            <w:shd w:val="clear" w:color="auto" w:fill="auto"/>
            <w:noWrap/>
            <w:vAlign w:val="bottom"/>
          </w:tcPr>
          <w:p w14:paraId="60675F25"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41</w:t>
            </w:r>
          </w:p>
        </w:tc>
        <w:tc>
          <w:tcPr>
            <w:tcW w:w="712" w:type="dxa"/>
            <w:tcBorders>
              <w:bottom w:val="single" w:sz="12" w:space="0" w:color="auto"/>
            </w:tcBorders>
            <w:shd w:val="clear" w:color="auto" w:fill="auto"/>
            <w:noWrap/>
            <w:vAlign w:val="bottom"/>
          </w:tcPr>
          <w:p w14:paraId="78B9F11E"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34</w:t>
            </w:r>
          </w:p>
        </w:tc>
        <w:tc>
          <w:tcPr>
            <w:tcW w:w="652" w:type="dxa"/>
            <w:tcBorders>
              <w:bottom w:val="single" w:sz="12" w:space="0" w:color="auto"/>
            </w:tcBorders>
            <w:shd w:val="clear" w:color="auto" w:fill="auto"/>
            <w:noWrap/>
            <w:vAlign w:val="bottom"/>
          </w:tcPr>
          <w:p w14:paraId="10641492"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4</w:t>
            </w:r>
          </w:p>
        </w:tc>
        <w:tc>
          <w:tcPr>
            <w:tcW w:w="852" w:type="dxa"/>
            <w:tcBorders>
              <w:bottom w:val="single" w:sz="12" w:space="0" w:color="auto"/>
            </w:tcBorders>
            <w:shd w:val="clear" w:color="auto" w:fill="auto"/>
            <w:noWrap/>
            <w:vAlign w:val="bottom"/>
          </w:tcPr>
          <w:p w14:paraId="6A75E480"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206</w:t>
            </w:r>
          </w:p>
        </w:tc>
        <w:tc>
          <w:tcPr>
            <w:tcW w:w="848" w:type="dxa"/>
            <w:tcBorders>
              <w:bottom w:val="single" w:sz="12" w:space="0" w:color="auto"/>
            </w:tcBorders>
            <w:shd w:val="clear" w:color="auto" w:fill="auto"/>
            <w:noWrap/>
            <w:vAlign w:val="bottom"/>
          </w:tcPr>
          <w:p w14:paraId="47CBFCEF" w14:textId="77777777" w:rsidR="00D005FA" w:rsidRPr="003E6D19" w:rsidRDefault="00D005FA" w:rsidP="003E6D19">
            <w:pPr>
              <w:suppressAutoHyphens w:val="0"/>
              <w:spacing w:before="80" w:after="80" w:line="220" w:lineRule="exact"/>
              <w:ind w:left="170"/>
              <w:jc w:val="right"/>
              <w:rPr>
                <w:rFonts w:eastAsia="Times New Roman"/>
                <w:b/>
                <w:bCs/>
                <w:sz w:val="18"/>
                <w:rtl/>
                <w:lang w:val="fr-FR"/>
              </w:rPr>
            </w:pPr>
            <w:r w:rsidRPr="003E6D19">
              <w:rPr>
                <w:rFonts w:eastAsia="Times New Roman"/>
                <w:b/>
                <w:bCs/>
                <w:sz w:val="18"/>
                <w:rtl/>
              </w:rPr>
              <w:t>45</w:t>
            </w:r>
          </w:p>
        </w:tc>
      </w:tr>
    </w:tbl>
    <w:p w14:paraId="301FB69F" w14:textId="1D2C5EEC" w:rsidR="00D005FA" w:rsidRPr="00310D49" w:rsidRDefault="00D005FA" w:rsidP="00A260FA">
      <w:pPr>
        <w:pStyle w:val="SingleTxtG"/>
        <w:keepNext/>
        <w:keepLines/>
        <w:spacing w:before="120"/>
        <w:rPr>
          <w:lang w:val="fr-FR"/>
        </w:rPr>
      </w:pPr>
      <w:r w:rsidRPr="00310D49">
        <w:rPr>
          <w:lang w:val="fr-FR"/>
        </w:rPr>
        <w:lastRenderedPageBreak/>
        <w:t>78.</w:t>
      </w:r>
      <w:r w:rsidRPr="00310D49">
        <w:rPr>
          <w:lang w:val="fr-FR"/>
        </w:rPr>
        <w:tab/>
        <w:t>Un changement positif s</w:t>
      </w:r>
      <w:r w:rsidR="0035332C">
        <w:rPr>
          <w:lang w:val="fr-FR"/>
        </w:rPr>
        <w:t>’</w:t>
      </w:r>
      <w:r w:rsidRPr="00310D49">
        <w:rPr>
          <w:lang w:val="fr-FR"/>
        </w:rPr>
        <w:t>est produit quant au nombre de femmes occupant des postes au sein du ministère public. En 2018, la proportion de femmes procureurs a atteint 21</w:t>
      </w:r>
      <w:r w:rsidR="000348DE">
        <w:rPr>
          <w:lang w:val="fr-FR"/>
        </w:rPr>
        <w:t> </w:t>
      </w:r>
      <w:r w:rsidRPr="00310D49">
        <w:rPr>
          <w:lang w:val="fr-FR"/>
        </w:rPr>
        <w:t>%. Les</w:t>
      </w:r>
      <w:r w:rsidR="000348DE">
        <w:rPr>
          <w:lang w:val="fr-FR"/>
        </w:rPr>
        <w:t> </w:t>
      </w:r>
      <w:r w:rsidRPr="00310D49">
        <w:rPr>
          <w:lang w:val="fr-FR"/>
        </w:rPr>
        <w:t>femmes représentaient 21</w:t>
      </w:r>
      <w:r w:rsidR="000348DE">
        <w:rPr>
          <w:lang w:val="fr-FR"/>
        </w:rPr>
        <w:t> </w:t>
      </w:r>
      <w:r w:rsidRPr="00310D49">
        <w:rPr>
          <w:lang w:val="fr-FR"/>
        </w:rPr>
        <w:t>% du nombre total de procureurs. Le tableau ci-après indique la répartition des procureurs en fonction du sexe.</w:t>
      </w:r>
    </w:p>
    <w:tbl>
      <w:tblPr>
        <w:tblW w:w="7370" w:type="dxa"/>
        <w:tblInd w:w="1134" w:type="dxa"/>
        <w:tblLayout w:type="fixed"/>
        <w:tblCellMar>
          <w:left w:w="0" w:type="dxa"/>
          <w:right w:w="0" w:type="dxa"/>
        </w:tblCellMar>
        <w:tblLook w:val="04A0" w:firstRow="1" w:lastRow="0" w:firstColumn="1" w:lastColumn="0" w:noHBand="0" w:noVBand="1"/>
      </w:tblPr>
      <w:tblGrid>
        <w:gridCol w:w="2263"/>
        <w:gridCol w:w="923"/>
        <w:gridCol w:w="821"/>
        <w:gridCol w:w="826"/>
        <w:gridCol w:w="734"/>
        <w:gridCol w:w="826"/>
        <w:gridCol w:w="977"/>
      </w:tblGrid>
      <w:tr w:rsidR="003E6D19" w:rsidRPr="003E6D19" w14:paraId="4CCAEF18" w14:textId="77777777" w:rsidTr="003E6D19">
        <w:trPr>
          <w:tblHeader/>
        </w:trPr>
        <w:tc>
          <w:tcPr>
            <w:tcW w:w="2219" w:type="dxa"/>
            <w:vMerge w:val="restart"/>
            <w:tcBorders>
              <w:top w:val="single" w:sz="4" w:space="0" w:color="auto"/>
              <w:bottom w:val="single" w:sz="12" w:space="0" w:color="auto"/>
            </w:tcBorders>
            <w:shd w:val="clear" w:color="auto" w:fill="auto"/>
            <w:vAlign w:val="bottom"/>
          </w:tcPr>
          <w:p w14:paraId="4BADC981" w14:textId="77777777" w:rsidR="00D005FA" w:rsidRPr="003E6D19" w:rsidRDefault="00D005FA" w:rsidP="00A260FA">
            <w:pPr>
              <w:keepNext/>
              <w:keepLines/>
              <w:suppressAutoHyphens w:val="0"/>
              <w:spacing w:before="80" w:after="80" w:line="200" w:lineRule="exact"/>
              <w:rPr>
                <w:i/>
                <w:sz w:val="16"/>
                <w:rtl/>
                <w:lang w:val="fr-FR"/>
              </w:rPr>
            </w:pPr>
          </w:p>
        </w:tc>
        <w:tc>
          <w:tcPr>
            <w:tcW w:w="1710" w:type="dxa"/>
            <w:gridSpan w:val="2"/>
            <w:tcBorders>
              <w:top w:val="single" w:sz="4" w:space="0" w:color="auto"/>
              <w:bottom w:val="single" w:sz="4" w:space="0" w:color="auto"/>
            </w:tcBorders>
            <w:shd w:val="clear" w:color="auto" w:fill="auto"/>
            <w:vAlign w:val="bottom"/>
          </w:tcPr>
          <w:p w14:paraId="6518283D" w14:textId="77777777" w:rsidR="00D005FA" w:rsidRPr="003E6D19" w:rsidRDefault="00D005FA" w:rsidP="00A260FA">
            <w:pPr>
              <w:keepNext/>
              <w:keepLines/>
              <w:suppressAutoHyphens w:val="0"/>
              <w:spacing w:before="80" w:after="80" w:line="200" w:lineRule="exact"/>
              <w:jc w:val="center"/>
              <w:rPr>
                <w:i/>
                <w:iCs/>
                <w:sz w:val="16"/>
                <w:lang w:val="fr-FR"/>
              </w:rPr>
            </w:pPr>
            <w:r w:rsidRPr="003E6D19">
              <w:rPr>
                <w:i/>
                <w:iCs/>
                <w:sz w:val="16"/>
                <w:lang w:val="fr-FR"/>
              </w:rPr>
              <w:t>2016</w:t>
            </w:r>
          </w:p>
        </w:tc>
        <w:tc>
          <w:tcPr>
            <w:tcW w:w="1530" w:type="dxa"/>
            <w:gridSpan w:val="2"/>
            <w:tcBorders>
              <w:top w:val="single" w:sz="4" w:space="0" w:color="auto"/>
              <w:bottom w:val="single" w:sz="4" w:space="0" w:color="auto"/>
            </w:tcBorders>
            <w:shd w:val="clear" w:color="auto" w:fill="auto"/>
            <w:vAlign w:val="bottom"/>
          </w:tcPr>
          <w:p w14:paraId="6ACC85D9" w14:textId="77777777" w:rsidR="00D005FA" w:rsidRPr="003E6D19" w:rsidRDefault="00D005FA" w:rsidP="00A260FA">
            <w:pPr>
              <w:keepNext/>
              <w:keepLines/>
              <w:suppressAutoHyphens w:val="0"/>
              <w:spacing w:before="80" w:after="80" w:line="200" w:lineRule="exact"/>
              <w:jc w:val="center"/>
              <w:rPr>
                <w:i/>
                <w:iCs/>
                <w:sz w:val="16"/>
                <w:lang w:val="fr-FR"/>
              </w:rPr>
            </w:pPr>
            <w:r w:rsidRPr="003E6D19">
              <w:rPr>
                <w:i/>
                <w:sz w:val="16"/>
                <w:lang w:val="fr-FR"/>
              </w:rPr>
              <w:t>2017</w:t>
            </w:r>
          </w:p>
        </w:tc>
        <w:tc>
          <w:tcPr>
            <w:tcW w:w="1768" w:type="dxa"/>
            <w:gridSpan w:val="2"/>
            <w:tcBorders>
              <w:top w:val="single" w:sz="4" w:space="0" w:color="auto"/>
              <w:bottom w:val="single" w:sz="4" w:space="0" w:color="auto"/>
            </w:tcBorders>
            <w:shd w:val="clear" w:color="auto" w:fill="auto"/>
            <w:vAlign w:val="bottom"/>
          </w:tcPr>
          <w:p w14:paraId="4337BFEE" w14:textId="77777777" w:rsidR="00D005FA" w:rsidRPr="003E6D19" w:rsidRDefault="00D005FA" w:rsidP="00A260FA">
            <w:pPr>
              <w:keepNext/>
              <w:keepLines/>
              <w:suppressAutoHyphens w:val="0"/>
              <w:spacing w:before="80" w:after="80" w:line="200" w:lineRule="exact"/>
              <w:jc w:val="center"/>
              <w:rPr>
                <w:i/>
                <w:iCs/>
                <w:sz w:val="16"/>
                <w:lang w:val="fr-FR"/>
              </w:rPr>
            </w:pPr>
            <w:r w:rsidRPr="003E6D19">
              <w:rPr>
                <w:i/>
                <w:iCs/>
                <w:sz w:val="16"/>
                <w:lang w:val="fr-FR"/>
              </w:rPr>
              <w:t>2018</w:t>
            </w:r>
          </w:p>
        </w:tc>
      </w:tr>
      <w:tr w:rsidR="003E6D19" w:rsidRPr="003E6D19" w14:paraId="00E448EC" w14:textId="77777777" w:rsidTr="003E6D19">
        <w:trPr>
          <w:tblHeader/>
        </w:trPr>
        <w:tc>
          <w:tcPr>
            <w:tcW w:w="2219" w:type="dxa"/>
            <w:vMerge/>
            <w:tcBorders>
              <w:top w:val="single" w:sz="12" w:space="0" w:color="auto"/>
              <w:bottom w:val="single" w:sz="12" w:space="0" w:color="auto"/>
            </w:tcBorders>
            <w:shd w:val="clear" w:color="auto" w:fill="auto"/>
            <w:vAlign w:val="bottom"/>
          </w:tcPr>
          <w:p w14:paraId="20433932" w14:textId="77777777" w:rsidR="00D005FA" w:rsidRPr="003E6D19" w:rsidRDefault="00D005FA" w:rsidP="000348DE">
            <w:pPr>
              <w:keepNext/>
              <w:suppressAutoHyphens w:val="0"/>
              <w:spacing w:before="40" w:after="40" w:line="220" w:lineRule="exact"/>
              <w:rPr>
                <w:sz w:val="18"/>
                <w:rtl/>
                <w:lang w:val="fr-FR"/>
              </w:rPr>
            </w:pPr>
          </w:p>
        </w:tc>
        <w:tc>
          <w:tcPr>
            <w:tcW w:w="905" w:type="dxa"/>
            <w:tcBorders>
              <w:top w:val="single" w:sz="4" w:space="0" w:color="auto"/>
              <w:bottom w:val="single" w:sz="12" w:space="0" w:color="auto"/>
            </w:tcBorders>
            <w:shd w:val="clear" w:color="auto" w:fill="auto"/>
            <w:vAlign w:val="bottom"/>
          </w:tcPr>
          <w:p w14:paraId="4DF605F6"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Hommes</w:t>
            </w:r>
          </w:p>
        </w:tc>
        <w:tc>
          <w:tcPr>
            <w:tcW w:w="805" w:type="dxa"/>
            <w:tcBorders>
              <w:top w:val="single" w:sz="4" w:space="0" w:color="auto"/>
              <w:bottom w:val="single" w:sz="12" w:space="0" w:color="auto"/>
            </w:tcBorders>
            <w:shd w:val="clear" w:color="auto" w:fill="auto"/>
            <w:vAlign w:val="bottom"/>
          </w:tcPr>
          <w:p w14:paraId="724F7D30"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Femmes</w:t>
            </w:r>
          </w:p>
        </w:tc>
        <w:tc>
          <w:tcPr>
            <w:tcW w:w="810" w:type="dxa"/>
            <w:tcBorders>
              <w:top w:val="single" w:sz="4" w:space="0" w:color="auto"/>
              <w:bottom w:val="single" w:sz="12" w:space="0" w:color="auto"/>
            </w:tcBorders>
            <w:shd w:val="clear" w:color="auto" w:fill="auto"/>
            <w:vAlign w:val="bottom"/>
          </w:tcPr>
          <w:p w14:paraId="6E829DEF"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Hommes</w:t>
            </w:r>
          </w:p>
        </w:tc>
        <w:tc>
          <w:tcPr>
            <w:tcW w:w="720" w:type="dxa"/>
            <w:tcBorders>
              <w:top w:val="single" w:sz="4" w:space="0" w:color="auto"/>
              <w:bottom w:val="single" w:sz="12" w:space="0" w:color="auto"/>
            </w:tcBorders>
            <w:shd w:val="clear" w:color="auto" w:fill="auto"/>
            <w:vAlign w:val="bottom"/>
          </w:tcPr>
          <w:p w14:paraId="23F1D1A3"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Femmes</w:t>
            </w:r>
          </w:p>
        </w:tc>
        <w:tc>
          <w:tcPr>
            <w:tcW w:w="810" w:type="dxa"/>
            <w:tcBorders>
              <w:top w:val="single" w:sz="4" w:space="0" w:color="auto"/>
              <w:bottom w:val="single" w:sz="12" w:space="0" w:color="auto"/>
            </w:tcBorders>
            <w:shd w:val="clear" w:color="auto" w:fill="auto"/>
            <w:vAlign w:val="bottom"/>
          </w:tcPr>
          <w:p w14:paraId="0F041EC7"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Hommes</w:t>
            </w:r>
          </w:p>
        </w:tc>
        <w:tc>
          <w:tcPr>
            <w:tcW w:w="958" w:type="dxa"/>
            <w:tcBorders>
              <w:top w:val="single" w:sz="4" w:space="0" w:color="auto"/>
              <w:bottom w:val="single" w:sz="12" w:space="0" w:color="auto"/>
            </w:tcBorders>
            <w:shd w:val="clear" w:color="auto" w:fill="auto"/>
            <w:vAlign w:val="bottom"/>
          </w:tcPr>
          <w:p w14:paraId="2C1D737D" w14:textId="77777777" w:rsidR="00D005FA" w:rsidRPr="003E6D19" w:rsidRDefault="00D005FA" w:rsidP="000348DE">
            <w:pPr>
              <w:keepNext/>
              <w:suppressAutoHyphens w:val="0"/>
              <w:spacing w:before="40" w:after="40" w:line="220" w:lineRule="exact"/>
              <w:jc w:val="right"/>
              <w:rPr>
                <w:i/>
                <w:iCs/>
                <w:sz w:val="18"/>
                <w:lang w:val="fr-FR"/>
              </w:rPr>
            </w:pPr>
            <w:r w:rsidRPr="003E6D19">
              <w:rPr>
                <w:i/>
                <w:iCs/>
                <w:sz w:val="18"/>
                <w:lang w:val="fr-FR"/>
              </w:rPr>
              <w:t>Femmes</w:t>
            </w:r>
          </w:p>
        </w:tc>
      </w:tr>
      <w:tr w:rsidR="003E6D19" w:rsidRPr="003E6D19" w14:paraId="3BD5CDED" w14:textId="77777777" w:rsidTr="003E6D19">
        <w:tc>
          <w:tcPr>
            <w:tcW w:w="2219" w:type="dxa"/>
            <w:tcBorders>
              <w:top w:val="single" w:sz="12" w:space="0" w:color="auto"/>
            </w:tcBorders>
            <w:shd w:val="clear" w:color="auto" w:fill="auto"/>
          </w:tcPr>
          <w:p w14:paraId="50CE364A" w14:textId="77777777" w:rsidR="00D005FA" w:rsidRPr="003E6D19" w:rsidRDefault="00D005FA" w:rsidP="000348DE">
            <w:pPr>
              <w:keepNext/>
              <w:suppressAutoHyphens w:val="0"/>
              <w:spacing w:before="40" w:after="40" w:line="220" w:lineRule="exact"/>
              <w:rPr>
                <w:sz w:val="18"/>
                <w:lang w:val="fr-FR"/>
              </w:rPr>
            </w:pPr>
            <w:r w:rsidRPr="003E6D19">
              <w:rPr>
                <w:sz w:val="18"/>
                <w:lang w:val="fr-FR"/>
              </w:rPr>
              <w:t>Chef de parquet</w:t>
            </w:r>
          </w:p>
        </w:tc>
        <w:tc>
          <w:tcPr>
            <w:tcW w:w="905" w:type="dxa"/>
            <w:tcBorders>
              <w:top w:val="single" w:sz="12" w:space="0" w:color="auto"/>
            </w:tcBorders>
            <w:shd w:val="clear" w:color="auto" w:fill="auto"/>
            <w:vAlign w:val="bottom"/>
          </w:tcPr>
          <w:p w14:paraId="12058356"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34</w:t>
            </w:r>
          </w:p>
        </w:tc>
        <w:tc>
          <w:tcPr>
            <w:tcW w:w="805" w:type="dxa"/>
            <w:tcBorders>
              <w:top w:val="single" w:sz="12" w:space="0" w:color="auto"/>
            </w:tcBorders>
            <w:shd w:val="clear" w:color="auto" w:fill="auto"/>
            <w:vAlign w:val="bottom"/>
          </w:tcPr>
          <w:p w14:paraId="788C3FFF"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6</w:t>
            </w:r>
          </w:p>
        </w:tc>
        <w:tc>
          <w:tcPr>
            <w:tcW w:w="810" w:type="dxa"/>
            <w:tcBorders>
              <w:top w:val="single" w:sz="12" w:space="0" w:color="auto"/>
            </w:tcBorders>
            <w:shd w:val="clear" w:color="auto" w:fill="auto"/>
            <w:vAlign w:val="bottom"/>
          </w:tcPr>
          <w:p w14:paraId="37801DF6"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40</w:t>
            </w:r>
          </w:p>
        </w:tc>
        <w:tc>
          <w:tcPr>
            <w:tcW w:w="720" w:type="dxa"/>
            <w:tcBorders>
              <w:top w:val="single" w:sz="12" w:space="0" w:color="auto"/>
            </w:tcBorders>
            <w:shd w:val="clear" w:color="auto" w:fill="auto"/>
            <w:vAlign w:val="bottom"/>
          </w:tcPr>
          <w:p w14:paraId="490A37D0"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5</w:t>
            </w:r>
          </w:p>
        </w:tc>
        <w:tc>
          <w:tcPr>
            <w:tcW w:w="810" w:type="dxa"/>
            <w:tcBorders>
              <w:top w:val="single" w:sz="12" w:space="0" w:color="auto"/>
            </w:tcBorders>
            <w:shd w:val="clear" w:color="auto" w:fill="auto"/>
            <w:vAlign w:val="bottom"/>
          </w:tcPr>
          <w:p w14:paraId="280C1169"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38</w:t>
            </w:r>
          </w:p>
        </w:tc>
        <w:tc>
          <w:tcPr>
            <w:tcW w:w="958" w:type="dxa"/>
            <w:tcBorders>
              <w:top w:val="single" w:sz="12" w:space="0" w:color="auto"/>
            </w:tcBorders>
            <w:shd w:val="clear" w:color="auto" w:fill="auto"/>
            <w:vAlign w:val="bottom"/>
          </w:tcPr>
          <w:p w14:paraId="7204C3BB"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5</w:t>
            </w:r>
          </w:p>
        </w:tc>
      </w:tr>
      <w:tr w:rsidR="003E6D19" w:rsidRPr="003E6D19" w14:paraId="5541FDD8" w14:textId="77777777" w:rsidTr="003E6D19">
        <w:tc>
          <w:tcPr>
            <w:tcW w:w="2219" w:type="dxa"/>
            <w:shd w:val="clear" w:color="auto" w:fill="auto"/>
          </w:tcPr>
          <w:p w14:paraId="1449D3A5" w14:textId="77777777" w:rsidR="00D005FA" w:rsidRPr="003E6D19" w:rsidRDefault="00D005FA" w:rsidP="000348DE">
            <w:pPr>
              <w:keepNext/>
              <w:suppressAutoHyphens w:val="0"/>
              <w:spacing w:before="40" w:after="40" w:line="220" w:lineRule="exact"/>
              <w:rPr>
                <w:sz w:val="18"/>
                <w:lang w:val="fr-FR"/>
              </w:rPr>
            </w:pPr>
            <w:r w:rsidRPr="003E6D19">
              <w:rPr>
                <w:sz w:val="18"/>
                <w:lang w:val="fr-FR"/>
              </w:rPr>
              <w:t>Procureur</w:t>
            </w:r>
          </w:p>
        </w:tc>
        <w:tc>
          <w:tcPr>
            <w:tcW w:w="905" w:type="dxa"/>
            <w:shd w:val="clear" w:color="auto" w:fill="auto"/>
            <w:vAlign w:val="bottom"/>
          </w:tcPr>
          <w:p w14:paraId="6F490C8C"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56</w:t>
            </w:r>
          </w:p>
        </w:tc>
        <w:tc>
          <w:tcPr>
            <w:tcW w:w="805" w:type="dxa"/>
            <w:shd w:val="clear" w:color="auto" w:fill="auto"/>
            <w:vAlign w:val="bottom"/>
          </w:tcPr>
          <w:p w14:paraId="60734C1F"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13</w:t>
            </w:r>
          </w:p>
        </w:tc>
        <w:tc>
          <w:tcPr>
            <w:tcW w:w="810" w:type="dxa"/>
            <w:shd w:val="clear" w:color="auto" w:fill="auto"/>
            <w:vAlign w:val="bottom"/>
          </w:tcPr>
          <w:p w14:paraId="423C2571"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82</w:t>
            </w:r>
          </w:p>
        </w:tc>
        <w:tc>
          <w:tcPr>
            <w:tcW w:w="720" w:type="dxa"/>
            <w:shd w:val="clear" w:color="auto" w:fill="auto"/>
            <w:vAlign w:val="bottom"/>
          </w:tcPr>
          <w:p w14:paraId="18753446"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27</w:t>
            </w:r>
          </w:p>
        </w:tc>
        <w:tc>
          <w:tcPr>
            <w:tcW w:w="810" w:type="dxa"/>
            <w:shd w:val="clear" w:color="auto" w:fill="auto"/>
            <w:vAlign w:val="bottom"/>
          </w:tcPr>
          <w:p w14:paraId="63631B33"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85</w:t>
            </w:r>
          </w:p>
        </w:tc>
        <w:tc>
          <w:tcPr>
            <w:tcW w:w="958" w:type="dxa"/>
            <w:shd w:val="clear" w:color="auto" w:fill="auto"/>
            <w:vAlign w:val="bottom"/>
          </w:tcPr>
          <w:p w14:paraId="6C174F16"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28</w:t>
            </w:r>
          </w:p>
        </w:tc>
      </w:tr>
      <w:tr w:rsidR="003E6D19" w:rsidRPr="003E6D19" w14:paraId="1D6097D7" w14:textId="77777777" w:rsidTr="003E6D19">
        <w:tc>
          <w:tcPr>
            <w:tcW w:w="2219" w:type="dxa"/>
            <w:tcBorders>
              <w:bottom w:val="single" w:sz="12" w:space="0" w:color="auto"/>
            </w:tcBorders>
            <w:shd w:val="clear" w:color="auto" w:fill="auto"/>
          </w:tcPr>
          <w:p w14:paraId="5FB4353D" w14:textId="77777777" w:rsidR="00D005FA" w:rsidRPr="003E6D19" w:rsidRDefault="00D005FA" w:rsidP="000348DE">
            <w:pPr>
              <w:keepNext/>
              <w:suppressAutoHyphens w:val="0"/>
              <w:spacing w:before="40" w:after="40" w:line="220" w:lineRule="exact"/>
              <w:rPr>
                <w:sz w:val="18"/>
                <w:lang w:val="fr-FR"/>
              </w:rPr>
            </w:pPr>
            <w:r w:rsidRPr="003E6D19">
              <w:rPr>
                <w:sz w:val="18"/>
                <w:lang w:val="fr-FR"/>
              </w:rPr>
              <w:t>Procureur adjoint</w:t>
            </w:r>
          </w:p>
        </w:tc>
        <w:tc>
          <w:tcPr>
            <w:tcW w:w="905" w:type="dxa"/>
            <w:tcBorders>
              <w:bottom w:val="single" w:sz="12" w:space="0" w:color="auto"/>
            </w:tcBorders>
            <w:shd w:val="clear" w:color="auto" w:fill="auto"/>
            <w:vAlign w:val="bottom"/>
          </w:tcPr>
          <w:p w14:paraId="1F6B42F9"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30</w:t>
            </w:r>
          </w:p>
        </w:tc>
        <w:tc>
          <w:tcPr>
            <w:tcW w:w="805" w:type="dxa"/>
            <w:tcBorders>
              <w:bottom w:val="single" w:sz="12" w:space="0" w:color="auto"/>
            </w:tcBorders>
            <w:shd w:val="clear" w:color="auto" w:fill="auto"/>
            <w:vAlign w:val="bottom"/>
          </w:tcPr>
          <w:p w14:paraId="70F50DD1"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14</w:t>
            </w:r>
          </w:p>
        </w:tc>
        <w:tc>
          <w:tcPr>
            <w:tcW w:w="810" w:type="dxa"/>
            <w:tcBorders>
              <w:bottom w:val="single" w:sz="12" w:space="0" w:color="auto"/>
            </w:tcBorders>
            <w:shd w:val="clear" w:color="auto" w:fill="auto"/>
            <w:vAlign w:val="bottom"/>
          </w:tcPr>
          <w:p w14:paraId="041FF015"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4</w:t>
            </w:r>
          </w:p>
        </w:tc>
        <w:tc>
          <w:tcPr>
            <w:tcW w:w="720" w:type="dxa"/>
            <w:tcBorders>
              <w:bottom w:val="single" w:sz="12" w:space="0" w:color="auto"/>
            </w:tcBorders>
            <w:shd w:val="clear" w:color="auto" w:fill="auto"/>
            <w:vAlign w:val="bottom"/>
          </w:tcPr>
          <w:p w14:paraId="584A117F"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1</w:t>
            </w:r>
          </w:p>
        </w:tc>
        <w:tc>
          <w:tcPr>
            <w:tcW w:w="810" w:type="dxa"/>
            <w:tcBorders>
              <w:bottom w:val="single" w:sz="12" w:space="0" w:color="auto"/>
            </w:tcBorders>
            <w:shd w:val="clear" w:color="auto" w:fill="auto"/>
            <w:vAlign w:val="bottom"/>
          </w:tcPr>
          <w:p w14:paraId="2C8E13FF"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0</w:t>
            </w:r>
          </w:p>
        </w:tc>
        <w:tc>
          <w:tcPr>
            <w:tcW w:w="958" w:type="dxa"/>
            <w:tcBorders>
              <w:bottom w:val="single" w:sz="12" w:space="0" w:color="auto"/>
            </w:tcBorders>
            <w:shd w:val="clear" w:color="auto" w:fill="auto"/>
            <w:vAlign w:val="bottom"/>
          </w:tcPr>
          <w:p w14:paraId="61A1F5D3" w14:textId="77777777" w:rsidR="00D005FA" w:rsidRPr="003E6D19" w:rsidRDefault="00D005FA" w:rsidP="000348DE">
            <w:pPr>
              <w:keepNext/>
              <w:suppressAutoHyphens w:val="0"/>
              <w:spacing w:before="40" w:after="40" w:line="220" w:lineRule="exact"/>
              <w:jc w:val="right"/>
              <w:rPr>
                <w:sz w:val="18"/>
                <w:rtl/>
                <w:lang w:val="fr-FR"/>
              </w:rPr>
            </w:pPr>
            <w:r w:rsidRPr="003E6D19">
              <w:rPr>
                <w:sz w:val="18"/>
                <w:rtl/>
              </w:rPr>
              <w:t>0</w:t>
            </w:r>
          </w:p>
        </w:tc>
      </w:tr>
    </w:tbl>
    <w:p w14:paraId="1DADD412" w14:textId="6CF8D9FF" w:rsidR="00D005FA" w:rsidRPr="00310D49" w:rsidRDefault="00D005FA" w:rsidP="003E6D19">
      <w:pPr>
        <w:pStyle w:val="SingleTxtG"/>
        <w:spacing w:before="120"/>
        <w:rPr>
          <w:lang w:val="fr-FR"/>
        </w:rPr>
      </w:pPr>
      <w:r w:rsidRPr="00310D49">
        <w:rPr>
          <w:lang w:val="fr-FR"/>
        </w:rPr>
        <w:t>79.</w:t>
      </w:r>
      <w:r w:rsidRPr="00310D49">
        <w:rPr>
          <w:lang w:val="fr-FR"/>
        </w:rPr>
        <w:tab/>
        <w:t>En 2019, les femmes représentaient 54</w:t>
      </w:r>
      <w:r w:rsidR="00206A2F">
        <w:rPr>
          <w:lang w:val="fr-FR"/>
        </w:rPr>
        <w:t> </w:t>
      </w:r>
      <w:r w:rsidRPr="00310D49">
        <w:rPr>
          <w:lang w:val="fr-FR"/>
        </w:rPr>
        <w:t>% des effectifs totaux du Ministère des affaires étrangères et des émigrés, lequel comptait 12</w:t>
      </w:r>
      <w:r w:rsidR="007F778E">
        <w:rPr>
          <w:lang w:val="fr-FR"/>
        </w:rPr>
        <w:t> </w:t>
      </w:r>
      <w:r w:rsidRPr="00310D49">
        <w:rPr>
          <w:lang w:val="fr-FR"/>
        </w:rPr>
        <w:t>ambassadrices, dont certaines occupaient des postes d</w:t>
      </w:r>
      <w:r w:rsidR="0035332C">
        <w:rPr>
          <w:lang w:val="fr-FR"/>
        </w:rPr>
        <w:t>’</w:t>
      </w:r>
      <w:r w:rsidRPr="00310D49">
        <w:rPr>
          <w:lang w:val="fr-FR"/>
        </w:rPr>
        <w:t>influence dans les processus décisionnels internationaux.</w:t>
      </w:r>
    </w:p>
    <w:p w14:paraId="30AD7C86" w14:textId="027120A4" w:rsidR="00D005FA" w:rsidRPr="00310D49" w:rsidRDefault="00D005FA" w:rsidP="003E6D19">
      <w:pPr>
        <w:pStyle w:val="SingleTxtG"/>
        <w:rPr>
          <w:lang w:val="fr-FR"/>
        </w:rPr>
      </w:pPr>
      <w:r w:rsidRPr="00310D49">
        <w:rPr>
          <w:lang w:val="fr-FR"/>
        </w:rPr>
        <w:t>80.</w:t>
      </w:r>
      <w:r w:rsidRPr="00310D49">
        <w:rPr>
          <w:lang w:val="fr-FR"/>
        </w:rPr>
        <w:tab/>
        <w:t>Selon les données du Bureau central palestinien de statistique, les femmes représentent 43</w:t>
      </w:r>
      <w:r w:rsidR="003E6D19">
        <w:rPr>
          <w:lang w:val="fr-FR"/>
        </w:rPr>
        <w:t> </w:t>
      </w:r>
      <w:r w:rsidRPr="00310D49">
        <w:rPr>
          <w:lang w:val="fr-FR"/>
        </w:rPr>
        <w:t>% des salariés civils du secteur public de l</w:t>
      </w:r>
      <w:r w:rsidR="0035332C">
        <w:rPr>
          <w:lang w:val="fr-FR"/>
        </w:rPr>
        <w:t>’</w:t>
      </w:r>
      <w:r w:rsidRPr="00310D49">
        <w:rPr>
          <w:lang w:val="fr-FR"/>
        </w:rPr>
        <w:t xml:space="preserve">État de Palestine en 2019. Cependant, on trouve </w:t>
      </w:r>
      <w:r w:rsidR="007F778E">
        <w:rPr>
          <w:lang w:val="fr-FR"/>
        </w:rPr>
        <w:t xml:space="preserve">de </w:t>
      </w:r>
      <w:r w:rsidRPr="00310D49">
        <w:rPr>
          <w:lang w:val="fr-FR"/>
        </w:rPr>
        <w:t>moins en moins de femmes à mesure que l</w:t>
      </w:r>
      <w:r w:rsidR="0035332C">
        <w:rPr>
          <w:lang w:val="fr-FR"/>
        </w:rPr>
        <w:t>’</w:t>
      </w:r>
      <w:r w:rsidRPr="00310D49">
        <w:rPr>
          <w:lang w:val="fr-FR"/>
        </w:rPr>
        <w:t>on monte dans la hiérarchie, notamment dans les postes de direction. Ainsi, les femmes ne représentent qu</w:t>
      </w:r>
      <w:r w:rsidR="0035332C">
        <w:rPr>
          <w:lang w:val="fr-FR"/>
        </w:rPr>
        <w:t>’</w:t>
      </w:r>
      <w:r w:rsidRPr="00310D49">
        <w:rPr>
          <w:lang w:val="fr-FR"/>
        </w:rPr>
        <w:t>environ 12</w:t>
      </w:r>
      <w:r w:rsidR="007F778E">
        <w:rPr>
          <w:lang w:val="fr-FR"/>
        </w:rPr>
        <w:t> </w:t>
      </w:r>
      <w:r w:rsidRPr="00310D49">
        <w:rPr>
          <w:lang w:val="fr-FR"/>
        </w:rPr>
        <w:t>% des personnes employées dans le secteur public dans les postes de directeur général ou plus, contre 11,7</w:t>
      </w:r>
      <w:r w:rsidR="007F778E">
        <w:rPr>
          <w:lang w:val="fr-FR"/>
        </w:rPr>
        <w:t> </w:t>
      </w:r>
      <w:r w:rsidRPr="00310D49">
        <w:rPr>
          <w:lang w:val="fr-FR"/>
        </w:rPr>
        <w:t>% en 2015, ce qui ne constitue pas un changement significatif.</w:t>
      </w:r>
    </w:p>
    <w:p w14:paraId="0A8EED2F" w14:textId="37427051" w:rsidR="00D005FA" w:rsidRPr="00310D49" w:rsidRDefault="00D005FA" w:rsidP="003E6D19">
      <w:pPr>
        <w:pStyle w:val="SingleTxtG"/>
        <w:rPr>
          <w:lang w:val="fr-FR"/>
        </w:rPr>
      </w:pPr>
      <w:r w:rsidRPr="00310D49">
        <w:rPr>
          <w:lang w:val="fr-FR"/>
        </w:rPr>
        <w:t>81.</w:t>
      </w:r>
      <w:r w:rsidRPr="00310D49">
        <w:rPr>
          <w:lang w:val="fr-FR"/>
        </w:rPr>
        <w:tab/>
        <w:t>En 2017, 33,3</w:t>
      </w:r>
      <w:r w:rsidR="003E6D19">
        <w:rPr>
          <w:lang w:val="fr-FR"/>
        </w:rPr>
        <w:t> </w:t>
      </w:r>
      <w:r w:rsidRPr="00310D49">
        <w:rPr>
          <w:lang w:val="fr-FR"/>
        </w:rPr>
        <w:t>% des rédacteurs en chef étaient des femmes.</w:t>
      </w:r>
    </w:p>
    <w:p w14:paraId="282DE903" w14:textId="08CF4637" w:rsidR="00D005FA" w:rsidRPr="00310D49" w:rsidRDefault="00D005FA" w:rsidP="003E6D19">
      <w:pPr>
        <w:pStyle w:val="H23G"/>
        <w:rPr>
          <w:lang w:val="fr-FR"/>
        </w:rPr>
      </w:pPr>
      <w:r w:rsidRPr="00310D49">
        <w:rPr>
          <w:lang w:val="fr-FR"/>
        </w:rPr>
        <w:tab/>
      </w:r>
      <w:r w:rsidRPr="00310D49">
        <w:rPr>
          <w:lang w:val="fr-FR"/>
        </w:rPr>
        <w:tab/>
        <w:t>Lutte contre la violence familiale</w:t>
      </w:r>
    </w:p>
    <w:p w14:paraId="0450CFC4" w14:textId="62488ACF" w:rsidR="00D005FA" w:rsidRPr="00310D49" w:rsidRDefault="00D005FA" w:rsidP="003E6D19">
      <w:pPr>
        <w:pStyle w:val="SingleTxtG"/>
        <w:rPr>
          <w:spacing w:val="-2"/>
          <w:lang w:val="fr-FR"/>
        </w:rPr>
      </w:pPr>
      <w:r w:rsidRPr="00310D49">
        <w:rPr>
          <w:lang w:val="fr-FR"/>
        </w:rPr>
        <w:t>82.</w:t>
      </w:r>
      <w:r w:rsidRPr="00310D49">
        <w:rPr>
          <w:lang w:val="fr-FR"/>
        </w:rPr>
        <w:tab/>
        <w:t>Afin de parachever le processus de réforme législative, des efforts sont déployés en vue d</w:t>
      </w:r>
      <w:r w:rsidR="0035332C">
        <w:rPr>
          <w:lang w:val="fr-FR"/>
        </w:rPr>
        <w:t>’</w:t>
      </w:r>
      <w:r w:rsidRPr="00310D49">
        <w:rPr>
          <w:lang w:val="fr-FR"/>
        </w:rPr>
        <w:t>adopter un projet de décret-loi protégeant la famille de la violence et d</w:t>
      </w:r>
      <w:r w:rsidR="0035332C">
        <w:rPr>
          <w:lang w:val="fr-FR"/>
        </w:rPr>
        <w:t>’</w:t>
      </w:r>
      <w:r w:rsidRPr="00310D49">
        <w:rPr>
          <w:lang w:val="fr-FR"/>
        </w:rPr>
        <w:t xml:space="preserve">introduire des dispositions juridiquement contraignantes et socialement flexibles qui tiennent compte des règles de confidentialité et de respect de la vie privée nécessaires à la </w:t>
      </w:r>
      <w:r w:rsidRPr="00311C56">
        <w:rPr>
          <w:lang w:val="fr-FR"/>
        </w:rPr>
        <w:t>protection de la famille de la dislocation</w:t>
      </w:r>
      <w:r w:rsidRPr="00310D49">
        <w:rPr>
          <w:lang w:val="fr-FR"/>
        </w:rPr>
        <w:t>. L</w:t>
      </w:r>
      <w:r w:rsidR="0035332C">
        <w:rPr>
          <w:lang w:val="fr-FR"/>
        </w:rPr>
        <w:t>’</w:t>
      </w:r>
      <w:r w:rsidRPr="00310D49">
        <w:rPr>
          <w:lang w:val="fr-FR"/>
        </w:rPr>
        <w:t>adoption dudit projet de décret-loi contribuera à faciliter la procédure judiciaire du fait que celui-ci exempte de frais toutes les affaires de violence en leur attribuant un caractère d</w:t>
      </w:r>
      <w:r w:rsidR="0035332C">
        <w:rPr>
          <w:lang w:val="fr-FR"/>
        </w:rPr>
        <w:t>’</w:t>
      </w:r>
      <w:r w:rsidRPr="00310D49">
        <w:rPr>
          <w:lang w:val="fr-FR"/>
        </w:rPr>
        <w:t>urgence à tous les stades de la procédure. Ce projet de décret-loi comprend des définitions de toutes les formes de violence et de discrimination, impose des peines aux auteurs de ces infractions et prévoit des ordonnances de protection dans le but de protéger la victime, ses enfants et les personnes placé</w:t>
      </w:r>
      <w:r w:rsidR="007F778E">
        <w:rPr>
          <w:lang w:val="fr-FR"/>
        </w:rPr>
        <w:t>e</w:t>
      </w:r>
      <w:r w:rsidRPr="00310D49">
        <w:rPr>
          <w:lang w:val="fr-FR"/>
        </w:rPr>
        <w:t>s sous sa tutelle ou sa garde, ainsi que les témoins ou toute personne lui prêtant assistance. En outre, la question de la médiation a été réglementée dans le projet de décret-loi relatif à la protection de la famille contre la violence en ce qui concerne les délits, les délits mineurs et les fautes commises pour la première fois, à l</w:t>
      </w:r>
      <w:r w:rsidR="0035332C">
        <w:rPr>
          <w:lang w:val="fr-FR"/>
        </w:rPr>
        <w:t>’</w:t>
      </w:r>
      <w:r w:rsidRPr="00310D49">
        <w:rPr>
          <w:lang w:val="fr-FR"/>
        </w:rPr>
        <w:t>exception de l</w:t>
      </w:r>
      <w:r w:rsidR="0035332C">
        <w:rPr>
          <w:lang w:val="fr-FR"/>
        </w:rPr>
        <w:t>’</w:t>
      </w:r>
      <w:r w:rsidRPr="00310D49">
        <w:rPr>
          <w:lang w:val="fr-FR"/>
        </w:rPr>
        <w:t>inceste. La médiation a lieu avec le consentement des deux parties au différend ou leurs représentants légaux sous la supervision du Bureau du procureur général. Le consentement à la médiation ne s</w:t>
      </w:r>
      <w:r w:rsidR="0035332C">
        <w:rPr>
          <w:lang w:val="fr-FR"/>
        </w:rPr>
        <w:t>’</w:t>
      </w:r>
      <w:r w:rsidRPr="00310D49">
        <w:rPr>
          <w:lang w:val="fr-FR"/>
        </w:rPr>
        <w:t>oppose pas à l</w:t>
      </w:r>
      <w:r w:rsidR="0035332C">
        <w:rPr>
          <w:lang w:val="fr-FR"/>
        </w:rPr>
        <w:t>’</w:t>
      </w:r>
      <w:r w:rsidRPr="00310D49">
        <w:rPr>
          <w:lang w:val="fr-FR"/>
        </w:rPr>
        <w:t>introduction d</w:t>
      </w:r>
      <w:r w:rsidR="0035332C">
        <w:rPr>
          <w:lang w:val="fr-FR"/>
        </w:rPr>
        <w:t>’</w:t>
      </w:r>
      <w:r w:rsidRPr="00310D49">
        <w:rPr>
          <w:lang w:val="fr-FR"/>
        </w:rPr>
        <w:t>une action civile devant le tribunal compétent, et si les termes de la médiation ne sont pas respectés, une affaire pénale est entamée. Le projet de décret-loi a été examiné par le Comité d</w:t>
      </w:r>
      <w:r w:rsidR="0035332C">
        <w:rPr>
          <w:lang w:val="fr-FR"/>
        </w:rPr>
        <w:t>’</w:t>
      </w:r>
      <w:r w:rsidRPr="00310D49">
        <w:rPr>
          <w:lang w:val="fr-FR"/>
        </w:rPr>
        <w:t>harmonisation de la législation et prend actuellement des mesures pour l</w:t>
      </w:r>
      <w:r w:rsidR="0035332C">
        <w:rPr>
          <w:lang w:val="fr-FR"/>
        </w:rPr>
        <w:t>’</w:t>
      </w:r>
      <w:r w:rsidRPr="00310D49">
        <w:rPr>
          <w:lang w:val="fr-FR"/>
        </w:rPr>
        <w:t xml:space="preserve">adopter. </w:t>
      </w:r>
    </w:p>
    <w:p w14:paraId="2B3F441B" w14:textId="77777777" w:rsidR="00D005FA" w:rsidRPr="00310D49" w:rsidRDefault="00D005FA" w:rsidP="003E6D19">
      <w:pPr>
        <w:pStyle w:val="H23G"/>
        <w:rPr>
          <w:lang w:val="fr-FR"/>
        </w:rPr>
      </w:pPr>
      <w:r w:rsidRPr="00310D49">
        <w:rPr>
          <w:lang w:val="fr-FR"/>
        </w:rPr>
        <w:tab/>
      </w:r>
      <w:r w:rsidRPr="00310D49">
        <w:rPr>
          <w:lang w:val="fr-FR"/>
        </w:rPr>
        <w:tab/>
        <w:t xml:space="preserve">Mécanismes nationaux </w:t>
      </w:r>
    </w:p>
    <w:p w14:paraId="35249899" w14:textId="1EBC17CC" w:rsidR="00D005FA" w:rsidRPr="00310D49" w:rsidRDefault="00D005FA" w:rsidP="003E6D19">
      <w:pPr>
        <w:pStyle w:val="SingleTxtG"/>
        <w:rPr>
          <w:lang w:val="fr-FR"/>
        </w:rPr>
      </w:pPr>
      <w:r w:rsidRPr="00310D49">
        <w:rPr>
          <w:lang w:val="fr-FR"/>
        </w:rPr>
        <w:t>83.</w:t>
      </w:r>
      <w:r w:rsidRPr="00310D49">
        <w:rPr>
          <w:lang w:val="fr-FR"/>
        </w:rPr>
        <w:tab/>
        <w:t>Afin d</w:t>
      </w:r>
      <w:r w:rsidR="0035332C">
        <w:rPr>
          <w:lang w:val="fr-FR"/>
        </w:rPr>
        <w:t>’</w:t>
      </w:r>
      <w:r w:rsidRPr="00310D49">
        <w:rPr>
          <w:lang w:val="fr-FR"/>
        </w:rPr>
        <w:t>institutionnaliser la lutte contre la violence à l</w:t>
      </w:r>
      <w:r w:rsidR="0035332C">
        <w:rPr>
          <w:lang w:val="fr-FR"/>
        </w:rPr>
        <w:t>’</w:t>
      </w:r>
      <w:r w:rsidRPr="00310D49">
        <w:rPr>
          <w:lang w:val="fr-FR"/>
        </w:rPr>
        <w:t>égard des femmes, le «</w:t>
      </w:r>
      <w:r w:rsidR="007F778E">
        <w:rPr>
          <w:lang w:val="fr-FR"/>
        </w:rPr>
        <w:t> </w:t>
      </w:r>
      <w:r w:rsidRPr="00310D49">
        <w:rPr>
          <w:lang w:val="fr-FR"/>
        </w:rPr>
        <w:t>Comité national de lutte contre les violences faites aux femmes</w:t>
      </w:r>
      <w:r w:rsidR="007F778E">
        <w:rPr>
          <w:lang w:val="fr-FR"/>
        </w:rPr>
        <w:t> </w:t>
      </w:r>
      <w:r w:rsidRPr="00310D49">
        <w:rPr>
          <w:lang w:val="fr-FR"/>
        </w:rPr>
        <w:t>» a été formé en vertu du décret du Conseil des ministres de 2008. Le comité a élaboré un plan stratégique de lutte contre les violences faites aux femmes pour les années 2011-2019 et, en se fondant sur l</w:t>
      </w:r>
      <w:r w:rsidR="0035332C">
        <w:rPr>
          <w:lang w:val="fr-FR"/>
        </w:rPr>
        <w:t>’</w:t>
      </w:r>
      <w:r w:rsidRPr="00310D49">
        <w:rPr>
          <w:lang w:val="fr-FR"/>
        </w:rPr>
        <w:t>évaluation des résultats de ce plan, il a conçu le plan stratégique pour les années 2020-2030, lequel est compatible avec les objectifs de développement durable et les dispositions de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En outre, le comité a, en 2014, mis en place un dispositif chargé d</w:t>
      </w:r>
      <w:r w:rsidR="0035332C">
        <w:rPr>
          <w:lang w:val="fr-FR"/>
        </w:rPr>
        <w:t>’</w:t>
      </w:r>
      <w:r w:rsidRPr="00310D49">
        <w:rPr>
          <w:lang w:val="fr-FR"/>
        </w:rPr>
        <w:t>«</w:t>
      </w:r>
      <w:r w:rsidR="007F778E">
        <w:rPr>
          <w:lang w:val="fr-FR"/>
        </w:rPr>
        <w:t> </w:t>
      </w:r>
      <w:r w:rsidRPr="00310D49">
        <w:rPr>
          <w:lang w:val="fr-FR"/>
        </w:rPr>
        <w:t>examiner les cas graves</w:t>
      </w:r>
      <w:r w:rsidR="007F778E">
        <w:rPr>
          <w:lang w:val="fr-FR"/>
        </w:rPr>
        <w:t> </w:t>
      </w:r>
      <w:r w:rsidRPr="00310D49">
        <w:rPr>
          <w:lang w:val="fr-FR"/>
        </w:rPr>
        <w:t>» concernant les femmes victimes de violences.</w:t>
      </w:r>
    </w:p>
    <w:p w14:paraId="57FF08C9" w14:textId="6AC38412" w:rsidR="00D005FA" w:rsidRPr="00310D49" w:rsidRDefault="00D005FA" w:rsidP="003E6D19">
      <w:pPr>
        <w:pStyle w:val="SingleTxtG"/>
        <w:rPr>
          <w:lang w:val="fr-FR"/>
        </w:rPr>
      </w:pPr>
      <w:r w:rsidRPr="00310D49">
        <w:rPr>
          <w:lang w:val="fr-FR"/>
        </w:rPr>
        <w:t>84.</w:t>
      </w:r>
      <w:r w:rsidRPr="00310D49">
        <w:rPr>
          <w:lang w:val="fr-FR"/>
        </w:rPr>
        <w:tab/>
        <w:t>L</w:t>
      </w:r>
      <w:r w:rsidR="0035332C">
        <w:rPr>
          <w:lang w:val="fr-FR"/>
        </w:rPr>
        <w:t>’</w:t>
      </w:r>
      <w:r w:rsidRPr="00310D49">
        <w:rPr>
          <w:lang w:val="fr-FR"/>
        </w:rPr>
        <w:t>Observatoire national de la violence à l</w:t>
      </w:r>
      <w:r w:rsidR="0035332C">
        <w:rPr>
          <w:lang w:val="fr-FR"/>
        </w:rPr>
        <w:t>’</w:t>
      </w:r>
      <w:r w:rsidRPr="00310D49">
        <w:rPr>
          <w:lang w:val="fr-FR"/>
        </w:rPr>
        <w:t>égard des femmes, créé en vertu d</w:t>
      </w:r>
      <w:r w:rsidR="0035332C">
        <w:rPr>
          <w:lang w:val="fr-FR"/>
        </w:rPr>
        <w:t>’</w:t>
      </w:r>
      <w:r w:rsidRPr="00310D49">
        <w:rPr>
          <w:lang w:val="fr-FR"/>
        </w:rPr>
        <w:t>un décret pris par le Conseil des ministres en 2017, a pour mission de mettre en place un système d</w:t>
      </w:r>
      <w:r w:rsidR="0035332C">
        <w:rPr>
          <w:lang w:val="fr-FR"/>
        </w:rPr>
        <w:t>’</w:t>
      </w:r>
      <w:r w:rsidRPr="00310D49">
        <w:rPr>
          <w:lang w:val="fr-FR"/>
        </w:rPr>
        <w:t xml:space="preserve">information pour la gestion des cas de violence et de contribuer à la formulation des </w:t>
      </w:r>
      <w:r w:rsidRPr="00310D49">
        <w:rPr>
          <w:lang w:val="fr-FR"/>
        </w:rPr>
        <w:lastRenderedPageBreak/>
        <w:t>politiques nécessaires, à l</w:t>
      </w:r>
      <w:r w:rsidR="0035332C">
        <w:rPr>
          <w:lang w:val="fr-FR"/>
        </w:rPr>
        <w:t>’</w:t>
      </w:r>
      <w:r w:rsidRPr="00310D49">
        <w:rPr>
          <w:lang w:val="fr-FR"/>
        </w:rPr>
        <w:t>élaboration ou à la modification de textes de loi et à la prise de décision</w:t>
      </w:r>
      <w:r w:rsidR="007F778E">
        <w:rPr>
          <w:lang w:val="fr-FR"/>
        </w:rPr>
        <w:t>s</w:t>
      </w:r>
      <w:r w:rsidRPr="00310D49">
        <w:rPr>
          <w:lang w:val="fr-FR"/>
        </w:rPr>
        <w:t>.</w:t>
      </w:r>
    </w:p>
    <w:p w14:paraId="6E00F3BD" w14:textId="0B745BF5" w:rsidR="00D005FA" w:rsidRPr="00310D49" w:rsidRDefault="00D005FA" w:rsidP="003E6D19">
      <w:pPr>
        <w:pStyle w:val="SingleTxtG"/>
        <w:rPr>
          <w:lang w:val="fr-FR"/>
        </w:rPr>
      </w:pPr>
      <w:r w:rsidRPr="001843ED">
        <w:rPr>
          <w:lang w:val="fr-FR"/>
        </w:rPr>
        <w:t>85.</w:t>
      </w:r>
      <w:r w:rsidRPr="00310D49">
        <w:rPr>
          <w:lang w:val="fr-FR"/>
        </w:rPr>
        <w:tab/>
        <w:t>En outre, le Ministère du développement social accueille les femmes victimes de violences et leur fournit gratuitement des services de conseil social et juridique et des services d</w:t>
      </w:r>
      <w:r w:rsidR="0035332C">
        <w:rPr>
          <w:lang w:val="fr-FR"/>
        </w:rPr>
        <w:t>’</w:t>
      </w:r>
      <w:r w:rsidRPr="00310D49">
        <w:rPr>
          <w:lang w:val="fr-FR"/>
        </w:rPr>
        <w:t>intervention psychologique. En cas de besoin, le Ministère assure leur transfert vers ses centres de protection d</w:t>
      </w:r>
      <w:r w:rsidR="0035332C">
        <w:rPr>
          <w:lang w:val="fr-FR"/>
        </w:rPr>
        <w:t>’</w:t>
      </w:r>
      <w:r w:rsidRPr="00310D49">
        <w:rPr>
          <w:lang w:val="fr-FR"/>
        </w:rPr>
        <w:t>hébergement ou vers des centres similaires qui lui sont affiliés. Ces</w:t>
      </w:r>
      <w:r w:rsidR="001843ED">
        <w:rPr>
          <w:lang w:val="fr-FR"/>
        </w:rPr>
        <w:t> </w:t>
      </w:r>
      <w:r w:rsidRPr="00310D49">
        <w:rPr>
          <w:lang w:val="fr-FR"/>
        </w:rPr>
        <w:t>centres offrent à ces femmes des services d</w:t>
      </w:r>
      <w:r w:rsidR="0035332C">
        <w:rPr>
          <w:lang w:val="fr-FR"/>
        </w:rPr>
        <w:t>’</w:t>
      </w:r>
      <w:r w:rsidRPr="00310D49">
        <w:rPr>
          <w:lang w:val="fr-FR"/>
        </w:rPr>
        <w:t>hébergement, de protection et de réadaptation.</w:t>
      </w:r>
    </w:p>
    <w:p w14:paraId="35938901" w14:textId="26DAF99B" w:rsidR="00D005FA" w:rsidRPr="00310D49" w:rsidRDefault="00D005FA" w:rsidP="00026B95">
      <w:pPr>
        <w:pStyle w:val="SingleTxtG"/>
        <w:rPr>
          <w:lang w:val="fr-FR"/>
        </w:rPr>
      </w:pPr>
      <w:r w:rsidRPr="00310D49">
        <w:rPr>
          <w:lang w:val="fr-FR"/>
        </w:rPr>
        <w:t>86.</w:t>
      </w:r>
      <w:r w:rsidRPr="00310D49">
        <w:rPr>
          <w:lang w:val="fr-FR"/>
        </w:rPr>
        <w:tab/>
        <w:t>Les activités des centres de protection sont régies à la fois par le règlement n</w:t>
      </w:r>
      <w:r w:rsidR="001843ED" w:rsidRPr="001843ED">
        <w:rPr>
          <w:vertAlign w:val="superscript"/>
          <w:lang w:val="fr-FR"/>
        </w:rPr>
        <w:t>o</w:t>
      </w:r>
      <w:r w:rsidR="001843ED">
        <w:rPr>
          <w:lang w:val="fr-FR"/>
        </w:rPr>
        <w:t> </w:t>
      </w:r>
      <w:r w:rsidRPr="00310D49">
        <w:rPr>
          <w:lang w:val="fr-FR"/>
        </w:rPr>
        <w:t>9 de 2011 relatif aux centres de protection et par le système national d</w:t>
      </w:r>
      <w:r w:rsidR="0035332C">
        <w:rPr>
          <w:lang w:val="fr-FR"/>
        </w:rPr>
        <w:t>’</w:t>
      </w:r>
      <w:r w:rsidRPr="00310D49">
        <w:rPr>
          <w:lang w:val="fr-FR"/>
        </w:rPr>
        <w:t>orientation de 2013. Une équipe nationale a été chargée du système d</w:t>
      </w:r>
      <w:r w:rsidR="0035332C">
        <w:rPr>
          <w:lang w:val="fr-FR"/>
        </w:rPr>
        <w:t>’</w:t>
      </w:r>
      <w:r w:rsidRPr="00310D49">
        <w:rPr>
          <w:lang w:val="fr-FR"/>
        </w:rPr>
        <w:t>orientation national et un guide de procédure détaillé a été élaboré. En Cisjordanie, quatre centres de protection fournissent les services indiqués au paragraphe précédent, à savoir le Centre Mehwar, la Maison de soins aux filles, le Beit Amin et la Foyer d</w:t>
      </w:r>
      <w:r w:rsidR="0035332C">
        <w:rPr>
          <w:lang w:val="fr-FR"/>
        </w:rPr>
        <w:t>’</w:t>
      </w:r>
      <w:r w:rsidRPr="00310D49">
        <w:rPr>
          <w:lang w:val="fr-FR"/>
        </w:rPr>
        <w:t>urgence pour femmes. Dans la bande de Gaza, il existe deux foyers, à savoir la Maison de la sécurité pour les femmes et le Centre Hayat pour la protection des femmes. Mais un seul d</w:t>
      </w:r>
      <w:r w:rsidR="0035332C">
        <w:rPr>
          <w:lang w:val="fr-FR"/>
        </w:rPr>
        <w:t>’</w:t>
      </w:r>
      <w:r w:rsidRPr="00310D49">
        <w:rPr>
          <w:lang w:val="fr-FR"/>
        </w:rPr>
        <w:t>entre eux assure l</w:t>
      </w:r>
      <w:r w:rsidR="0035332C">
        <w:rPr>
          <w:lang w:val="fr-FR"/>
        </w:rPr>
        <w:t>’</w:t>
      </w:r>
      <w:r w:rsidRPr="00310D49">
        <w:rPr>
          <w:lang w:val="fr-FR"/>
        </w:rPr>
        <w:t>hébergement</w:t>
      </w:r>
      <w:r w:rsidR="00B02693">
        <w:rPr>
          <w:lang w:val="fr-FR"/>
        </w:rPr>
        <w:t> </w:t>
      </w:r>
      <w:r w:rsidRPr="00310D49">
        <w:rPr>
          <w:lang w:val="fr-FR"/>
        </w:rPr>
        <w:t xml:space="preserve">; de ce fait, il ne peut accueillir toutes les femmes qui ont besoin de protection. </w:t>
      </w:r>
    </w:p>
    <w:p w14:paraId="77FBC234" w14:textId="05AC2BF2" w:rsidR="00D005FA" w:rsidRPr="00310D49" w:rsidRDefault="00D005FA" w:rsidP="00026B95">
      <w:pPr>
        <w:pStyle w:val="SingleTxtG"/>
        <w:rPr>
          <w:spacing w:val="-4"/>
          <w:lang w:val="fr-FR"/>
        </w:rPr>
      </w:pPr>
      <w:r w:rsidRPr="00310D49">
        <w:rPr>
          <w:lang w:val="fr-FR"/>
        </w:rPr>
        <w:t>87.</w:t>
      </w:r>
      <w:r w:rsidRPr="00310D49">
        <w:rPr>
          <w:lang w:val="fr-FR"/>
        </w:rPr>
        <w:tab/>
        <w:t>Le Ministère du développement social assure l</w:t>
      </w:r>
      <w:r w:rsidR="0035332C">
        <w:rPr>
          <w:lang w:val="fr-FR"/>
        </w:rPr>
        <w:t>’</w:t>
      </w:r>
      <w:r w:rsidRPr="00310D49">
        <w:rPr>
          <w:lang w:val="fr-FR"/>
        </w:rPr>
        <w:t>inclusion des femmes victimes de violences dans ses programmes de secours et de développement en tant que cas d</w:t>
      </w:r>
      <w:r w:rsidR="0035332C">
        <w:rPr>
          <w:lang w:val="fr-FR"/>
        </w:rPr>
        <w:t>’</w:t>
      </w:r>
      <w:r w:rsidRPr="00310D49">
        <w:rPr>
          <w:lang w:val="fr-FR"/>
        </w:rPr>
        <w:t>urgence exceptionnelle et organise des programmes conjoints avec les organisations non gouvernementales. En 2017, environ 336 cas de femmes victimes de violences fondées sur le genre ont été traités par le Ministère.</w:t>
      </w:r>
    </w:p>
    <w:p w14:paraId="105632BD" w14:textId="1D83EB2B" w:rsidR="00D005FA" w:rsidRPr="00310D49" w:rsidRDefault="00D005FA" w:rsidP="00026B95">
      <w:pPr>
        <w:pStyle w:val="SingleTxtG"/>
        <w:rPr>
          <w:lang w:val="fr-FR"/>
        </w:rPr>
      </w:pPr>
      <w:r w:rsidRPr="00310D49">
        <w:rPr>
          <w:lang w:val="fr-FR"/>
        </w:rPr>
        <w:t>88.</w:t>
      </w:r>
      <w:r w:rsidRPr="00310D49">
        <w:rPr>
          <w:lang w:val="fr-FR"/>
        </w:rPr>
        <w:tab/>
        <w:t>Des services chargés de la protection de la famille ont été créés au sein de la police en 2008. Ces services s</w:t>
      </w:r>
      <w:r w:rsidR="0035332C">
        <w:rPr>
          <w:lang w:val="fr-FR"/>
        </w:rPr>
        <w:t>’</w:t>
      </w:r>
      <w:r w:rsidRPr="00310D49">
        <w:rPr>
          <w:lang w:val="fr-FR"/>
        </w:rPr>
        <w:t>occupent des questions de violence familiale et des infractions sexuelles. Dans la bande de Gaza et en l</w:t>
      </w:r>
      <w:r w:rsidR="0035332C">
        <w:rPr>
          <w:lang w:val="fr-FR"/>
        </w:rPr>
        <w:t>’</w:t>
      </w:r>
      <w:r w:rsidRPr="00310D49">
        <w:rPr>
          <w:lang w:val="fr-FR"/>
        </w:rPr>
        <w:t>absence d</w:t>
      </w:r>
      <w:r w:rsidR="0035332C">
        <w:rPr>
          <w:lang w:val="fr-FR"/>
        </w:rPr>
        <w:t>’</w:t>
      </w:r>
      <w:r w:rsidRPr="00310D49">
        <w:rPr>
          <w:lang w:val="fr-FR"/>
        </w:rPr>
        <w:t xml:space="preserve">unités spécialisées dans la protection de la famille, la police reçoit les plaintes des femmes victimes de violence et contribue au règlement de certains conflits mineurs en faisant le cas échéant appel aux comités de réconciliation. </w:t>
      </w:r>
    </w:p>
    <w:p w14:paraId="55E53B39" w14:textId="79253C9F" w:rsidR="00D005FA" w:rsidRPr="00310D49" w:rsidRDefault="00D005FA" w:rsidP="00026B95">
      <w:pPr>
        <w:pStyle w:val="SingleTxtG"/>
        <w:rPr>
          <w:lang w:val="fr-FR"/>
        </w:rPr>
      </w:pPr>
      <w:r w:rsidRPr="00310D49">
        <w:rPr>
          <w:lang w:val="fr-FR"/>
        </w:rPr>
        <w:t>89.</w:t>
      </w:r>
      <w:r w:rsidRPr="00310D49">
        <w:rPr>
          <w:lang w:val="fr-FR"/>
        </w:rPr>
        <w:tab/>
        <w:t>En 2016, un parquet spécialisé a été institué pour assurer la protection de la famille contre la violence et renforcer le rôle du ministère public dans la protection des femmes victimes de violences. Ce service est dirigé par une femme (chef de service). En outre, une unité de l</w:t>
      </w:r>
      <w:r w:rsidR="0035332C">
        <w:rPr>
          <w:lang w:val="fr-FR"/>
        </w:rPr>
        <w:t>’</w:t>
      </w:r>
      <w:r w:rsidRPr="00310D49">
        <w:rPr>
          <w:lang w:val="fr-FR"/>
        </w:rPr>
        <w:t>égalité des sexes a été créée au sein du Ministère public et un guide de procédures harmonisées sur la manière de s</w:t>
      </w:r>
      <w:r w:rsidR="0035332C">
        <w:rPr>
          <w:lang w:val="fr-FR"/>
        </w:rPr>
        <w:t>’</w:t>
      </w:r>
      <w:r w:rsidRPr="00310D49">
        <w:rPr>
          <w:lang w:val="fr-FR"/>
        </w:rPr>
        <w:t>occuper des victimes de violence a été élaboré au ministère public.</w:t>
      </w:r>
    </w:p>
    <w:p w14:paraId="561DED3F" w14:textId="339FD35B" w:rsidR="00D005FA" w:rsidRPr="00310D49" w:rsidRDefault="00D005FA" w:rsidP="00026B95">
      <w:pPr>
        <w:pStyle w:val="SingleTxtG"/>
        <w:rPr>
          <w:lang w:val="fr-FR"/>
        </w:rPr>
      </w:pPr>
      <w:r w:rsidRPr="00310D49">
        <w:rPr>
          <w:lang w:val="fr-FR"/>
        </w:rPr>
        <w:t>90.</w:t>
      </w:r>
      <w:r w:rsidRPr="00310D49">
        <w:rPr>
          <w:lang w:val="fr-FR"/>
        </w:rPr>
        <w:tab/>
        <w:t>Dans le système judiciaire de la charia, les services d</w:t>
      </w:r>
      <w:r w:rsidR="0035332C">
        <w:rPr>
          <w:lang w:val="fr-FR"/>
        </w:rPr>
        <w:t>’</w:t>
      </w:r>
      <w:r w:rsidRPr="00310D49">
        <w:rPr>
          <w:lang w:val="fr-FR"/>
        </w:rPr>
        <w:t>orientation et de médiation familiale et les infrastructures des tribunaux de première instance ont été améliorés. De</w:t>
      </w:r>
      <w:r w:rsidR="001843ED">
        <w:rPr>
          <w:lang w:val="fr-FR"/>
        </w:rPr>
        <w:t> </w:t>
      </w:r>
      <w:r w:rsidRPr="00310D49">
        <w:rPr>
          <w:lang w:val="fr-FR"/>
        </w:rPr>
        <w:t>même, les services de médiation et d</w:t>
      </w:r>
      <w:r w:rsidR="0035332C">
        <w:rPr>
          <w:lang w:val="fr-FR"/>
        </w:rPr>
        <w:t>’</w:t>
      </w:r>
      <w:r w:rsidRPr="00310D49">
        <w:rPr>
          <w:lang w:val="fr-FR"/>
        </w:rPr>
        <w:t>orientation juridique avant l</w:t>
      </w:r>
      <w:r w:rsidR="0035332C">
        <w:rPr>
          <w:lang w:val="fr-FR"/>
        </w:rPr>
        <w:t>’</w:t>
      </w:r>
      <w:r w:rsidRPr="00310D49">
        <w:rPr>
          <w:lang w:val="fr-FR"/>
        </w:rPr>
        <w:t>ouverture d</w:t>
      </w:r>
      <w:r w:rsidR="0035332C">
        <w:rPr>
          <w:lang w:val="fr-FR"/>
        </w:rPr>
        <w:t>’</w:t>
      </w:r>
      <w:r w:rsidRPr="00310D49">
        <w:rPr>
          <w:lang w:val="fr-FR"/>
        </w:rPr>
        <w:t>une action en justice ont été renforcés. En 2016, 4</w:t>
      </w:r>
      <w:r w:rsidR="001843ED">
        <w:rPr>
          <w:lang w:val="fr-FR"/>
        </w:rPr>
        <w:t> </w:t>
      </w:r>
      <w:r w:rsidRPr="00310D49">
        <w:rPr>
          <w:lang w:val="fr-FR"/>
        </w:rPr>
        <w:t>476</w:t>
      </w:r>
      <w:r w:rsidR="001843ED">
        <w:rPr>
          <w:lang w:val="fr-FR"/>
        </w:rPr>
        <w:t> </w:t>
      </w:r>
      <w:r w:rsidRPr="00310D49">
        <w:rPr>
          <w:lang w:val="fr-FR"/>
        </w:rPr>
        <w:t xml:space="preserve">cas ont été pris en charge par ces services en Cisjordanie. </w:t>
      </w:r>
    </w:p>
    <w:p w14:paraId="5523672C" w14:textId="55F8A60C" w:rsidR="00D005FA" w:rsidRPr="00310D49" w:rsidRDefault="00D005FA" w:rsidP="00026B95">
      <w:pPr>
        <w:pStyle w:val="SingleTxtG"/>
        <w:rPr>
          <w:lang w:val="fr-FR"/>
        </w:rPr>
      </w:pPr>
      <w:r w:rsidRPr="00310D49">
        <w:rPr>
          <w:lang w:val="fr-FR"/>
        </w:rPr>
        <w:t>91.</w:t>
      </w:r>
      <w:r w:rsidRPr="00310D49">
        <w:rPr>
          <w:lang w:val="fr-FR"/>
        </w:rPr>
        <w:tab/>
      </w:r>
      <w:r w:rsidRPr="00311C56">
        <w:rPr>
          <w:lang w:val="fr-FR"/>
        </w:rPr>
        <w:t>Depuis le début janvier 2017, les femmes victimes de violences sont dispensées de tous frais de rapports médicaux établis par</w:t>
      </w:r>
      <w:r w:rsidRPr="00310D49">
        <w:rPr>
          <w:lang w:val="fr-FR"/>
        </w:rPr>
        <w:t xml:space="preserve"> les hôpitaux publics. En outre, le Ministère de la santé a adopté un certain nombre de mesures pour accélérer les procédures qui les concernent et suivre toutes les questions d</w:t>
      </w:r>
      <w:r w:rsidR="0035332C">
        <w:rPr>
          <w:lang w:val="fr-FR"/>
        </w:rPr>
        <w:t>’</w:t>
      </w:r>
      <w:r w:rsidRPr="00310D49">
        <w:rPr>
          <w:lang w:val="fr-FR"/>
        </w:rPr>
        <w:t>ordre psychologique et juridique liées à la santé des femmes et à leur sécurité. Le Guide de procédures a été mis à jour et des registres quotidiens et mensuels ont été établis pour surveiller les cas de violence sexiste.</w:t>
      </w:r>
    </w:p>
    <w:p w14:paraId="4A39E24B" w14:textId="7E005624" w:rsidR="00D005FA" w:rsidRPr="00310D49" w:rsidRDefault="00D005FA" w:rsidP="00026B95">
      <w:pPr>
        <w:pStyle w:val="SingleTxtG"/>
        <w:rPr>
          <w:lang w:val="fr-FR"/>
        </w:rPr>
      </w:pPr>
      <w:r w:rsidRPr="00310D49">
        <w:rPr>
          <w:lang w:val="fr-FR"/>
        </w:rPr>
        <w:t>92.</w:t>
      </w:r>
      <w:r w:rsidRPr="00310D49">
        <w:rPr>
          <w:lang w:val="fr-FR"/>
        </w:rPr>
        <w:tab/>
        <w:t>Selon la «</w:t>
      </w:r>
      <w:r w:rsidR="00026B95">
        <w:rPr>
          <w:lang w:val="fr-FR"/>
        </w:rPr>
        <w:t> </w:t>
      </w:r>
      <w:r w:rsidRPr="00310D49">
        <w:rPr>
          <w:lang w:val="fr-FR"/>
        </w:rPr>
        <w:t>Violence survey in the Palestinian Territory, 2011</w:t>
      </w:r>
      <w:r w:rsidR="00026B95">
        <w:rPr>
          <w:lang w:val="fr-FR"/>
        </w:rPr>
        <w:t> </w:t>
      </w:r>
      <w:r w:rsidRPr="00310D49">
        <w:rPr>
          <w:lang w:val="fr-FR"/>
        </w:rPr>
        <w:t>» et la «</w:t>
      </w:r>
      <w:r w:rsidR="00026B95">
        <w:rPr>
          <w:lang w:val="fr-FR"/>
        </w:rPr>
        <w:t> </w:t>
      </w:r>
      <w:r w:rsidRPr="00310D49">
        <w:rPr>
          <w:lang w:val="fr-FR"/>
        </w:rPr>
        <w:t>Violence survey in the Palestinian Territory, 2019</w:t>
      </w:r>
      <w:r w:rsidR="00026B95">
        <w:rPr>
          <w:lang w:val="fr-FR"/>
        </w:rPr>
        <w:t> </w:t>
      </w:r>
      <w:r w:rsidRPr="00310D49">
        <w:rPr>
          <w:lang w:val="fr-FR"/>
        </w:rPr>
        <w:t>», la prévalence de la violence exercée par le conjoint sur les femmes mariées ou qui l</w:t>
      </w:r>
      <w:r w:rsidR="0035332C">
        <w:rPr>
          <w:lang w:val="fr-FR"/>
        </w:rPr>
        <w:t>’</w:t>
      </w:r>
      <w:r w:rsidRPr="00310D49">
        <w:rPr>
          <w:lang w:val="fr-FR"/>
        </w:rPr>
        <w:t>ont été est passée de 37</w:t>
      </w:r>
      <w:r w:rsidR="00026B95">
        <w:rPr>
          <w:lang w:val="fr-FR"/>
        </w:rPr>
        <w:t> </w:t>
      </w:r>
      <w:r w:rsidRPr="00310D49">
        <w:rPr>
          <w:lang w:val="fr-FR"/>
        </w:rPr>
        <w:t>% en 2011 à 27</w:t>
      </w:r>
      <w:r w:rsidR="00026B95">
        <w:rPr>
          <w:lang w:val="fr-FR"/>
        </w:rPr>
        <w:t> </w:t>
      </w:r>
      <w:r w:rsidRPr="00310D49">
        <w:rPr>
          <w:lang w:val="fr-FR"/>
        </w:rPr>
        <w:t xml:space="preserve">% en 2019. Il ressort de ces deux enquêtes </w:t>
      </w:r>
      <w:r w:rsidRPr="00311C56">
        <w:rPr>
          <w:lang w:val="fr-FR"/>
        </w:rPr>
        <w:t>que 6</w:t>
      </w:r>
      <w:r w:rsidR="00311C56" w:rsidRPr="00311C56">
        <w:rPr>
          <w:lang w:val="fr-FR"/>
        </w:rPr>
        <w:t>5</w:t>
      </w:r>
      <w:r w:rsidRPr="00311C56">
        <w:rPr>
          <w:lang w:val="fr-FR"/>
        </w:rPr>
        <w:t>,</w:t>
      </w:r>
      <w:r w:rsidR="00311C56" w:rsidRPr="00311C56">
        <w:rPr>
          <w:lang w:val="fr-FR"/>
        </w:rPr>
        <w:t>3</w:t>
      </w:r>
      <w:r w:rsidR="00026B95" w:rsidRPr="00311C56">
        <w:rPr>
          <w:lang w:val="fr-FR"/>
        </w:rPr>
        <w:t> </w:t>
      </w:r>
      <w:r w:rsidRPr="00311C56">
        <w:rPr>
          <w:lang w:val="fr-FR"/>
        </w:rPr>
        <w:t>% des</w:t>
      </w:r>
      <w:r w:rsidRPr="00310D49">
        <w:rPr>
          <w:lang w:val="fr-FR"/>
        </w:rPr>
        <w:t xml:space="preserve"> femmes qui ont </w:t>
      </w:r>
      <w:r w:rsidRPr="00311C56">
        <w:rPr>
          <w:lang w:val="fr-FR"/>
        </w:rPr>
        <w:t>subi des violences de la part de leur mari en 2011 ont préféré garder le silence, contre 61</w:t>
      </w:r>
      <w:r w:rsidR="00026B95" w:rsidRPr="00311C56">
        <w:rPr>
          <w:lang w:val="fr-FR"/>
        </w:rPr>
        <w:t> </w:t>
      </w:r>
      <w:r w:rsidRPr="00311C56">
        <w:rPr>
          <w:lang w:val="fr-FR"/>
        </w:rPr>
        <w:t>% en 2011, tandis que seulement 0,7</w:t>
      </w:r>
      <w:r w:rsidR="00026B95" w:rsidRPr="00311C56">
        <w:rPr>
          <w:lang w:val="fr-FR"/>
        </w:rPr>
        <w:t> </w:t>
      </w:r>
      <w:r w:rsidRPr="00311C56">
        <w:rPr>
          <w:lang w:val="fr-FR"/>
        </w:rPr>
        <w:t>% des femmes se sont rendues dans un centre d</w:t>
      </w:r>
      <w:r w:rsidR="0035332C">
        <w:rPr>
          <w:lang w:val="fr-FR"/>
        </w:rPr>
        <w:t>’</w:t>
      </w:r>
      <w:r w:rsidRPr="00311C56">
        <w:rPr>
          <w:lang w:val="fr-FR"/>
        </w:rPr>
        <w:t>assistance psychologique</w:t>
      </w:r>
      <w:r w:rsidRPr="00310D49">
        <w:rPr>
          <w:lang w:val="fr-FR"/>
        </w:rPr>
        <w:t>, sociale ou juridique en 2011, contre 1,4</w:t>
      </w:r>
      <w:r w:rsidR="00026B95">
        <w:rPr>
          <w:lang w:val="fr-FR"/>
        </w:rPr>
        <w:t> </w:t>
      </w:r>
      <w:r w:rsidRPr="00310D49">
        <w:rPr>
          <w:lang w:val="fr-FR"/>
        </w:rPr>
        <w:t>% en 2019.</w:t>
      </w:r>
    </w:p>
    <w:p w14:paraId="29AB32E3" w14:textId="79B7DBE4" w:rsidR="00D005FA" w:rsidRPr="00310D49" w:rsidRDefault="00D005FA" w:rsidP="00026B95">
      <w:pPr>
        <w:pStyle w:val="SingleTxtG"/>
        <w:rPr>
          <w:lang w:val="fr-FR"/>
        </w:rPr>
      </w:pPr>
      <w:r w:rsidRPr="00310D49">
        <w:rPr>
          <w:lang w:val="fr-FR"/>
        </w:rPr>
        <w:t>93.</w:t>
      </w:r>
      <w:r w:rsidRPr="00310D49">
        <w:rPr>
          <w:lang w:val="fr-FR"/>
        </w:rPr>
        <w:tab/>
        <w:t>Les femmes palestiniennes sont exposées à la violence multiple sous l</w:t>
      </w:r>
      <w:r w:rsidR="0035332C">
        <w:rPr>
          <w:lang w:val="fr-FR"/>
        </w:rPr>
        <w:t>’</w:t>
      </w:r>
      <w:r w:rsidRPr="00310D49">
        <w:rPr>
          <w:lang w:val="fr-FR"/>
        </w:rPr>
        <w:t>occupation israélienne qui menace leur sécurité et aggrave la privation de leurs droits fondamentaux, y</w:t>
      </w:r>
      <w:r w:rsidR="001843ED">
        <w:rPr>
          <w:lang w:val="fr-FR"/>
        </w:rPr>
        <w:t> </w:t>
      </w:r>
      <w:r w:rsidRPr="00310D49">
        <w:rPr>
          <w:lang w:val="fr-FR"/>
        </w:rPr>
        <w:t>compris le droit à l</w:t>
      </w:r>
      <w:r w:rsidR="0035332C">
        <w:rPr>
          <w:lang w:val="fr-FR"/>
        </w:rPr>
        <w:t>’</w:t>
      </w:r>
      <w:r w:rsidRPr="00310D49">
        <w:rPr>
          <w:lang w:val="fr-FR"/>
        </w:rPr>
        <w:t>autodétermination et le droit au retour. Les femmes sont parmi les groupes les plus touchés et affectés par les politiques et les crimes de l</w:t>
      </w:r>
      <w:r w:rsidR="0035332C">
        <w:rPr>
          <w:lang w:val="fr-FR"/>
        </w:rPr>
        <w:t>’</w:t>
      </w:r>
      <w:r w:rsidRPr="00310D49">
        <w:rPr>
          <w:lang w:val="fr-FR"/>
        </w:rPr>
        <w:t xml:space="preserve">occupation israélienne, </w:t>
      </w:r>
      <w:r w:rsidRPr="00310D49">
        <w:rPr>
          <w:lang w:val="fr-FR"/>
        </w:rPr>
        <w:lastRenderedPageBreak/>
        <w:t>qui comprennent notamment les diverses méthodes pour réduire les moyens de subsistance, les entraves à l</w:t>
      </w:r>
      <w:r w:rsidR="0035332C">
        <w:rPr>
          <w:lang w:val="fr-FR"/>
        </w:rPr>
        <w:t>’</w:t>
      </w:r>
      <w:r w:rsidRPr="00310D49">
        <w:rPr>
          <w:lang w:val="fr-FR"/>
        </w:rPr>
        <w:t>accès aux services publics tels que l</w:t>
      </w:r>
      <w:r w:rsidR="0035332C">
        <w:rPr>
          <w:lang w:val="fr-FR"/>
        </w:rPr>
        <w:t>’</w:t>
      </w:r>
      <w:r w:rsidRPr="00310D49">
        <w:rPr>
          <w:lang w:val="fr-FR"/>
        </w:rPr>
        <w:t>éducation et la santé avec pour conséquence des accouchements aux barrages où les services de santé reproductive nécessaires font défaut, la déportation forcée des Bédouins palestiniens, l</w:t>
      </w:r>
      <w:r w:rsidR="0035332C">
        <w:rPr>
          <w:lang w:val="fr-FR"/>
        </w:rPr>
        <w:t>’</w:t>
      </w:r>
      <w:r w:rsidRPr="00310D49">
        <w:rPr>
          <w:lang w:val="fr-FR"/>
        </w:rPr>
        <w:t>application de politiques et législations discriminatoires à Jérusalem-Est, les politiques d</w:t>
      </w:r>
      <w:r w:rsidR="0035332C">
        <w:rPr>
          <w:lang w:val="fr-FR"/>
        </w:rPr>
        <w:t>’</w:t>
      </w:r>
      <w:r w:rsidRPr="00310D49">
        <w:rPr>
          <w:lang w:val="fr-FR"/>
        </w:rPr>
        <w:t>expulsion et de déportation des conjoints et des enfants, l</w:t>
      </w:r>
      <w:r w:rsidR="0035332C">
        <w:rPr>
          <w:lang w:val="fr-FR"/>
        </w:rPr>
        <w:t>’</w:t>
      </w:r>
      <w:r w:rsidRPr="00310D49">
        <w:rPr>
          <w:lang w:val="fr-FR"/>
        </w:rPr>
        <w:t>entrave au regroupement familial et la dispersion des familles palestiniennes de diverses manières. L</w:t>
      </w:r>
      <w:r w:rsidR="0035332C">
        <w:rPr>
          <w:lang w:val="fr-FR"/>
        </w:rPr>
        <w:t>’</w:t>
      </w:r>
      <w:r w:rsidRPr="00310D49">
        <w:rPr>
          <w:lang w:val="fr-FR"/>
        </w:rPr>
        <w:t>enquête sur la violence dans la société palestinienne effectuée en 2011 (Violence survey in the Palestinian Territory, 2011) montre que près de la moitié des familles palestiniennes ont subi des violences commises directement par les forces d</w:t>
      </w:r>
      <w:r w:rsidR="0035332C">
        <w:rPr>
          <w:lang w:val="fr-FR"/>
        </w:rPr>
        <w:t>’</w:t>
      </w:r>
      <w:r w:rsidRPr="00310D49">
        <w:rPr>
          <w:lang w:val="fr-FR"/>
        </w:rPr>
        <w:t>occupation et les colons israéliens.</w:t>
      </w:r>
    </w:p>
    <w:p w14:paraId="27CBE790" w14:textId="558739DC" w:rsidR="00D005FA" w:rsidRPr="00310D49" w:rsidRDefault="00D005FA" w:rsidP="00026B95">
      <w:pPr>
        <w:pStyle w:val="SingleTxtG"/>
        <w:rPr>
          <w:lang w:val="fr-FR"/>
        </w:rPr>
      </w:pPr>
      <w:r w:rsidRPr="00310D49">
        <w:rPr>
          <w:lang w:val="fr-FR"/>
        </w:rPr>
        <w:t>94.</w:t>
      </w:r>
      <w:r w:rsidRPr="00310D49">
        <w:rPr>
          <w:lang w:val="fr-FR"/>
        </w:rPr>
        <w:tab/>
        <w:t>Les dispositions relatives à l</w:t>
      </w:r>
      <w:r w:rsidR="0035332C">
        <w:rPr>
          <w:lang w:val="fr-FR"/>
        </w:rPr>
        <w:t>’</w:t>
      </w:r>
      <w:r w:rsidRPr="00310D49">
        <w:rPr>
          <w:lang w:val="fr-FR"/>
        </w:rPr>
        <w:t>âge du mariage, du divorce et de la garde sont mentionné</w:t>
      </w:r>
      <w:r w:rsidR="001843ED">
        <w:rPr>
          <w:lang w:val="fr-FR"/>
        </w:rPr>
        <w:t>e</w:t>
      </w:r>
      <w:r w:rsidRPr="00310D49">
        <w:rPr>
          <w:lang w:val="fr-FR"/>
        </w:rPr>
        <w:t>s à la réponse donnée à l</w:t>
      </w:r>
      <w:r w:rsidR="0035332C">
        <w:rPr>
          <w:lang w:val="fr-FR"/>
        </w:rPr>
        <w:t>’</w:t>
      </w:r>
      <w:r w:rsidRPr="00310D49">
        <w:rPr>
          <w:lang w:val="fr-FR"/>
        </w:rPr>
        <w:t>article 23.</w:t>
      </w:r>
    </w:p>
    <w:p w14:paraId="547F4286" w14:textId="77777777" w:rsidR="00D005FA" w:rsidRPr="00310D49" w:rsidRDefault="00D005FA" w:rsidP="00026B95">
      <w:pPr>
        <w:pStyle w:val="H23G"/>
        <w:rPr>
          <w:lang w:val="fr-FR"/>
        </w:rPr>
      </w:pPr>
      <w:r w:rsidRPr="00310D49">
        <w:rPr>
          <w:lang w:val="fr-FR"/>
        </w:rPr>
        <w:tab/>
      </w:r>
      <w:r w:rsidRPr="00310D49">
        <w:rPr>
          <w:lang w:val="fr-FR"/>
        </w:rPr>
        <w:tab/>
        <w:t>Scolarisation des filles</w:t>
      </w:r>
    </w:p>
    <w:p w14:paraId="3127E5E6" w14:textId="5CB4AA22" w:rsidR="00D005FA" w:rsidRPr="00310D49" w:rsidRDefault="00D005FA" w:rsidP="00026B95">
      <w:pPr>
        <w:pStyle w:val="SingleTxtG"/>
        <w:rPr>
          <w:lang w:val="fr-FR"/>
        </w:rPr>
      </w:pPr>
      <w:r w:rsidRPr="00310D49">
        <w:rPr>
          <w:lang w:val="fr-FR"/>
        </w:rPr>
        <w:t>95.</w:t>
      </w:r>
      <w:r w:rsidRPr="00310D49">
        <w:rPr>
          <w:lang w:val="fr-FR"/>
        </w:rPr>
        <w:tab/>
        <w:t>L</w:t>
      </w:r>
      <w:r w:rsidR="0035332C">
        <w:rPr>
          <w:lang w:val="fr-FR"/>
        </w:rPr>
        <w:t>’</w:t>
      </w:r>
      <w:r w:rsidRPr="00310D49">
        <w:rPr>
          <w:lang w:val="fr-FR"/>
        </w:rPr>
        <w:t>article 24-1 de la Loi fondamentale, telle que modifiée, dispose ce qui suit</w:t>
      </w:r>
      <w:r w:rsidR="00B02693">
        <w:rPr>
          <w:lang w:val="fr-FR"/>
        </w:rPr>
        <w:t> </w:t>
      </w:r>
      <w:r w:rsidRPr="00310D49">
        <w:rPr>
          <w:lang w:val="fr-FR"/>
        </w:rPr>
        <w:t>: «</w:t>
      </w:r>
      <w:r w:rsidR="00B02693">
        <w:rPr>
          <w:lang w:val="fr-FR"/>
        </w:rPr>
        <w:t> </w:t>
      </w:r>
      <w:r w:rsidRPr="00310D49">
        <w:rPr>
          <w:lang w:val="fr-FR"/>
        </w:rPr>
        <w:t>Tout citoyen a droit à l</w:t>
      </w:r>
      <w:r w:rsidR="0035332C">
        <w:rPr>
          <w:lang w:val="fr-FR"/>
        </w:rPr>
        <w:t>’</w:t>
      </w:r>
      <w:r w:rsidRPr="00310D49">
        <w:rPr>
          <w:lang w:val="fr-FR"/>
        </w:rPr>
        <w:t>éducation. La scolarité est obligatoire jusqu</w:t>
      </w:r>
      <w:r w:rsidR="0035332C">
        <w:rPr>
          <w:lang w:val="fr-FR"/>
        </w:rPr>
        <w:t>’</w:t>
      </w:r>
      <w:r w:rsidRPr="00310D49">
        <w:rPr>
          <w:lang w:val="fr-FR"/>
        </w:rPr>
        <w:t>à la fin du cycle élémentaire. Elle est gratuite dans les écoles et établissements publics</w:t>
      </w:r>
      <w:r w:rsidR="00B02693">
        <w:rPr>
          <w:lang w:val="fr-FR"/>
        </w:rPr>
        <w:t> </w:t>
      </w:r>
      <w:r w:rsidRPr="00310D49">
        <w:rPr>
          <w:lang w:val="fr-FR"/>
        </w:rPr>
        <w:t>». Ce droit a été reconnu par le décret-loi de 2017 relatif à l</w:t>
      </w:r>
      <w:r w:rsidR="0035332C">
        <w:rPr>
          <w:lang w:val="fr-FR"/>
        </w:rPr>
        <w:t>’</w:t>
      </w:r>
      <w:r w:rsidRPr="00310D49">
        <w:rPr>
          <w:lang w:val="fr-FR"/>
        </w:rPr>
        <w:t>enseignement public, qui accorde explicitement l</w:t>
      </w:r>
      <w:r w:rsidR="0035332C">
        <w:rPr>
          <w:lang w:val="fr-FR"/>
        </w:rPr>
        <w:t>’</w:t>
      </w:r>
      <w:r w:rsidRPr="00310D49">
        <w:rPr>
          <w:lang w:val="fr-FR"/>
        </w:rPr>
        <w:t>égalité aux garçons et aux filles en matière de conditions d</w:t>
      </w:r>
      <w:r w:rsidR="0035332C">
        <w:rPr>
          <w:lang w:val="fr-FR"/>
        </w:rPr>
        <w:t>’</w:t>
      </w:r>
      <w:r w:rsidRPr="00310D49">
        <w:rPr>
          <w:lang w:val="fr-FR"/>
        </w:rPr>
        <w:t>inscription scolaire et de programmes qui sont les mêmes pour les deux sexes.</w:t>
      </w:r>
    </w:p>
    <w:p w14:paraId="62AB6C83" w14:textId="00FC39F3" w:rsidR="00D005FA" w:rsidRPr="00310D49" w:rsidRDefault="00D005FA" w:rsidP="00026B95">
      <w:pPr>
        <w:pStyle w:val="SingleTxtG"/>
        <w:rPr>
          <w:lang w:val="fr-FR"/>
        </w:rPr>
      </w:pPr>
      <w:r w:rsidRPr="00310D49">
        <w:rPr>
          <w:lang w:val="fr-FR"/>
        </w:rPr>
        <w:t>96.</w:t>
      </w:r>
      <w:r w:rsidRPr="00310D49">
        <w:rPr>
          <w:lang w:val="fr-FR"/>
        </w:rPr>
        <w:tab/>
        <w:t>L</w:t>
      </w:r>
      <w:r w:rsidR="0035332C">
        <w:rPr>
          <w:lang w:val="fr-FR"/>
        </w:rPr>
        <w:t>’</w:t>
      </w:r>
      <w:r w:rsidRPr="00310D49">
        <w:rPr>
          <w:lang w:val="fr-FR"/>
        </w:rPr>
        <w:t>État a manifesté la volonté politique de tenir compte des notions d</w:t>
      </w:r>
      <w:r w:rsidR="0035332C">
        <w:rPr>
          <w:lang w:val="fr-FR"/>
        </w:rPr>
        <w:t>’</w:t>
      </w:r>
      <w:r w:rsidRPr="00310D49">
        <w:rPr>
          <w:lang w:val="fr-FR"/>
        </w:rPr>
        <w:t>égalité des sexes et de rôle sexosocial lors de l</w:t>
      </w:r>
      <w:r w:rsidR="0035332C">
        <w:rPr>
          <w:lang w:val="fr-FR"/>
        </w:rPr>
        <w:t>’</w:t>
      </w:r>
      <w:r w:rsidRPr="00310D49">
        <w:rPr>
          <w:lang w:val="fr-FR"/>
        </w:rPr>
        <w:t>actualisation des programmes scolaires et de l</w:t>
      </w:r>
      <w:r w:rsidR="0035332C">
        <w:rPr>
          <w:lang w:val="fr-FR"/>
        </w:rPr>
        <w:t>’</w:t>
      </w:r>
      <w:r w:rsidRPr="00310D49">
        <w:rPr>
          <w:lang w:val="fr-FR"/>
        </w:rPr>
        <w:t>élaboration de nouveaux programmes, en adoptant les critères suivants</w:t>
      </w:r>
      <w:r w:rsidR="00B02693">
        <w:rPr>
          <w:lang w:val="fr-FR"/>
        </w:rPr>
        <w:t> </w:t>
      </w:r>
      <w:r w:rsidRPr="00310D49">
        <w:rPr>
          <w:lang w:val="fr-FR"/>
        </w:rPr>
        <w:t>: éviter la discrimination fondée sur le sexe, souligner l</w:t>
      </w:r>
      <w:r w:rsidR="0035332C">
        <w:rPr>
          <w:lang w:val="fr-FR"/>
        </w:rPr>
        <w:t>’</w:t>
      </w:r>
      <w:r w:rsidRPr="00310D49">
        <w:rPr>
          <w:lang w:val="fr-FR"/>
        </w:rPr>
        <w:t>importance du rôle de la femme dans la société et faire en sorte que la femme participe à la vie politique et publique et accède aux postes de direction.</w:t>
      </w:r>
    </w:p>
    <w:p w14:paraId="656ED420" w14:textId="3C1E7E7A" w:rsidR="00D005FA" w:rsidRPr="00310D49" w:rsidRDefault="00D005FA" w:rsidP="00026B95">
      <w:pPr>
        <w:pStyle w:val="SingleTxtG"/>
        <w:rPr>
          <w:spacing w:val="-4"/>
          <w:lang w:val="fr-FR"/>
        </w:rPr>
      </w:pPr>
      <w:r w:rsidRPr="00310D49">
        <w:rPr>
          <w:lang w:val="fr-FR"/>
        </w:rPr>
        <w:t>97.</w:t>
      </w:r>
      <w:r w:rsidRPr="00310D49">
        <w:rPr>
          <w:lang w:val="fr-FR"/>
        </w:rPr>
        <w:tab/>
        <w:t>Les données statistiques du Ministère de l</w:t>
      </w:r>
      <w:r w:rsidR="0035332C">
        <w:rPr>
          <w:lang w:val="fr-FR"/>
        </w:rPr>
        <w:t>’</w:t>
      </w:r>
      <w:r w:rsidRPr="00310D49">
        <w:rPr>
          <w:lang w:val="fr-FR"/>
        </w:rPr>
        <w:t>éducation et de l</w:t>
      </w:r>
      <w:r w:rsidR="0035332C">
        <w:rPr>
          <w:lang w:val="fr-FR"/>
        </w:rPr>
        <w:t>’</w:t>
      </w:r>
      <w:r w:rsidRPr="00310D49">
        <w:rPr>
          <w:lang w:val="fr-FR"/>
        </w:rPr>
        <w:t>enseignement supérieur relatives à l</w:t>
      </w:r>
      <w:r w:rsidR="0035332C">
        <w:rPr>
          <w:lang w:val="fr-FR"/>
        </w:rPr>
        <w:t>’</w:t>
      </w:r>
      <w:r w:rsidRPr="00310D49">
        <w:rPr>
          <w:lang w:val="fr-FR"/>
        </w:rPr>
        <w:t>évolution du nombre d</w:t>
      </w:r>
      <w:r w:rsidR="0035332C">
        <w:rPr>
          <w:lang w:val="fr-FR"/>
        </w:rPr>
        <w:t>’</w:t>
      </w:r>
      <w:r w:rsidRPr="00310D49">
        <w:rPr>
          <w:lang w:val="fr-FR"/>
        </w:rPr>
        <w:t>élèves et d</w:t>
      </w:r>
      <w:r w:rsidR="0035332C">
        <w:rPr>
          <w:lang w:val="fr-FR"/>
        </w:rPr>
        <w:t>’</w:t>
      </w:r>
      <w:r w:rsidRPr="00310D49">
        <w:rPr>
          <w:lang w:val="fr-FR"/>
        </w:rPr>
        <w:t>étudiants des deux sexes sont présentées dans le tableau ci-après.</w:t>
      </w:r>
    </w:p>
    <w:tbl>
      <w:tblPr>
        <w:tblW w:w="7370" w:type="dxa"/>
        <w:tblInd w:w="1134" w:type="dxa"/>
        <w:tblLayout w:type="fixed"/>
        <w:tblCellMar>
          <w:left w:w="0" w:type="dxa"/>
          <w:right w:w="0" w:type="dxa"/>
        </w:tblCellMar>
        <w:tblLook w:val="04A0" w:firstRow="1" w:lastRow="0" w:firstColumn="1" w:lastColumn="0" w:noHBand="0" w:noVBand="1"/>
      </w:tblPr>
      <w:tblGrid>
        <w:gridCol w:w="993"/>
        <w:gridCol w:w="3402"/>
        <w:gridCol w:w="1559"/>
        <w:gridCol w:w="1416"/>
      </w:tblGrid>
      <w:tr w:rsidR="00026B95" w:rsidRPr="00026B95" w14:paraId="7F52A701" w14:textId="77777777" w:rsidTr="00026B95">
        <w:trPr>
          <w:tblHeader/>
        </w:trPr>
        <w:tc>
          <w:tcPr>
            <w:tcW w:w="993" w:type="dxa"/>
            <w:tcBorders>
              <w:top w:val="single" w:sz="4" w:space="0" w:color="auto"/>
              <w:bottom w:val="single" w:sz="12" w:space="0" w:color="auto"/>
            </w:tcBorders>
            <w:shd w:val="clear" w:color="auto" w:fill="auto"/>
            <w:vAlign w:val="bottom"/>
          </w:tcPr>
          <w:p w14:paraId="67CCB719" w14:textId="77777777" w:rsidR="00D005FA" w:rsidRPr="00026B95" w:rsidRDefault="00D005FA" w:rsidP="00026B95">
            <w:pPr>
              <w:suppressAutoHyphens w:val="0"/>
              <w:spacing w:before="80" w:after="80" w:line="200" w:lineRule="exact"/>
              <w:rPr>
                <w:i/>
                <w:sz w:val="16"/>
                <w:lang w:val="fr-FR"/>
              </w:rPr>
            </w:pPr>
            <w:r w:rsidRPr="00026B95">
              <w:rPr>
                <w:i/>
                <w:sz w:val="16"/>
                <w:lang w:val="fr-FR"/>
              </w:rPr>
              <w:t>Année</w:t>
            </w:r>
          </w:p>
        </w:tc>
        <w:tc>
          <w:tcPr>
            <w:tcW w:w="3402" w:type="dxa"/>
            <w:tcBorders>
              <w:top w:val="single" w:sz="4" w:space="0" w:color="auto"/>
              <w:bottom w:val="single" w:sz="12" w:space="0" w:color="auto"/>
            </w:tcBorders>
            <w:shd w:val="clear" w:color="auto" w:fill="auto"/>
            <w:vAlign w:val="bottom"/>
          </w:tcPr>
          <w:p w14:paraId="3399345E" w14:textId="5A2B6943" w:rsidR="00D005FA" w:rsidRPr="00026B95" w:rsidRDefault="00D005FA" w:rsidP="00026B95">
            <w:pPr>
              <w:suppressAutoHyphens w:val="0"/>
              <w:spacing w:before="80" w:after="80" w:line="200" w:lineRule="exact"/>
              <w:jc w:val="right"/>
              <w:rPr>
                <w:i/>
                <w:sz w:val="16"/>
                <w:lang w:val="fr-FR"/>
              </w:rPr>
            </w:pPr>
            <w:r w:rsidRPr="00026B95">
              <w:rPr>
                <w:i/>
                <w:sz w:val="16"/>
                <w:lang w:val="fr-FR"/>
              </w:rPr>
              <w:t>Nombre d</w:t>
            </w:r>
            <w:r w:rsidR="0035332C">
              <w:rPr>
                <w:i/>
                <w:sz w:val="16"/>
                <w:lang w:val="fr-FR"/>
              </w:rPr>
              <w:t>’</w:t>
            </w:r>
            <w:r w:rsidRPr="00026B95">
              <w:rPr>
                <w:i/>
                <w:sz w:val="16"/>
                <w:lang w:val="fr-FR"/>
              </w:rPr>
              <w:t>élèves et d</w:t>
            </w:r>
            <w:r w:rsidR="0035332C">
              <w:rPr>
                <w:i/>
                <w:sz w:val="16"/>
                <w:lang w:val="fr-FR"/>
              </w:rPr>
              <w:t>’</w:t>
            </w:r>
            <w:r w:rsidRPr="00026B95">
              <w:rPr>
                <w:i/>
                <w:sz w:val="16"/>
                <w:lang w:val="fr-FR"/>
              </w:rPr>
              <w:t>étudiants dans tous les gouvernorats et à tous les niveaux d</w:t>
            </w:r>
            <w:r w:rsidR="0035332C">
              <w:rPr>
                <w:i/>
                <w:sz w:val="16"/>
                <w:lang w:val="fr-FR"/>
              </w:rPr>
              <w:t>’</w:t>
            </w:r>
            <w:r w:rsidRPr="00026B95">
              <w:rPr>
                <w:i/>
                <w:sz w:val="16"/>
                <w:lang w:val="fr-FR"/>
              </w:rPr>
              <w:t>enseignement</w:t>
            </w:r>
          </w:p>
        </w:tc>
        <w:tc>
          <w:tcPr>
            <w:tcW w:w="1559" w:type="dxa"/>
            <w:tcBorders>
              <w:top w:val="single" w:sz="4" w:space="0" w:color="auto"/>
              <w:bottom w:val="single" w:sz="12" w:space="0" w:color="auto"/>
            </w:tcBorders>
            <w:shd w:val="clear" w:color="auto" w:fill="auto"/>
            <w:vAlign w:val="bottom"/>
          </w:tcPr>
          <w:p w14:paraId="177ABE69" w14:textId="77777777" w:rsidR="00D005FA" w:rsidRPr="00026B95" w:rsidRDefault="00D005FA" w:rsidP="00026B95">
            <w:pPr>
              <w:suppressAutoHyphens w:val="0"/>
              <w:spacing w:before="80" w:after="80" w:line="200" w:lineRule="exact"/>
              <w:jc w:val="right"/>
              <w:rPr>
                <w:i/>
                <w:sz w:val="16"/>
                <w:lang w:val="fr-FR"/>
              </w:rPr>
            </w:pPr>
            <w:r w:rsidRPr="00026B95">
              <w:rPr>
                <w:i/>
                <w:sz w:val="16"/>
                <w:lang w:val="fr-FR"/>
              </w:rPr>
              <w:t>Élèves et étudiants de sexe féminin</w:t>
            </w:r>
          </w:p>
        </w:tc>
        <w:tc>
          <w:tcPr>
            <w:tcW w:w="1416" w:type="dxa"/>
            <w:tcBorders>
              <w:top w:val="single" w:sz="4" w:space="0" w:color="auto"/>
              <w:bottom w:val="single" w:sz="12" w:space="0" w:color="auto"/>
            </w:tcBorders>
            <w:shd w:val="clear" w:color="auto" w:fill="auto"/>
            <w:vAlign w:val="bottom"/>
          </w:tcPr>
          <w:p w14:paraId="5AE787D4" w14:textId="11687871" w:rsidR="00D005FA" w:rsidRPr="00026B95" w:rsidRDefault="00D005FA" w:rsidP="00026B95">
            <w:pPr>
              <w:suppressAutoHyphens w:val="0"/>
              <w:spacing w:before="80" w:after="80" w:line="200" w:lineRule="exact"/>
              <w:jc w:val="right"/>
              <w:rPr>
                <w:i/>
                <w:sz w:val="16"/>
                <w:lang w:val="fr-FR"/>
              </w:rPr>
            </w:pPr>
            <w:r w:rsidRPr="00026B95">
              <w:rPr>
                <w:i/>
                <w:sz w:val="16"/>
                <w:lang w:val="fr-FR"/>
              </w:rPr>
              <w:t>Élèves et étudiants de</w:t>
            </w:r>
            <w:r w:rsidR="00026B95">
              <w:rPr>
                <w:i/>
                <w:sz w:val="16"/>
                <w:lang w:val="fr-FR"/>
              </w:rPr>
              <w:t> </w:t>
            </w:r>
            <w:r w:rsidRPr="00026B95">
              <w:rPr>
                <w:i/>
                <w:sz w:val="16"/>
                <w:lang w:val="fr-FR"/>
              </w:rPr>
              <w:t>sexe masculin</w:t>
            </w:r>
          </w:p>
        </w:tc>
      </w:tr>
      <w:tr w:rsidR="00D005FA" w:rsidRPr="00026B95" w14:paraId="4051DA0C" w14:textId="77777777" w:rsidTr="00026B95">
        <w:tc>
          <w:tcPr>
            <w:tcW w:w="993" w:type="dxa"/>
            <w:tcBorders>
              <w:top w:val="single" w:sz="12" w:space="0" w:color="auto"/>
            </w:tcBorders>
            <w:shd w:val="clear" w:color="auto" w:fill="auto"/>
          </w:tcPr>
          <w:p w14:paraId="20DDCD26" w14:textId="77777777" w:rsidR="00D005FA" w:rsidRPr="00026B95" w:rsidRDefault="00D005FA" w:rsidP="00026B95">
            <w:pPr>
              <w:suppressAutoHyphens w:val="0"/>
              <w:spacing w:before="40" w:after="40" w:line="220" w:lineRule="exact"/>
              <w:rPr>
                <w:sz w:val="18"/>
                <w:lang w:val="fr-FR"/>
              </w:rPr>
            </w:pPr>
            <w:r w:rsidRPr="00026B95">
              <w:rPr>
                <w:sz w:val="18"/>
                <w:lang w:val="fr-FR"/>
              </w:rPr>
              <w:t>2014-2015</w:t>
            </w:r>
          </w:p>
        </w:tc>
        <w:tc>
          <w:tcPr>
            <w:tcW w:w="3402" w:type="dxa"/>
            <w:tcBorders>
              <w:top w:val="single" w:sz="12" w:space="0" w:color="auto"/>
            </w:tcBorders>
            <w:shd w:val="clear" w:color="auto" w:fill="auto"/>
            <w:vAlign w:val="bottom"/>
          </w:tcPr>
          <w:p w14:paraId="7813E0FA"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1 171 596</w:t>
            </w:r>
          </w:p>
        </w:tc>
        <w:tc>
          <w:tcPr>
            <w:tcW w:w="1559" w:type="dxa"/>
            <w:tcBorders>
              <w:top w:val="single" w:sz="12" w:space="0" w:color="auto"/>
            </w:tcBorders>
            <w:shd w:val="clear" w:color="auto" w:fill="auto"/>
            <w:vAlign w:val="bottom"/>
          </w:tcPr>
          <w:p w14:paraId="2DAABD2C"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590 501</w:t>
            </w:r>
          </w:p>
        </w:tc>
        <w:tc>
          <w:tcPr>
            <w:tcW w:w="1416" w:type="dxa"/>
            <w:tcBorders>
              <w:top w:val="single" w:sz="12" w:space="0" w:color="auto"/>
            </w:tcBorders>
            <w:shd w:val="clear" w:color="auto" w:fill="auto"/>
            <w:vAlign w:val="bottom"/>
          </w:tcPr>
          <w:p w14:paraId="0A281F9F"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581 095</w:t>
            </w:r>
          </w:p>
        </w:tc>
      </w:tr>
      <w:tr w:rsidR="00D005FA" w:rsidRPr="00026B95" w14:paraId="185820BD" w14:textId="77777777" w:rsidTr="00026B95">
        <w:tc>
          <w:tcPr>
            <w:tcW w:w="993" w:type="dxa"/>
            <w:shd w:val="clear" w:color="auto" w:fill="auto"/>
          </w:tcPr>
          <w:p w14:paraId="1F26DC8C" w14:textId="77777777" w:rsidR="00D005FA" w:rsidRPr="00026B95" w:rsidRDefault="00D005FA" w:rsidP="00026B95">
            <w:pPr>
              <w:suppressAutoHyphens w:val="0"/>
              <w:spacing w:before="40" w:after="40" w:line="220" w:lineRule="exact"/>
              <w:rPr>
                <w:sz w:val="18"/>
                <w:lang w:val="fr-FR"/>
              </w:rPr>
            </w:pPr>
            <w:r w:rsidRPr="00026B95">
              <w:rPr>
                <w:sz w:val="18"/>
                <w:lang w:val="fr-FR"/>
              </w:rPr>
              <w:t>2016-2017</w:t>
            </w:r>
          </w:p>
        </w:tc>
        <w:tc>
          <w:tcPr>
            <w:tcW w:w="3402" w:type="dxa"/>
            <w:shd w:val="clear" w:color="auto" w:fill="auto"/>
            <w:vAlign w:val="bottom"/>
          </w:tcPr>
          <w:p w14:paraId="30E7A6B3" w14:textId="77777777" w:rsidR="00D005FA" w:rsidRPr="00026B95" w:rsidRDefault="00D005FA" w:rsidP="00026B95">
            <w:pPr>
              <w:suppressAutoHyphens w:val="0"/>
              <w:spacing w:before="40" w:after="40" w:line="220" w:lineRule="exact"/>
              <w:jc w:val="right"/>
              <w:rPr>
                <w:sz w:val="18"/>
                <w:rtl/>
                <w:lang w:val="fr-FR" w:bidi="ar-JO"/>
              </w:rPr>
            </w:pPr>
            <w:r w:rsidRPr="00026B95">
              <w:rPr>
                <w:sz w:val="18"/>
                <w:lang w:val="fr-FR" w:bidi="ar-JO"/>
              </w:rPr>
              <w:t>1 229 756</w:t>
            </w:r>
          </w:p>
        </w:tc>
        <w:tc>
          <w:tcPr>
            <w:tcW w:w="1559" w:type="dxa"/>
            <w:shd w:val="clear" w:color="auto" w:fill="auto"/>
            <w:vAlign w:val="bottom"/>
          </w:tcPr>
          <w:p w14:paraId="41F2F193"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619 166</w:t>
            </w:r>
          </w:p>
        </w:tc>
        <w:tc>
          <w:tcPr>
            <w:tcW w:w="1416" w:type="dxa"/>
            <w:shd w:val="clear" w:color="auto" w:fill="auto"/>
            <w:vAlign w:val="bottom"/>
          </w:tcPr>
          <w:p w14:paraId="202A785C"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610 590</w:t>
            </w:r>
          </w:p>
        </w:tc>
      </w:tr>
      <w:tr w:rsidR="00026B95" w:rsidRPr="00026B95" w14:paraId="5FB18126" w14:textId="77777777" w:rsidTr="00026B95">
        <w:tc>
          <w:tcPr>
            <w:tcW w:w="993" w:type="dxa"/>
            <w:tcBorders>
              <w:bottom w:val="single" w:sz="12" w:space="0" w:color="auto"/>
            </w:tcBorders>
            <w:shd w:val="clear" w:color="auto" w:fill="auto"/>
          </w:tcPr>
          <w:p w14:paraId="07ECB8CC" w14:textId="77777777" w:rsidR="00D005FA" w:rsidRPr="00026B95" w:rsidRDefault="00D005FA" w:rsidP="00026B95">
            <w:pPr>
              <w:suppressAutoHyphens w:val="0"/>
              <w:spacing w:before="40" w:after="40" w:line="220" w:lineRule="exact"/>
              <w:rPr>
                <w:sz w:val="18"/>
                <w:lang w:val="fr-FR"/>
              </w:rPr>
            </w:pPr>
            <w:r w:rsidRPr="00026B95">
              <w:rPr>
                <w:sz w:val="18"/>
                <w:lang w:val="fr-FR"/>
              </w:rPr>
              <w:t>2018-2019</w:t>
            </w:r>
          </w:p>
        </w:tc>
        <w:tc>
          <w:tcPr>
            <w:tcW w:w="3402" w:type="dxa"/>
            <w:tcBorders>
              <w:bottom w:val="single" w:sz="12" w:space="0" w:color="auto"/>
            </w:tcBorders>
            <w:shd w:val="clear" w:color="auto" w:fill="auto"/>
            <w:vAlign w:val="bottom"/>
          </w:tcPr>
          <w:p w14:paraId="1F7A1E30" w14:textId="77777777" w:rsidR="00D005FA" w:rsidRPr="00026B95" w:rsidRDefault="00D005FA" w:rsidP="00026B95">
            <w:pPr>
              <w:suppressAutoHyphens w:val="0"/>
              <w:spacing w:before="40" w:after="40" w:line="220" w:lineRule="exact"/>
              <w:jc w:val="right"/>
              <w:rPr>
                <w:sz w:val="18"/>
                <w:rtl/>
                <w:lang w:val="fr-FR" w:bidi="ar-JO"/>
              </w:rPr>
            </w:pPr>
            <w:r w:rsidRPr="00026B95">
              <w:rPr>
                <w:sz w:val="18"/>
                <w:lang w:val="fr-FR" w:bidi="ar-JO"/>
              </w:rPr>
              <w:t>1 288 920</w:t>
            </w:r>
          </w:p>
        </w:tc>
        <w:tc>
          <w:tcPr>
            <w:tcW w:w="1559" w:type="dxa"/>
            <w:tcBorders>
              <w:bottom w:val="single" w:sz="12" w:space="0" w:color="auto"/>
            </w:tcBorders>
            <w:shd w:val="clear" w:color="auto" w:fill="auto"/>
            <w:vAlign w:val="bottom"/>
          </w:tcPr>
          <w:p w14:paraId="2AE4D422" w14:textId="77777777" w:rsidR="00D005FA" w:rsidRPr="00026B95" w:rsidRDefault="00D005FA" w:rsidP="00026B95">
            <w:pPr>
              <w:suppressAutoHyphens w:val="0"/>
              <w:spacing w:before="40" w:after="40" w:line="220" w:lineRule="exact"/>
              <w:jc w:val="right"/>
              <w:rPr>
                <w:sz w:val="18"/>
                <w:rtl/>
                <w:lang w:val="fr-FR" w:bidi="ar-JO"/>
              </w:rPr>
            </w:pPr>
            <w:r w:rsidRPr="00026B95">
              <w:rPr>
                <w:sz w:val="18"/>
                <w:lang w:val="fr-FR" w:bidi="ar-JO"/>
              </w:rPr>
              <w:t>652 463</w:t>
            </w:r>
          </w:p>
        </w:tc>
        <w:tc>
          <w:tcPr>
            <w:tcW w:w="1416" w:type="dxa"/>
            <w:tcBorders>
              <w:bottom w:val="single" w:sz="12" w:space="0" w:color="auto"/>
            </w:tcBorders>
            <w:shd w:val="clear" w:color="auto" w:fill="auto"/>
            <w:vAlign w:val="bottom"/>
          </w:tcPr>
          <w:p w14:paraId="27AAD4C6" w14:textId="77777777" w:rsidR="00D005FA" w:rsidRPr="00026B95" w:rsidRDefault="00D005FA" w:rsidP="00026B95">
            <w:pPr>
              <w:suppressAutoHyphens w:val="0"/>
              <w:spacing w:before="40" w:after="40" w:line="220" w:lineRule="exact"/>
              <w:jc w:val="right"/>
              <w:rPr>
                <w:sz w:val="18"/>
                <w:rtl/>
                <w:lang w:val="fr-FR"/>
              </w:rPr>
            </w:pPr>
            <w:r w:rsidRPr="00026B95">
              <w:rPr>
                <w:sz w:val="18"/>
                <w:lang w:val="fr-FR"/>
              </w:rPr>
              <w:t>636 457</w:t>
            </w:r>
          </w:p>
        </w:tc>
      </w:tr>
    </w:tbl>
    <w:p w14:paraId="37B48B1D" w14:textId="7F198194" w:rsidR="00D005FA" w:rsidRPr="00310D49" w:rsidRDefault="00D005FA" w:rsidP="00026B95">
      <w:pPr>
        <w:pStyle w:val="SingleTxtG"/>
        <w:spacing w:before="120"/>
        <w:rPr>
          <w:lang w:val="fr-FR"/>
        </w:rPr>
      </w:pPr>
      <w:r w:rsidRPr="00310D49">
        <w:rPr>
          <w:lang w:val="fr-FR"/>
        </w:rPr>
        <w:t>98.</w:t>
      </w:r>
      <w:r w:rsidRPr="00310D49">
        <w:rPr>
          <w:lang w:val="fr-FR"/>
        </w:rPr>
        <w:tab/>
        <w:t>En ce qui concerne le taux des abandons scolaires dans l</w:t>
      </w:r>
      <w:r w:rsidR="0035332C">
        <w:rPr>
          <w:lang w:val="fr-FR"/>
        </w:rPr>
        <w:t>’</w:t>
      </w:r>
      <w:r w:rsidRPr="00310D49">
        <w:rPr>
          <w:lang w:val="fr-FR"/>
        </w:rPr>
        <w:t>État de Palestine, on a relevé en 2016-2017 un taux d</w:t>
      </w:r>
      <w:r w:rsidR="0035332C">
        <w:rPr>
          <w:lang w:val="fr-FR"/>
        </w:rPr>
        <w:t>’</w:t>
      </w:r>
      <w:r w:rsidRPr="00310D49">
        <w:rPr>
          <w:lang w:val="fr-FR"/>
        </w:rPr>
        <w:t>abandon de 0,71</w:t>
      </w:r>
      <w:r w:rsidR="003A02FA">
        <w:rPr>
          <w:lang w:val="fr-FR"/>
        </w:rPr>
        <w:t> </w:t>
      </w:r>
      <w:r w:rsidRPr="00310D49">
        <w:rPr>
          <w:lang w:val="fr-FR"/>
        </w:rPr>
        <w:t>%, dont 0,89</w:t>
      </w:r>
      <w:r w:rsidR="003A02FA">
        <w:rPr>
          <w:lang w:val="fr-FR"/>
        </w:rPr>
        <w:t> </w:t>
      </w:r>
      <w:r w:rsidRPr="00310D49">
        <w:rPr>
          <w:lang w:val="fr-FR"/>
        </w:rPr>
        <w:t>% pour les garçons et 0,53</w:t>
      </w:r>
      <w:r w:rsidR="003A02FA">
        <w:rPr>
          <w:lang w:val="fr-FR"/>
        </w:rPr>
        <w:t> </w:t>
      </w:r>
      <w:r w:rsidRPr="00310D49">
        <w:rPr>
          <w:lang w:val="fr-FR"/>
        </w:rPr>
        <w:t>% pour les filles, au niveau primaire, et un taux d</w:t>
      </w:r>
      <w:r w:rsidR="0035332C">
        <w:rPr>
          <w:lang w:val="fr-FR"/>
        </w:rPr>
        <w:t>’</w:t>
      </w:r>
      <w:r w:rsidRPr="00310D49">
        <w:rPr>
          <w:lang w:val="fr-FR"/>
        </w:rPr>
        <w:t>abandon de 2,44</w:t>
      </w:r>
      <w:r w:rsidR="003A02FA">
        <w:rPr>
          <w:lang w:val="fr-FR"/>
        </w:rPr>
        <w:t> </w:t>
      </w:r>
      <w:r w:rsidRPr="00310D49">
        <w:rPr>
          <w:lang w:val="fr-FR"/>
        </w:rPr>
        <w:t>%, dont 2,48</w:t>
      </w:r>
      <w:r w:rsidR="003A02FA">
        <w:rPr>
          <w:lang w:val="fr-FR"/>
        </w:rPr>
        <w:t> </w:t>
      </w:r>
      <w:r w:rsidRPr="00310D49">
        <w:rPr>
          <w:lang w:val="fr-FR"/>
        </w:rPr>
        <w:t>% pour les garçons et 2,41</w:t>
      </w:r>
      <w:r w:rsidR="003A02FA">
        <w:rPr>
          <w:lang w:val="fr-FR"/>
        </w:rPr>
        <w:t> </w:t>
      </w:r>
      <w:r w:rsidRPr="00310D49">
        <w:rPr>
          <w:lang w:val="fr-FR"/>
        </w:rPr>
        <w:t>% pour les filles, au niveau secondaire. Le Ministère de l</w:t>
      </w:r>
      <w:r w:rsidR="0035332C">
        <w:rPr>
          <w:lang w:val="fr-FR"/>
        </w:rPr>
        <w:t>’</w:t>
      </w:r>
      <w:r w:rsidRPr="00310D49">
        <w:rPr>
          <w:lang w:val="fr-FR"/>
        </w:rPr>
        <w:t>éducation s</w:t>
      </w:r>
      <w:r w:rsidR="0035332C">
        <w:rPr>
          <w:lang w:val="fr-FR"/>
        </w:rPr>
        <w:t>’</w:t>
      </w:r>
      <w:r w:rsidRPr="00310D49">
        <w:rPr>
          <w:lang w:val="fr-FR"/>
        </w:rPr>
        <w:t>emploie à réduire autant que possible ces taux en ouvrant de nouvelles écoles et en mettant en place de nouvelles filières pour les filles, en particulier dans les zones marginalisées et reculées, et ce malgré la destruction et la démolition systématiques d</w:t>
      </w:r>
      <w:r w:rsidR="0035332C">
        <w:rPr>
          <w:lang w:val="fr-FR"/>
        </w:rPr>
        <w:t>’</w:t>
      </w:r>
      <w:r w:rsidRPr="00310D49">
        <w:rPr>
          <w:lang w:val="fr-FR"/>
        </w:rPr>
        <w:t>écoles palestiniennes par l</w:t>
      </w:r>
      <w:r w:rsidR="0035332C">
        <w:rPr>
          <w:lang w:val="fr-FR"/>
        </w:rPr>
        <w:t>’</w:t>
      </w:r>
      <w:r w:rsidRPr="00310D49">
        <w:rPr>
          <w:lang w:val="fr-FR"/>
        </w:rPr>
        <w:t>occupant israélien.</w:t>
      </w:r>
    </w:p>
    <w:p w14:paraId="24499820" w14:textId="2722B349" w:rsidR="00D005FA" w:rsidRPr="00310D49" w:rsidRDefault="00D005FA" w:rsidP="00026B95">
      <w:pPr>
        <w:pStyle w:val="SingleTxtG"/>
        <w:rPr>
          <w:lang w:val="fr-FR"/>
        </w:rPr>
      </w:pPr>
      <w:r w:rsidRPr="00310D49">
        <w:rPr>
          <w:lang w:val="fr-FR"/>
        </w:rPr>
        <w:t>99.</w:t>
      </w:r>
      <w:r w:rsidRPr="00310D49">
        <w:rPr>
          <w:lang w:val="fr-FR"/>
        </w:rPr>
        <w:tab/>
        <w:t>Le Ministère de l</w:t>
      </w:r>
      <w:r w:rsidR="0035332C">
        <w:rPr>
          <w:lang w:val="fr-FR"/>
        </w:rPr>
        <w:t>’</w:t>
      </w:r>
      <w:r w:rsidRPr="00310D49">
        <w:rPr>
          <w:lang w:val="fr-FR"/>
        </w:rPr>
        <w:t>éducation vise également à réduire l</w:t>
      </w:r>
      <w:r w:rsidR="0035332C">
        <w:rPr>
          <w:lang w:val="fr-FR"/>
        </w:rPr>
        <w:t>’</w:t>
      </w:r>
      <w:r w:rsidRPr="00310D49">
        <w:rPr>
          <w:lang w:val="fr-FR"/>
        </w:rPr>
        <w:t>analphabétisme en ouvrant des centres d</w:t>
      </w:r>
      <w:r w:rsidR="0035332C">
        <w:rPr>
          <w:lang w:val="fr-FR"/>
        </w:rPr>
        <w:t>’</w:t>
      </w:r>
      <w:r w:rsidRPr="00310D49">
        <w:rPr>
          <w:lang w:val="fr-FR"/>
        </w:rPr>
        <w:t>alphabétisation. Selon les données du Bureau central palestinien de statistique, le taux d</w:t>
      </w:r>
      <w:r w:rsidR="0035332C">
        <w:rPr>
          <w:lang w:val="fr-FR"/>
        </w:rPr>
        <w:t>’</w:t>
      </w:r>
      <w:r w:rsidRPr="00310D49">
        <w:rPr>
          <w:lang w:val="fr-FR"/>
        </w:rPr>
        <w:t>analphabétisme chez les personnes âgées de 15</w:t>
      </w:r>
      <w:r w:rsidR="003A02FA">
        <w:rPr>
          <w:lang w:val="fr-FR"/>
        </w:rPr>
        <w:t> </w:t>
      </w:r>
      <w:r w:rsidRPr="00310D49">
        <w:rPr>
          <w:lang w:val="fr-FR"/>
        </w:rPr>
        <w:t>ans et plus a baissé, passant de 13,9</w:t>
      </w:r>
      <w:r w:rsidR="00BD2C96">
        <w:rPr>
          <w:lang w:val="fr-FR"/>
        </w:rPr>
        <w:t> </w:t>
      </w:r>
      <w:r w:rsidRPr="00310D49">
        <w:rPr>
          <w:lang w:val="fr-FR"/>
        </w:rPr>
        <w:t>% (20,3</w:t>
      </w:r>
      <w:r w:rsidR="00BD2C96">
        <w:rPr>
          <w:lang w:val="fr-FR"/>
        </w:rPr>
        <w:t> </w:t>
      </w:r>
      <w:r w:rsidRPr="00310D49">
        <w:rPr>
          <w:lang w:val="fr-FR"/>
        </w:rPr>
        <w:t>% des femmes) en 1997 à 2,8</w:t>
      </w:r>
      <w:r w:rsidR="00BD2C96">
        <w:rPr>
          <w:lang w:val="fr-FR"/>
        </w:rPr>
        <w:t> </w:t>
      </w:r>
      <w:r w:rsidRPr="00310D49">
        <w:rPr>
          <w:lang w:val="fr-FR"/>
        </w:rPr>
        <w:t>% (4,3</w:t>
      </w:r>
      <w:r w:rsidR="00BD2C96">
        <w:rPr>
          <w:lang w:val="fr-FR"/>
        </w:rPr>
        <w:t> </w:t>
      </w:r>
      <w:r w:rsidRPr="00310D49">
        <w:rPr>
          <w:lang w:val="fr-FR"/>
        </w:rPr>
        <w:t>% des femmes) en 2018.</w:t>
      </w:r>
    </w:p>
    <w:p w14:paraId="365DCD21" w14:textId="77777777" w:rsidR="00D005FA" w:rsidRPr="00310D49" w:rsidRDefault="00D005FA" w:rsidP="00026B95">
      <w:pPr>
        <w:pStyle w:val="H23G"/>
        <w:rPr>
          <w:lang w:val="fr-FR"/>
        </w:rPr>
      </w:pPr>
      <w:r w:rsidRPr="00310D49">
        <w:rPr>
          <w:lang w:val="fr-FR"/>
        </w:rPr>
        <w:tab/>
      </w:r>
      <w:r w:rsidRPr="00310D49">
        <w:rPr>
          <w:lang w:val="fr-FR"/>
        </w:rPr>
        <w:tab/>
        <w:t>Nationalité</w:t>
      </w:r>
    </w:p>
    <w:p w14:paraId="47934C18" w14:textId="1CA61A2B" w:rsidR="00D005FA" w:rsidRPr="00310D49" w:rsidRDefault="00D005FA" w:rsidP="00BD2C96">
      <w:pPr>
        <w:pStyle w:val="SingleTxtG"/>
        <w:rPr>
          <w:lang w:val="fr-FR"/>
        </w:rPr>
      </w:pPr>
      <w:r w:rsidRPr="00310D49">
        <w:rPr>
          <w:lang w:val="fr-FR"/>
        </w:rPr>
        <w:t>100.</w:t>
      </w:r>
      <w:r w:rsidRPr="00310D49">
        <w:rPr>
          <w:lang w:val="fr-FR"/>
        </w:rPr>
        <w:tab/>
        <w:t>La Déclaration d</w:t>
      </w:r>
      <w:r w:rsidR="0035332C">
        <w:rPr>
          <w:lang w:val="fr-FR"/>
        </w:rPr>
        <w:t>’</w:t>
      </w:r>
      <w:r w:rsidRPr="00310D49">
        <w:rPr>
          <w:lang w:val="fr-FR"/>
        </w:rPr>
        <w:t>indépendance palestinienne a défini l</w:t>
      </w:r>
      <w:r w:rsidR="0035332C">
        <w:rPr>
          <w:lang w:val="fr-FR"/>
        </w:rPr>
        <w:t>’</w:t>
      </w:r>
      <w:r w:rsidRPr="00310D49">
        <w:rPr>
          <w:lang w:val="fr-FR"/>
        </w:rPr>
        <w:t>identité palestinienne en disposant ce qui suit</w:t>
      </w:r>
      <w:r w:rsidR="00B02693">
        <w:rPr>
          <w:lang w:val="fr-FR"/>
        </w:rPr>
        <w:t> </w:t>
      </w:r>
      <w:r w:rsidRPr="00310D49">
        <w:rPr>
          <w:lang w:val="fr-FR"/>
        </w:rPr>
        <w:t>: «</w:t>
      </w:r>
      <w:r w:rsidR="00B02693">
        <w:rPr>
          <w:lang w:val="fr-FR"/>
        </w:rPr>
        <w:t> </w:t>
      </w:r>
      <w:r w:rsidRPr="00310D49">
        <w:rPr>
          <w:lang w:val="fr-FR"/>
        </w:rPr>
        <w:t>L</w:t>
      </w:r>
      <w:r w:rsidR="0035332C">
        <w:rPr>
          <w:lang w:val="fr-FR"/>
        </w:rPr>
        <w:t>’</w:t>
      </w:r>
      <w:r w:rsidRPr="00310D49">
        <w:rPr>
          <w:lang w:val="fr-FR"/>
        </w:rPr>
        <w:t>État de Palestine est au service de tous les Palestiniens, où qu</w:t>
      </w:r>
      <w:r w:rsidR="0035332C">
        <w:rPr>
          <w:lang w:val="fr-FR"/>
        </w:rPr>
        <w:t>’</w:t>
      </w:r>
      <w:r w:rsidRPr="00310D49">
        <w:rPr>
          <w:lang w:val="fr-FR"/>
        </w:rPr>
        <w:t>il</w:t>
      </w:r>
      <w:r>
        <w:rPr>
          <w:lang w:val="fr-FR"/>
        </w:rPr>
        <w:t>s</w:t>
      </w:r>
      <w:r w:rsidRPr="00310D49">
        <w:rPr>
          <w:lang w:val="fr-FR"/>
        </w:rPr>
        <w:t xml:space="preserve"> soient, afin que puisse s</w:t>
      </w:r>
      <w:r w:rsidR="0035332C">
        <w:rPr>
          <w:lang w:val="fr-FR"/>
        </w:rPr>
        <w:t>’</w:t>
      </w:r>
      <w:r w:rsidRPr="00310D49">
        <w:rPr>
          <w:lang w:val="fr-FR"/>
        </w:rPr>
        <w:t>y épanouir leur identité nationale et culturelle et qu</w:t>
      </w:r>
      <w:r w:rsidR="0035332C">
        <w:rPr>
          <w:lang w:val="fr-FR"/>
        </w:rPr>
        <w:t>’</w:t>
      </w:r>
      <w:r w:rsidRPr="00310D49">
        <w:rPr>
          <w:lang w:val="fr-FR"/>
        </w:rPr>
        <w:t>ils puissent jouir de la pleine égalité de leurs droits</w:t>
      </w:r>
      <w:r w:rsidR="00B02693">
        <w:rPr>
          <w:lang w:val="fr-FR"/>
        </w:rPr>
        <w:t> </w:t>
      </w:r>
      <w:r w:rsidRPr="00310D49">
        <w:rPr>
          <w:lang w:val="fr-FR"/>
        </w:rPr>
        <w:t>». En outre, l</w:t>
      </w:r>
      <w:r w:rsidR="0035332C">
        <w:rPr>
          <w:lang w:val="fr-FR"/>
        </w:rPr>
        <w:t>’</w:t>
      </w:r>
      <w:r w:rsidRPr="00310D49">
        <w:rPr>
          <w:lang w:val="fr-FR"/>
        </w:rPr>
        <w:t>article 5 de la Charte nationale palestinienne précise que «</w:t>
      </w:r>
      <w:r w:rsidR="00B02693">
        <w:rPr>
          <w:lang w:val="fr-FR"/>
        </w:rPr>
        <w:t> </w:t>
      </w:r>
      <w:r w:rsidRPr="00310D49">
        <w:rPr>
          <w:lang w:val="fr-FR"/>
        </w:rPr>
        <w:t>[l]es Palestiniens sont les nationaux arabes qui, jusqu</w:t>
      </w:r>
      <w:r w:rsidR="0035332C">
        <w:rPr>
          <w:lang w:val="fr-FR"/>
        </w:rPr>
        <w:t>’</w:t>
      </w:r>
      <w:r w:rsidRPr="00310D49">
        <w:rPr>
          <w:lang w:val="fr-FR"/>
        </w:rPr>
        <w:t>en 1947, avaient leur résidence ordinaire en Palestine, qu</w:t>
      </w:r>
      <w:r w:rsidR="0035332C">
        <w:rPr>
          <w:lang w:val="fr-FR"/>
        </w:rPr>
        <w:t>’</w:t>
      </w:r>
      <w:r w:rsidRPr="00310D49">
        <w:rPr>
          <w:lang w:val="fr-FR"/>
        </w:rPr>
        <w:t xml:space="preserve">ils se soient exilés depuis cette date ou soient demeurés </w:t>
      </w:r>
      <w:r w:rsidRPr="00310D49">
        <w:rPr>
          <w:lang w:val="fr-FR"/>
        </w:rPr>
        <w:lastRenderedPageBreak/>
        <w:t>sur place. Toute personne née, après cette date, d</w:t>
      </w:r>
      <w:r w:rsidR="0035332C">
        <w:rPr>
          <w:lang w:val="fr-FR"/>
        </w:rPr>
        <w:t>’</w:t>
      </w:r>
      <w:r w:rsidRPr="00310D49">
        <w:rPr>
          <w:lang w:val="fr-FR"/>
        </w:rPr>
        <w:t xml:space="preserve">un père palestinien </w:t>
      </w:r>
      <w:r w:rsidR="00B02693">
        <w:rPr>
          <w:lang w:val="fr-FR"/>
        </w:rPr>
        <w:t>−</w:t>
      </w:r>
      <w:r w:rsidRPr="00310D49">
        <w:rPr>
          <w:lang w:val="fr-FR"/>
        </w:rPr>
        <w:t xml:space="preserve"> en Palestine ou ailleurs</w:t>
      </w:r>
      <w:r w:rsidR="00B02693">
        <w:rPr>
          <w:lang w:val="fr-FR"/>
        </w:rPr>
        <w:t> −</w:t>
      </w:r>
      <w:r w:rsidRPr="00310D49">
        <w:rPr>
          <w:lang w:val="fr-FR"/>
        </w:rPr>
        <w:t xml:space="preserve"> est aussi palestinienne</w:t>
      </w:r>
      <w:r w:rsidR="00B02693">
        <w:rPr>
          <w:lang w:val="fr-FR"/>
        </w:rPr>
        <w:t> </w:t>
      </w:r>
      <w:r w:rsidRPr="00310D49">
        <w:rPr>
          <w:lang w:val="fr-FR"/>
        </w:rPr>
        <w:t>».</w:t>
      </w:r>
    </w:p>
    <w:p w14:paraId="78DB1E24" w14:textId="0ED01F71" w:rsidR="00D005FA" w:rsidRPr="00310D49" w:rsidRDefault="00D005FA" w:rsidP="00BD2C96">
      <w:pPr>
        <w:pStyle w:val="SingleTxtG"/>
        <w:rPr>
          <w:lang w:val="fr-FR"/>
        </w:rPr>
      </w:pPr>
      <w:r w:rsidRPr="00310D49">
        <w:rPr>
          <w:lang w:val="fr-FR"/>
        </w:rPr>
        <w:t>101.</w:t>
      </w:r>
      <w:r w:rsidRPr="00310D49">
        <w:rPr>
          <w:lang w:val="fr-FR"/>
        </w:rPr>
        <w:tab/>
        <w:t>Selon la définition opérationnelle utilisée par l</w:t>
      </w:r>
      <w:r w:rsidR="0035332C">
        <w:rPr>
          <w:lang w:val="fr-FR"/>
        </w:rPr>
        <w:t>’</w:t>
      </w:r>
      <w:r w:rsidRPr="00310D49">
        <w:rPr>
          <w:lang w:val="fr-FR"/>
        </w:rPr>
        <w:t xml:space="preserve">Office de secours et de travaux des Nations Unies pour les réfugiés de Palestine dans le Proche-Orient (UNRWA), les réfugiés palestiniens sont les personnes dont le lieu de résidence normal était la Palestine durant la période </w:t>
      </w:r>
      <w:r w:rsidRPr="00A260FA">
        <w:rPr>
          <w:lang w:val="fr-FR"/>
        </w:rPr>
        <w:t>d</w:t>
      </w:r>
      <w:r w:rsidR="00A260FA" w:rsidRPr="00A260FA">
        <w:rPr>
          <w:lang w:val="fr-FR"/>
        </w:rPr>
        <w:t>e</w:t>
      </w:r>
      <w:r w:rsidRPr="00A260FA">
        <w:rPr>
          <w:lang w:val="fr-FR"/>
        </w:rPr>
        <w:t xml:space="preserve"> juin 1946 </w:t>
      </w:r>
      <w:r w:rsidR="00A260FA" w:rsidRPr="00A260FA">
        <w:rPr>
          <w:lang w:val="fr-FR"/>
        </w:rPr>
        <w:t>à</w:t>
      </w:r>
      <w:r w:rsidRPr="00A260FA">
        <w:rPr>
          <w:lang w:val="fr-FR"/>
        </w:rPr>
        <w:t xml:space="preserve"> mai 1948,</w:t>
      </w:r>
      <w:r w:rsidRPr="00311C56">
        <w:rPr>
          <w:lang w:val="fr-FR"/>
        </w:rPr>
        <w:t xml:space="preserve"> et</w:t>
      </w:r>
      <w:r w:rsidRPr="00310D49">
        <w:rPr>
          <w:lang w:val="fr-FR"/>
        </w:rPr>
        <w:t xml:space="preserve"> qui ont perdu à la fois leur foyer et leurs moyens de subsistance à la suite du conflit de 1948. Les services de l</w:t>
      </w:r>
      <w:r w:rsidR="0035332C">
        <w:rPr>
          <w:lang w:val="fr-FR"/>
        </w:rPr>
        <w:t>’</w:t>
      </w:r>
      <w:r w:rsidRPr="00310D49">
        <w:rPr>
          <w:lang w:val="fr-FR"/>
        </w:rPr>
        <w:t>UNRWA sont accessibles à tous ceux qui vivent dans ses zones d</w:t>
      </w:r>
      <w:r w:rsidR="0035332C">
        <w:rPr>
          <w:lang w:val="fr-FR"/>
        </w:rPr>
        <w:t>’</w:t>
      </w:r>
      <w:r w:rsidRPr="00310D49">
        <w:rPr>
          <w:lang w:val="fr-FR"/>
        </w:rPr>
        <w:t>opérations et qui répondent à cette définition, qui sont enregistrés auprès de l</w:t>
      </w:r>
      <w:r w:rsidR="0035332C">
        <w:rPr>
          <w:lang w:val="fr-FR"/>
        </w:rPr>
        <w:t>’</w:t>
      </w:r>
      <w:r w:rsidRPr="00310D49">
        <w:rPr>
          <w:lang w:val="fr-FR"/>
        </w:rPr>
        <w:t>Office et qui ont besoin d</w:t>
      </w:r>
      <w:r w:rsidR="0035332C">
        <w:rPr>
          <w:lang w:val="fr-FR"/>
        </w:rPr>
        <w:t>’</w:t>
      </w:r>
      <w:r w:rsidRPr="00310D49">
        <w:rPr>
          <w:lang w:val="fr-FR"/>
        </w:rPr>
        <w:t>assistance. Les descendants de Palestiniens mâles sont également des réfugiés palestiniens.</w:t>
      </w:r>
    </w:p>
    <w:p w14:paraId="09203ABA" w14:textId="498EB3A7" w:rsidR="00D005FA" w:rsidRPr="00310D49" w:rsidRDefault="00D005FA" w:rsidP="00BD2C96">
      <w:pPr>
        <w:pStyle w:val="SingleTxtG"/>
        <w:rPr>
          <w:lang w:val="fr-FR"/>
        </w:rPr>
      </w:pPr>
      <w:r w:rsidRPr="00310D49">
        <w:rPr>
          <w:lang w:val="fr-FR"/>
        </w:rPr>
        <w:t>102.</w:t>
      </w:r>
      <w:r w:rsidRPr="00310D49">
        <w:rPr>
          <w:lang w:val="fr-FR"/>
        </w:rPr>
        <w:tab/>
        <w:t>L</w:t>
      </w:r>
      <w:r w:rsidR="0035332C">
        <w:rPr>
          <w:lang w:val="fr-FR"/>
        </w:rPr>
        <w:t>’</w:t>
      </w:r>
      <w:r w:rsidRPr="00310D49">
        <w:rPr>
          <w:lang w:val="fr-FR"/>
        </w:rPr>
        <w:t>exercice des droits découlant de la citoyenneté palestinienne est étroitement lié à la fin de l</w:t>
      </w:r>
      <w:r w:rsidR="0035332C">
        <w:rPr>
          <w:lang w:val="fr-FR"/>
        </w:rPr>
        <w:t>’</w:t>
      </w:r>
      <w:r w:rsidRPr="00310D49">
        <w:rPr>
          <w:lang w:val="fr-FR"/>
        </w:rPr>
        <w:t>occupation, qui impose un contrôle illégal et arbitraire sur les registres d</w:t>
      </w:r>
      <w:r w:rsidR="0035332C">
        <w:rPr>
          <w:lang w:val="fr-FR"/>
        </w:rPr>
        <w:t>’</w:t>
      </w:r>
      <w:r w:rsidRPr="00310D49">
        <w:rPr>
          <w:lang w:val="fr-FR"/>
        </w:rPr>
        <w:t>état civil des Palestiniens et définit les critères de naturalisation et d</w:t>
      </w:r>
      <w:r w:rsidR="0035332C">
        <w:rPr>
          <w:lang w:val="fr-FR"/>
        </w:rPr>
        <w:t>’</w:t>
      </w:r>
      <w:r w:rsidRPr="00310D49">
        <w:rPr>
          <w:lang w:val="fr-FR"/>
        </w:rPr>
        <w:t>octroi de la résidence. L</w:t>
      </w:r>
      <w:r w:rsidR="0035332C">
        <w:rPr>
          <w:lang w:val="fr-FR"/>
        </w:rPr>
        <w:t>’</w:t>
      </w:r>
      <w:r w:rsidRPr="00310D49">
        <w:rPr>
          <w:lang w:val="fr-FR"/>
        </w:rPr>
        <w:t>article</w:t>
      </w:r>
      <w:r w:rsidR="003A02FA">
        <w:rPr>
          <w:lang w:val="fr-FR"/>
        </w:rPr>
        <w:t> </w:t>
      </w:r>
      <w:r w:rsidRPr="00310D49">
        <w:rPr>
          <w:lang w:val="fr-FR"/>
        </w:rPr>
        <w:t>7 de la Loi fondamentale modifiée énonce que «</w:t>
      </w:r>
      <w:r w:rsidR="003A02FA">
        <w:rPr>
          <w:lang w:val="fr-FR"/>
        </w:rPr>
        <w:t> </w:t>
      </w:r>
      <w:r w:rsidRPr="00310D49">
        <w:rPr>
          <w:lang w:val="fr-FR"/>
        </w:rPr>
        <w:t>[l]a nationalité palestinienne est régie par la loi</w:t>
      </w:r>
      <w:r w:rsidR="003A02FA">
        <w:rPr>
          <w:lang w:val="fr-FR"/>
        </w:rPr>
        <w:t> </w:t>
      </w:r>
      <w:r w:rsidRPr="00310D49">
        <w:rPr>
          <w:lang w:val="fr-FR"/>
        </w:rPr>
        <w:t>». Étant donné que cette loi n</w:t>
      </w:r>
      <w:r w:rsidR="0035332C">
        <w:rPr>
          <w:lang w:val="fr-FR"/>
        </w:rPr>
        <w:t>’</w:t>
      </w:r>
      <w:r w:rsidRPr="00310D49">
        <w:rPr>
          <w:lang w:val="fr-FR"/>
        </w:rPr>
        <w:t>est pas encore adoptée, de l</w:t>
      </w:r>
      <w:r w:rsidR="0035332C">
        <w:rPr>
          <w:lang w:val="fr-FR"/>
        </w:rPr>
        <w:t>’</w:t>
      </w:r>
      <w:r w:rsidRPr="00310D49">
        <w:rPr>
          <w:lang w:val="fr-FR"/>
        </w:rPr>
        <w:t>occupation israélienne constituant l</w:t>
      </w:r>
      <w:r w:rsidR="0035332C">
        <w:rPr>
          <w:lang w:val="fr-FR"/>
        </w:rPr>
        <w:t>’</w:t>
      </w:r>
      <w:r w:rsidRPr="00310D49">
        <w:rPr>
          <w:lang w:val="fr-FR"/>
        </w:rPr>
        <w:t>obstacle majeur, la question de la nationalité en Palestine est toujours régie par un certain nombre de lois, à savoir la loi sur l</w:t>
      </w:r>
      <w:r w:rsidR="0035332C">
        <w:rPr>
          <w:lang w:val="fr-FR"/>
        </w:rPr>
        <w:t>’</w:t>
      </w:r>
      <w:r w:rsidRPr="00310D49">
        <w:rPr>
          <w:lang w:val="fr-FR"/>
        </w:rPr>
        <w:t>état civil de 1999, certaines dispositions des décrets de la nationalité palestinienne unifiée émis durant le mandat britannique en 1925, la loi jordanienne sur la nationalité de 1954, telle que modifiée, et certaines ordonnances militaires, tandis qu</w:t>
      </w:r>
      <w:r w:rsidR="0035332C">
        <w:rPr>
          <w:lang w:val="fr-FR"/>
        </w:rPr>
        <w:t>’</w:t>
      </w:r>
      <w:r w:rsidRPr="00310D49">
        <w:rPr>
          <w:lang w:val="fr-FR"/>
        </w:rPr>
        <w:t>Israël applique arbitrairement la loi sur la résidence permanente aux Palestiniens autochtones en les inscrivant comme des résidents de la ville occupée de Jérusalem.</w:t>
      </w:r>
    </w:p>
    <w:p w14:paraId="3479978F" w14:textId="44F3725C" w:rsidR="00D005FA" w:rsidRPr="00310D49" w:rsidRDefault="00D005FA" w:rsidP="00BD2C96">
      <w:pPr>
        <w:pStyle w:val="SingleTxtG"/>
        <w:rPr>
          <w:lang w:val="fr-FR"/>
        </w:rPr>
      </w:pPr>
      <w:r w:rsidRPr="00310D49">
        <w:rPr>
          <w:lang w:val="fr-FR"/>
        </w:rPr>
        <w:t>103.</w:t>
      </w:r>
      <w:r w:rsidRPr="00310D49">
        <w:rPr>
          <w:lang w:val="fr-FR"/>
        </w:rPr>
        <w:tab/>
        <w:t>En vertu de la circulaire du Ministère de l</w:t>
      </w:r>
      <w:r w:rsidR="0035332C">
        <w:rPr>
          <w:lang w:val="fr-FR"/>
        </w:rPr>
        <w:t>’</w:t>
      </w:r>
      <w:r w:rsidRPr="00310D49">
        <w:rPr>
          <w:lang w:val="fr-FR"/>
        </w:rPr>
        <w:t>intérieur n</w:t>
      </w:r>
      <w:r w:rsidR="003A02FA" w:rsidRPr="003A02FA">
        <w:rPr>
          <w:vertAlign w:val="superscript"/>
          <w:lang w:val="fr-FR"/>
        </w:rPr>
        <w:t>o</w:t>
      </w:r>
      <w:r w:rsidR="003A02FA">
        <w:rPr>
          <w:lang w:val="fr-FR"/>
        </w:rPr>
        <w:t> </w:t>
      </w:r>
      <w:r w:rsidRPr="00310D49">
        <w:rPr>
          <w:lang w:val="fr-FR"/>
        </w:rPr>
        <w:t>42 de 2010, les enfants nés de mère palestinienne mariée à un non-Palestinien et ayant la nationalité palestinienne ont le droit à un passeport palestinien et d</w:t>
      </w:r>
      <w:r w:rsidR="0035332C">
        <w:rPr>
          <w:lang w:val="fr-FR"/>
        </w:rPr>
        <w:t>’</w:t>
      </w:r>
      <w:r w:rsidRPr="00310D49">
        <w:rPr>
          <w:lang w:val="fr-FR"/>
        </w:rPr>
        <w:t>être inscrits sur sa carte d</w:t>
      </w:r>
      <w:r w:rsidR="0035332C">
        <w:rPr>
          <w:lang w:val="fr-FR"/>
        </w:rPr>
        <w:t>’</w:t>
      </w:r>
      <w:r w:rsidRPr="00310D49">
        <w:rPr>
          <w:lang w:val="fr-FR"/>
        </w:rPr>
        <w:t>identité avant qu</w:t>
      </w:r>
      <w:r w:rsidR="0035332C">
        <w:rPr>
          <w:lang w:val="fr-FR"/>
        </w:rPr>
        <w:t>’</w:t>
      </w:r>
      <w:r w:rsidRPr="00310D49">
        <w:rPr>
          <w:lang w:val="fr-FR"/>
        </w:rPr>
        <w:t>ils n</w:t>
      </w:r>
      <w:r w:rsidR="0035332C">
        <w:rPr>
          <w:lang w:val="fr-FR"/>
        </w:rPr>
        <w:t>’</w:t>
      </w:r>
      <w:r w:rsidRPr="00310D49">
        <w:rPr>
          <w:lang w:val="fr-FR"/>
        </w:rPr>
        <w:t>aient 16</w:t>
      </w:r>
      <w:r w:rsidR="003A02FA">
        <w:rPr>
          <w:lang w:val="fr-FR"/>
        </w:rPr>
        <w:t> </w:t>
      </w:r>
      <w:r w:rsidRPr="00310D49">
        <w:rPr>
          <w:lang w:val="fr-FR"/>
        </w:rPr>
        <w:t>ans. Ce même droit s</w:t>
      </w:r>
      <w:r w:rsidR="0035332C">
        <w:rPr>
          <w:lang w:val="fr-FR"/>
        </w:rPr>
        <w:t>’</w:t>
      </w:r>
      <w:r w:rsidRPr="00310D49">
        <w:rPr>
          <w:lang w:val="fr-FR"/>
        </w:rPr>
        <w:t>applique aux enfants nés de père palestinien marié à une non</w:t>
      </w:r>
      <w:r w:rsidR="003A02FA">
        <w:rPr>
          <w:lang w:val="fr-FR"/>
        </w:rPr>
        <w:noBreakHyphen/>
      </w:r>
      <w:r w:rsidRPr="00310D49">
        <w:rPr>
          <w:lang w:val="fr-FR"/>
        </w:rPr>
        <w:t>Palestinienne.</w:t>
      </w:r>
    </w:p>
    <w:p w14:paraId="37B82650" w14:textId="77777777" w:rsidR="00D005FA" w:rsidRPr="00310D49" w:rsidRDefault="00D005FA" w:rsidP="00BD2C96">
      <w:pPr>
        <w:pStyle w:val="H23G"/>
        <w:rPr>
          <w:lang w:val="fr-FR"/>
        </w:rPr>
      </w:pPr>
      <w:r w:rsidRPr="00310D49">
        <w:rPr>
          <w:lang w:val="fr-FR"/>
        </w:rPr>
        <w:tab/>
      </w:r>
      <w:r w:rsidRPr="00310D49">
        <w:rPr>
          <w:lang w:val="fr-FR"/>
        </w:rPr>
        <w:tab/>
        <w:t>Dispositions législatives érigeant le viol en infraction pénale</w:t>
      </w:r>
    </w:p>
    <w:p w14:paraId="2EA28AFA" w14:textId="7100BE10" w:rsidR="00D005FA" w:rsidRPr="00310D49" w:rsidRDefault="00D005FA" w:rsidP="00BD2C96">
      <w:pPr>
        <w:pStyle w:val="SingleTxtG"/>
        <w:rPr>
          <w:lang w:val="fr-FR"/>
        </w:rPr>
      </w:pPr>
      <w:r w:rsidRPr="00310D49">
        <w:rPr>
          <w:lang w:val="fr-FR"/>
        </w:rPr>
        <w:t>104.</w:t>
      </w:r>
      <w:r w:rsidRPr="00310D49">
        <w:rPr>
          <w:lang w:val="fr-FR"/>
        </w:rPr>
        <w:tab/>
        <w:t>Le droit pénal érige le viol et tout acte sexuel imposé à un</w:t>
      </w:r>
      <w:r>
        <w:rPr>
          <w:lang w:val="fr-FR"/>
        </w:rPr>
        <w:t>e</w:t>
      </w:r>
      <w:r w:rsidRPr="00310D49">
        <w:rPr>
          <w:lang w:val="fr-FR"/>
        </w:rPr>
        <w:t xml:space="preserve"> femme par le recours à la contrainte, comme l</w:t>
      </w:r>
      <w:r w:rsidR="0035332C">
        <w:rPr>
          <w:lang w:val="fr-FR"/>
        </w:rPr>
        <w:t>’</w:t>
      </w:r>
      <w:r w:rsidRPr="00310D49">
        <w:rPr>
          <w:lang w:val="fr-FR"/>
        </w:rPr>
        <w:t>attentat à la pudeur, la séduction, les gestes impudiques, l</w:t>
      </w:r>
      <w:r w:rsidR="0035332C">
        <w:rPr>
          <w:lang w:val="fr-FR"/>
        </w:rPr>
        <w:t>’</w:t>
      </w:r>
      <w:r w:rsidRPr="00310D49">
        <w:rPr>
          <w:lang w:val="fr-FR"/>
        </w:rPr>
        <w:t>enlèvement et les actes et paroles contraires à la morale. Cependant, elle n</w:t>
      </w:r>
      <w:r w:rsidR="0035332C">
        <w:rPr>
          <w:lang w:val="fr-FR"/>
        </w:rPr>
        <w:t>’</w:t>
      </w:r>
      <w:r w:rsidRPr="00310D49">
        <w:rPr>
          <w:lang w:val="fr-FR"/>
        </w:rPr>
        <w:t>impose pas de sanctions dissuasives proportionnelles à la gravité des infractions. À ce titre, la sanction infligée à l</w:t>
      </w:r>
      <w:r w:rsidR="0035332C">
        <w:rPr>
          <w:lang w:val="fr-FR"/>
        </w:rPr>
        <w:t>’</w:t>
      </w:r>
      <w:r w:rsidRPr="00310D49">
        <w:rPr>
          <w:lang w:val="fr-FR"/>
        </w:rPr>
        <w:t>auteur du crime de viol est un emprisonnement d</w:t>
      </w:r>
      <w:r w:rsidR="0035332C">
        <w:rPr>
          <w:lang w:val="fr-FR"/>
        </w:rPr>
        <w:t>’</w:t>
      </w:r>
      <w:r w:rsidRPr="00310D49">
        <w:rPr>
          <w:lang w:val="fr-FR"/>
        </w:rPr>
        <w:t>au moins cinq ans</w:t>
      </w:r>
      <w:r w:rsidR="00B02693">
        <w:rPr>
          <w:lang w:val="fr-FR"/>
        </w:rPr>
        <w:t> </w:t>
      </w:r>
      <w:r w:rsidRPr="00310D49">
        <w:rPr>
          <w:lang w:val="fr-FR"/>
        </w:rPr>
        <w:t>; cette peine est d</w:t>
      </w:r>
      <w:r w:rsidR="0035332C">
        <w:rPr>
          <w:lang w:val="fr-FR"/>
        </w:rPr>
        <w:t>’</w:t>
      </w:r>
      <w:r w:rsidRPr="00310D49">
        <w:rPr>
          <w:lang w:val="fr-FR"/>
        </w:rPr>
        <w:t>au moins sept ans si l</w:t>
      </w:r>
      <w:r w:rsidR="0035332C">
        <w:rPr>
          <w:lang w:val="fr-FR"/>
        </w:rPr>
        <w:t>’</w:t>
      </w:r>
      <w:r w:rsidRPr="00310D49">
        <w:rPr>
          <w:lang w:val="fr-FR"/>
        </w:rPr>
        <w:t>âge de la victime ne dépasse pas 15</w:t>
      </w:r>
      <w:r w:rsidR="003A02FA">
        <w:rPr>
          <w:lang w:val="fr-FR"/>
        </w:rPr>
        <w:t> </w:t>
      </w:r>
      <w:r w:rsidRPr="00310D49">
        <w:rPr>
          <w:lang w:val="fr-FR"/>
        </w:rPr>
        <w:t>ans. Si la victime est âgée de 15 à 18</w:t>
      </w:r>
      <w:r w:rsidR="003A02FA">
        <w:rPr>
          <w:lang w:val="fr-FR"/>
        </w:rPr>
        <w:t> </w:t>
      </w:r>
      <w:r w:rsidRPr="00310D49">
        <w:rPr>
          <w:lang w:val="fr-FR"/>
        </w:rPr>
        <w:t>ans au plus et que le violeur est l</w:t>
      </w:r>
      <w:r w:rsidR="0035332C">
        <w:rPr>
          <w:lang w:val="fr-FR"/>
        </w:rPr>
        <w:t>’</w:t>
      </w:r>
      <w:r w:rsidRPr="00310D49">
        <w:rPr>
          <w:lang w:val="fr-FR"/>
        </w:rPr>
        <w:t>un de ses ascendants légitimes ou illégitimes, le violeur est passible d</w:t>
      </w:r>
      <w:r w:rsidR="0035332C">
        <w:rPr>
          <w:lang w:val="fr-FR"/>
        </w:rPr>
        <w:t>’</w:t>
      </w:r>
      <w:r w:rsidRPr="00310D49">
        <w:rPr>
          <w:lang w:val="fr-FR"/>
        </w:rPr>
        <w:t>une peine d</w:t>
      </w:r>
      <w:r w:rsidR="0035332C">
        <w:rPr>
          <w:lang w:val="fr-FR"/>
        </w:rPr>
        <w:t>’</w:t>
      </w:r>
      <w:r w:rsidRPr="00310D49">
        <w:rPr>
          <w:lang w:val="fr-FR"/>
        </w:rPr>
        <w:t>emprisonnement de 3 à 15</w:t>
      </w:r>
      <w:r w:rsidR="003A02FA">
        <w:rPr>
          <w:lang w:val="fr-FR"/>
        </w:rPr>
        <w:t> </w:t>
      </w:r>
      <w:r w:rsidRPr="00310D49">
        <w:rPr>
          <w:lang w:val="fr-FR"/>
        </w:rPr>
        <w:t>ans.</w:t>
      </w:r>
    </w:p>
    <w:p w14:paraId="2CBA7057" w14:textId="099CF687" w:rsidR="00D005FA" w:rsidRPr="00310D49" w:rsidRDefault="00D005FA" w:rsidP="00BD2C96">
      <w:pPr>
        <w:pStyle w:val="SingleTxtG"/>
        <w:rPr>
          <w:lang w:val="fr-FR"/>
        </w:rPr>
      </w:pPr>
      <w:r w:rsidRPr="00310D49">
        <w:rPr>
          <w:lang w:val="fr-FR"/>
        </w:rPr>
        <w:t>105.</w:t>
      </w:r>
      <w:r w:rsidRPr="00310D49">
        <w:rPr>
          <w:lang w:val="fr-FR"/>
        </w:rPr>
        <w:tab/>
        <w:t>En mars 2018, le décret-loi n</w:t>
      </w:r>
      <w:r w:rsidR="003A02FA" w:rsidRPr="003A02FA">
        <w:rPr>
          <w:vertAlign w:val="superscript"/>
          <w:lang w:val="fr-FR"/>
        </w:rPr>
        <w:t>o</w:t>
      </w:r>
      <w:r w:rsidR="003A02FA">
        <w:rPr>
          <w:lang w:val="fr-FR"/>
        </w:rPr>
        <w:t> </w:t>
      </w:r>
      <w:r w:rsidRPr="00310D49">
        <w:rPr>
          <w:lang w:val="fr-FR"/>
        </w:rPr>
        <w:t>5 de 2018 abrogeant l</w:t>
      </w:r>
      <w:r w:rsidR="0035332C">
        <w:rPr>
          <w:lang w:val="fr-FR"/>
        </w:rPr>
        <w:t>’</w:t>
      </w:r>
      <w:r w:rsidRPr="00310D49">
        <w:rPr>
          <w:lang w:val="fr-FR"/>
        </w:rPr>
        <w:t>article 308 du Code pénal n</w:t>
      </w:r>
      <w:r w:rsidR="003A02FA" w:rsidRPr="003A02FA">
        <w:rPr>
          <w:vertAlign w:val="superscript"/>
          <w:lang w:val="fr-FR"/>
        </w:rPr>
        <w:t>o</w:t>
      </w:r>
      <w:r w:rsidR="003A02FA">
        <w:rPr>
          <w:lang w:val="fr-FR"/>
        </w:rPr>
        <w:t> </w:t>
      </w:r>
      <w:r w:rsidRPr="00310D49">
        <w:rPr>
          <w:lang w:val="fr-FR"/>
        </w:rPr>
        <w:t>16 de 1960 a été promulgué pour faire en sorte que les poursuites contre l</w:t>
      </w:r>
      <w:r w:rsidR="0035332C">
        <w:rPr>
          <w:lang w:val="fr-FR"/>
        </w:rPr>
        <w:t>’</w:t>
      </w:r>
      <w:r w:rsidRPr="00310D49">
        <w:rPr>
          <w:lang w:val="fr-FR"/>
        </w:rPr>
        <w:t>auteur d</w:t>
      </w:r>
      <w:r w:rsidR="0035332C">
        <w:rPr>
          <w:lang w:val="fr-FR"/>
        </w:rPr>
        <w:t>’</w:t>
      </w:r>
      <w:r w:rsidRPr="00310D49">
        <w:rPr>
          <w:lang w:val="fr-FR"/>
        </w:rPr>
        <w:t>une infraction à caractère sexuelle contre une femme et l</w:t>
      </w:r>
      <w:r w:rsidR="0035332C">
        <w:rPr>
          <w:lang w:val="fr-FR"/>
        </w:rPr>
        <w:t>’</w:t>
      </w:r>
      <w:r w:rsidRPr="00310D49">
        <w:rPr>
          <w:lang w:val="fr-FR"/>
        </w:rPr>
        <w:t>exécution de la peine ne soient pas suspendues si ledit auteur venait à se marier avec la victime.</w:t>
      </w:r>
    </w:p>
    <w:p w14:paraId="07747314" w14:textId="5EF4F28A" w:rsidR="00D005FA" w:rsidRPr="00310D49" w:rsidRDefault="00D005FA" w:rsidP="00BD2C96">
      <w:pPr>
        <w:pStyle w:val="H1G"/>
        <w:rPr>
          <w:lang w:val="fr-FR"/>
        </w:rPr>
      </w:pPr>
      <w:r w:rsidRPr="00310D49">
        <w:rPr>
          <w:lang w:val="fr-FR"/>
        </w:rPr>
        <w:tab/>
      </w:r>
      <w:r w:rsidRPr="00310D49">
        <w:rPr>
          <w:lang w:val="fr-FR"/>
        </w:rPr>
        <w:tab/>
        <w:t>Article 4</w:t>
      </w:r>
      <w:bookmarkStart w:id="3" w:name="_Toc80715493"/>
      <w:bookmarkEnd w:id="3"/>
    </w:p>
    <w:p w14:paraId="196F85F5" w14:textId="1DBEB195" w:rsidR="00D005FA" w:rsidRPr="00310D49" w:rsidRDefault="00D005FA" w:rsidP="00BD2C96">
      <w:pPr>
        <w:pStyle w:val="SingleTxtG"/>
        <w:rPr>
          <w:lang w:val="fr-FR"/>
        </w:rPr>
      </w:pPr>
      <w:r w:rsidRPr="00310D49">
        <w:rPr>
          <w:lang w:val="fr-FR"/>
        </w:rPr>
        <w:t>106.</w:t>
      </w:r>
      <w:r w:rsidRPr="00310D49">
        <w:rPr>
          <w:lang w:val="fr-FR"/>
        </w:rPr>
        <w:tab/>
        <w:t>L</w:t>
      </w:r>
      <w:r w:rsidR="0035332C">
        <w:rPr>
          <w:lang w:val="fr-FR"/>
        </w:rPr>
        <w:t>’</w:t>
      </w:r>
      <w:r w:rsidRPr="00310D49">
        <w:rPr>
          <w:lang w:val="fr-FR"/>
        </w:rPr>
        <w:t>état d</w:t>
      </w:r>
      <w:r w:rsidR="0035332C">
        <w:rPr>
          <w:lang w:val="fr-FR"/>
        </w:rPr>
        <w:t>’</w:t>
      </w:r>
      <w:r w:rsidRPr="00310D49">
        <w:rPr>
          <w:lang w:val="fr-FR"/>
        </w:rPr>
        <w:t>urgence est codifié aux articles 110 à 114 contenus dans le chapitre VII de la Loi fondamentale, telle que modifiée. Selon ces articles, l</w:t>
      </w:r>
      <w:r w:rsidR="0035332C">
        <w:rPr>
          <w:lang w:val="fr-FR"/>
        </w:rPr>
        <w:t>’</w:t>
      </w:r>
      <w:r w:rsidRPr="00310D49">
        <w:rPr>
          <w:lang w:val="fr-FR"/>
        </w:rPr>
        <w:t>état d</w:t>
      </w:r>
      <w:r w:rsidR="0035332C">
        <w:rPr>
          <w:lang w:val="fr-FR"/>
        </w:rPr>
        <w:t>’</w:t>
      </w:r>
      <w:r w:rsidRPr="00310D49">
        <w:rPr>
          <w:lang w:val="fr-FR"/>
        </w:rPr>
        <w:t>urgence est proclamé en cas de menace à la sécurité nationale en raison d</w:t>
      </w:r>
      <w:r w:rsidR="0035332C">
        <w:rPr>
          <w:lang w:val="fr-FR"/>
        </w:rPr>
        <w:t>’</w:t>
      </w:r>
      <w:r w:rsidRPr="00310D49">
        <w:rPr>
          <w:lang w:val="fr-FR"/>
        </w:rPr>
        <w:t>une guerre, d</w:t>
      </w:r>
      <w:r w:rsidR="0035332C">
        <w:rPr>
          <w:lang w:val="fr-FR"/>
        </w:rPr>
        <w:t>’</w:t>
      </w:r>
      <w:r w:rsidRPr="00310D49">
        <w:rPr>
          <w:lang w:val="fr-FR"/>
        </w:rPr>
        <w:t>une invasion, d</w:t>
      </w:r>
      <w:r w:rsidR="0035332C">
        <w:rPr>
          <w:lang w:val="fr-FR"/>
        </w:rPr>
        <w:t>’</w:t>
      </w:r>
      <w:r w:rsidRPr="00310D49">
        <w:rPr>
          <w:lang w:val="fr-FR"/>
        </w:rPr>
        <w:t>une insurrection armée ou d</w:t>
      </w:r>
      <w:r w:rsidR="0035332C">
        <w:rPr>
          <w:lang w:val="fr-FR"/>
        </w:rPr>
        <w:t>’</w:t>
      </w:r>
      <w:r w:rsidRPr="00310D49">
        <w:rPr>
          <w:lang w:val="fr-FR"/>
        </w:rPr>
        <w:t>une catastrophe naturelle, à condition que la finalité de l</w:t>
      </w:r>
      <w:r w:rsidR="0035332C">
        <w:rPr>
          <w:lang w:val="fr-FR"/>
        </w:rPr>
        <w:t>’</w:t>
      </w:r>
      <w:r w:rsidRPr="00310D49">
        <w:rPr>
          <w:lang w:val="fr-FR"/>
        </w:rPr>
        <w:t>état d</w:t>
      </w:r>
      <w:r w:rsidR="0035332C">
        <w:rPr>
          <w:lang w:val="fr-FR"/>
        </w:rPr>
        <w:t>’</w:t>
      </w:r>
      <w:r w:rsidRPr="00310D49">
        <w:rPr>
          <w:lang w:val="fr-FR"/>
        </w:rPr>
        <w:t>urgence, la région à laquelle il s</w:t>
      </w:r>
      <w:r w:rsidR="0035332C">
        <w:rPr>
          <w:lang w:val="fr-FR"/>
        </w:rPr>
        <w:t>’</w:t>
      </w:r>
      <w:r w:rsidRPr="00310D49">
        <w:rPr>
          <w:lang w:val="fr-FR"/>
        </w:rPr>
        <w:t>applique et sa durée, qui ne doit pas dépasser trente jours, soient précisées dans le décret le proclamant. L</w:t>
      </w:r>
      <w:r w:rsidR="0035332C">
        <w:rPr>
          <w:lang w:val="fr-FR"/>
        </w:rPr>
        <w:t>’</w:t>
      </w:r>
      <w:r w:rsidRPr="00310D49">
        <w:rPr>
          <w:lang w:val="fr-FR"/>
        </w:rPr>
        <w:t>état d</w:t>
      </w:r>
      <w:r w:rsidR="0035332C">
        <w:rPr>
          <w:lang w:val="fr-FR"/>
        </w:rPr>
        <w:t>’</w:t>
      </w:r>
      <w:r w:rsidRPr="00310D49">
        <w:rPr>
          <w:lang w:val="fr-FR"/>
        </w:rPr>
        <w:t xml:space="preserve">urgence peut être prolongé pour une nouvelle période de trente jours après son approbation par le Conseil législatif. </w:t>
      </w:r>
    </w:p>
    <w:p w14:paraId="6672CA9D" w14:textId="073DBD4C" w:rsidR="00D005FA" w:rsidRPr="00310D49" w:rsidRDefault="00D005FA" w:rsidP="00BD2C96">
      <w:pPr>
        <w:pStyle w:val="SingleTxtG"/>
        <w:rPr>
          <w:lang w:val="fr-FR"/>
        </w:rPr>
      </w:pPr>
      <w:r w:rsidRPr="00310D49">
        <w:rPr>
          <w:lang w:val="fr-FR"/>
        </w:rPr>
        <w:t>107.</w:t>
      </w:r>
      <w:r w:rsidRPr="00310D49">
        <w:rPr>
          <w:lang w:val="fr-FR"/>
        </w:rPr>
        <w:tab/>
        <w:t>En outre, il est interdit de limiter les droits fondamentaux et les libertés lorsque l</w:t>
      </w:r>
      <w:r w:rsidR="0035332C">
        <w:rPr>
          <w:lang w:val="fr-FR"/>
        </w:rPr>
        <w:t>’</w:t>
      </w:r>
      <w:r w:rsidRPr="00310D49">
        <w:rPr>
          <w:lang w:val="fr-FR"/>
        </w:rPr>
        <w:t>état d</w:t>
      </w:r>
      <w:r w:rsidR="0035332C">
        <w:rPr>
          <w:lang w:val="fr-FR"/>
        </w:rPr>
        <w:t>’</w:t>
      </w:r>
      <w:r w:rsidRPr="00310D49">
        <w:rPr>
          <w:lang w:val="fr-FR"/>
        </w:rPr>
        <w:t>urgence est déclaré, sauf dans la mesure nécessaire pour atteindre les objectifs visés par le décret déclarant l</w:t>
      </w:r>
      <w:r w:rsidR="0035332C">
        <w:rPr>
          <w:lang w:val="fr-FR"/>
        </w:rPr>
        <w:t>’</w:t>
      </w:r>
      <w:r w:rsidRPr="00310D49">
        <w:rPr>
          <w:lang w:val="fr-FR"/>
        </w:rPr>
        <w:t>état d</w:t>
      </w:r>
      <w:r w:rsidR="0035332C">
        <w:rPr>
          <w:lang w:val="fr-FR"/>
        </w:rPr>
        <w:t>’</w:t>
      </w:r>
      <w:r w:rsidRPr="00310D49">
        <w:rPr>
          <w:lang w:val="fr-FR"/>
        </w:rPr>
        <w:t>urgence. Toute arrestation ou détention pendant l</w:t>
      </w:r>
      <w:r w:rsidR="0035332C">
        <w:rPr>
          <w:lang w:val="fr-FR"/>
        </w:rPr>
        <w:t>’</w:t>
      </w:r>
      <w:r w:rsidRPr="00310D49">
        <w:rPr>
          <w:lang w:val="fr-FR"/>
        </w:rPr>
        <w:t>état d</w:t>
      </w:r>
      <w:r w:rsidR="0035332C">
        <w:rPr>
          <w:lang w:val="fr-FR"/>
        </w:rPr>
        <w:t>’</w:t>
      </w:r>
      <w:r w:rsidRPr="00310D49">
        <w:rPr>
          <w:lang w:val="fr-FR"/>
        </w:rPr>
        <w:t xml:space="preserve">urgence est également soumise au contrôle du procureur général ou de la juridiction compétente dans un </w:t>
      </w:r>
      <w:r w:rsidRPr="00310D49">
        <w:rPr>
          <w:lang w:val="fr-FR"/>
        </w:rPr>
        <w:lastRenderedPageBreak/>
        <w:t>délai n</w:t>
      </w:r>
      <w:r w:rsidR="0035332C">
        <w:rPr>
          <w:lang w:val="fr-FR"/>
        </w:rPr>
        <w:t>’</w:t>
      </w:r>
      <w:r w:rsidRPr="00310D49">
        <w:rPr>
          <w:lang w:val="fr-FR"/>
        </w:rPr>
        <w:t>excédant pas quinze jours. Le Conseil législatif a le droit d</w:t>
      </w:r>
      <w:r w:rsidR="0035332C">
        <w:rPr>
          <w:lang w:val="fr-FR"/>
        </w:rPr>
        <w:t>’</w:t>
      </w:r>
      <w:r w:rsidRPr="00310D49">
        <w:rPr>
          <w:lang w:val="fr-FR"/>
        </w:rPr>
        <w:t>interroger l</w:t>
      </w:r>
      <w:r w:rsidR="0035332C">
        <w:rPr>
          <w:lang w:val="fr-FR"/>
        </w:rPr>
        <w:t>’</w:t>
      </w:r>
      <w:r w:rsidRPr="00310D49">
        <w:rPr>
          <w:lang w:val="fr-FR"/>
        </w:rPr>
        <w:t>exécutif sur toute mesure prise pendant l</w:t>
      </w:r>
      <w:r w:rsidR="0035332C">
        <w:rPr>
          <w:lang w:val="fr-FR"/>
        </w:rPr>
        <w:t>’</w:t>
      </w:r>
      <w:r w:rsidRPr="00310D49">
        <w:rPr>
          <w:lang w:val="fr-FR"/>
        </w:rPr>
        <w:t>état d</w:t>
      </w:r>
      <w:r w:rsidR="0035332C">
        <w:rPr>
          <w:lang w:val="fr-FR"/>
        </w:rPr>
        <w:t>’</w:t>
      </w:r>
      <w:r w:rsidRPr="00310D49">
        <w:rPr>
          <w:lang w:val="fr-FR"/>
        </w:rPr>
        <w:t>urgence lors de sa première réunion suivant la déclaration de l</w:t>
      </w:r>
      <w:r w:rsidR="0035332C">
        <w:rPr>
          <w:lang w:val="fr-FR"/>
        </w:rPr>
        <w:t>’</w:t>
      </w:r>
      <w:r w:rsidRPr="00310D49">
        <w:rPr>
          <w:lang w:val="fr-FR"/>
        </w:rPr>
        <w:t>état d</w:t>
      </w:r>
      <w:r w:rsidR="0035332C">
        <w:rPr>
          <w:lang w:val="fr-FR"/>
        </w:rPr>
        <w:t>’</w:t>
      </w:r>
      <w:r w:rsidRPr="00310D49">
        <w:rPr>
          <w:lang w:val="fr-FR"/>
        </w:rPr>
        <w:t>urgence, étant entendu qu</w:t>
      </w:r>
      <w:r w:rsidR="0035332C">
        <w:rPr>
          <w:lang w:val="fr-FR"/>
        </w:rPr>
        <w:t>’</w:t>
      </w:r>
      <w:r w:rsidRPr="00310D49">
        <w:rPr>
          <w:lang w:val="fr-FR"/>
        </w:rPr>
        <w:t>il n</w:t>
      </w:r>
      <w:r w:rsidR="0035332C">
        <w:rPr>
          <w:lang w:val="fr-FR"/>
        </w:rPr>
        <w:t>’</w:t>
      </w:r>
      <w:r w:rsidRPr="00310D49">
        <w:rPr>
          <w:lang w:val="fr-FR"/>
        </w:rPr>
        <w:t>est en aucun cas permis de déroger aux droits non susceptibles de dérogation pendant l</w:t>
      </w:r>
      <w:r w:rsidR="0035332C">
        <w:rPr>
          <w:lang w:val="fr-FR"/>
        </w:rPr>
        <w:t>’</w:t>
      </w:r>
      <w:r w:rsidRPr="00310D49">
        <w:rPr>
          <w:lang w:val="fr-FR"/>
        </w:rPr>
        <w:t>état d</w:t>
      </w:r>
      <w:r w:rsidR="0035332C">
        <w:rPr>
          <w:lang w:val="fr-FR"/>
        </w:rPr>
        <w:t>’</w:t>
      </w:r>
      <w:r w:rsidRPr="00310D49">
        <w:rPr>
          <w:lang w:val="fr-FR"/>
        </w:rPr>
        <w:t xml:space="preserve">urgence. </w:t>
      </w:r>
    </w:p>
    <w:p w14:paraId="5CD3D53B" w14:textId="77777777" w:rsidR="00D005FA" w:rsidRPr="00310D49" w:rsidRDefault="00D005FA" w:rsidP="00BD2C96">
      <w:pPr>
        <w:pStyle w:val="H23G"/>
        <w:rPr>
          <w:lang w:val="fr-FR"/>
        </w:rPr>
      </w:pPr>
      <w:r w:rsidRPr="00310D49">
        <w:rPr>
          <w:lang w:val="fr-FR"/>
        </w:rPr>
        <w:tab/>
      </w:r>
      <w:r w:rsidRPr="00310D49">
        <w:rPr>
          <w:lang w:val="fr-FR"/>
        </w:rPr>
        <w:tab/>
      </w:r>
      <w:r w:rsidRPr="00F66D13">
        <w:rPr>
          <w:lang w:val="fr-FR"/>
        </w:rPr>
        <w:t>Définition du terrorisme figurant</w:t>
      </w:r>
      <w:r w:rsidRPr="00310D49">
        <w:rPr>
          <w:lang w:val="fr-FR"/>
        </w:rPr>
        <w:t xml:space="preserve"> dans la législation en vigueur</w:t>
      </w:r>
    </w:p>
    <w:p w14:paraId="45A81D5D" w14:textId="0A38DB00" w:rsidR="00D005FA" w:rsidRPr="00310D49" w:rsidRDefault="00D005FA" w:rsidP="00BD2C96">
      <w:pPr>
        <w:pStyle w:val="SingleTxtG"/>
        <w:rPr>
          <w:lang w:val="fr-FR"/>
        </w:rPr>
      </w:pPr>
      <w:r w:rsidRPr="00310D49">
        <w:rPr>
          <w:lang w:val="fr-FR"/>
        </w:rPr>
        <w:t>108.</w:t>
      </w:r>
      <w:r w:rsidRPr="00310D49">
        <w:rPr>
          <w:lang w:val="fr-FR"/>
        </w:rPr>
        <w:tab/>
        <w:t>L</w:t>
      </w:r>
      <w:r w:rsidR="0035332C">
        <w:rPr>
          <w:lang w:val="fr-FR"/>
        </w:rPr>
        <w:t>’</w:t>
      </w:r>
      <w:r w:rsidRPr="00310D49">
        <w:rPr>
          <w:lang w:val="fr-FR"/>
        </w:rPr>
        <w:t>article 147 du Code pénal n</w:t>
      </w:r>
      <w:r w:rsidR="00F66D13" w:rsidRPr="00F66D13">
        <w:rPr>
          <w:vertAlign w:val="superscript"/>
          <w:lang w:val="fr-FR"/>
        </w:rPr>
        <w:t>o</w:t>
      </w:r>
      <w:r w:rsidR="00F66D13">
        <w:rPr>
          <w:lang w:val="fr-FR"/>
        </w:rPr>
        <w:t> </w:t>
      </w:r>
      <w:r w:rsidRPr="00310D49">
        <w:rPr>
          <w:lang w:val="fr-FR"/>
        </w:rPr>
        <w:t>16 de 1960 définit les actes terroristes comme suit</w:t>
      </w:r>
      <w:r w:rsidR="00B02693">
        <w:rPr>
          <w:lang w:val="fr-FR"/>
        </w:rPr>
        <w:t> </w:t>
      </w:r>
      <w:r w:rsidRPr="00310D49">
        <w:rPr>
          <w:lang w:val="fr-FR"/>
        </w:rPr>
        <w:t>: «</w:t>
      </w:r>
      <w:r w:rsidR="00B02693">
        <w:rPr>
          <w:lang w:val="fr-FR"/>
        </w:rPr>
        <w:t> </w:t>
      </w:r>
      <w:r w:rsidRPr="00310D49">
        <w:rPr>
          <w:lang w:val="fr-FR"/>
        </w:rPr>
        <w:t>Tous les actes visant à semer la panique et commis par des moyens susceptibles de constituer un danger public, tels qu</w:t>
      </w:r>
      <w:r w:rsidR="0035332C">
        <w:rPr>
          <w:lang w:val="fr-FR"/>
        </w:rPr>
        <w:t>’</w:t>
      </w:r>
      <w:r w:rsidRPr="00310D49">
        <w:rPr>
          <w:lang w:val="fr-FR"/>
        </w:rPr>
        <w:t>engins explosifs, matières inflammables, produits toxiques ou corrosifs, agents infectieux ou microbiens</w:t>
      </w:r>
      <w:r w:rsidR="00B02693">
        <w:rPr>
          <w:lang w:val="fr-FR"/>
        </w:rPr>
        <w:t> </w:t>
      </w:r>
      <w:r w:rsidRPr="00310D49">
        <w:rPr>
          <w:lang w:val="fr-FR"/>
        </w:rPr>
        <w:t>».</w:t>
      </w:r>
    </w:p>
    <w:p w14:paraId="5D7B45F6" w14:textId="61CA6573" w:rsidR="00D005FA" w:rsidRPr="00310D49" w:rsidRDefault="00D005FA" w:rsidP="00BD2C96">
      <w:pPr>
        <w:pStyle w:val="SingleTxtG"/>
        <w:rPr>
          <w:lang w:val="fr-FR"/>
        </w:rPr>
      </w:pPr>
      <w:r w:rsidRPr="00310D49">
        <w:rPr>
          <w:lang w:val="fr-FR"/>
        </w:rPr>
        <w:t>109.</w:t>
      </w:r>
      <w:r w:rsidRPr="00310D49">
        <w:rPr>
          <w:lang w:val="fr-FR"/>
        </w:rPr>
        <w:tab/>
        <w:t>L</w:t>
      </w:r>
      <w:r w:rsidR="0035332C">
        <w:rPr>
          <w:lang w:val="fr-FR"/>
        </w:rPr>
        <w:t>’</w:t>
      </w:r>
      <w:r w:rsidRPr="00310D49">
        <w:rPr>
          <w:lang w:val="fr-FR"/>
        </w:rPr>
        <w:t>article premier du décret-loi n</w:t>
      </w:r>
      <w:r w:rsidR="00F66D13" w:rsidRPr="00F66D13">
        <w:rPr>
          <w:vertAlign w:val="superscript"/>
          <w:lang w:val="fr-FR"/>
        </w:rPr>
        <w:t>o</w:t>
      </w:r>
      <w:r w:rsidR="00F66D13">
        <w:rPr>
          <w:lang w:val="fr-FR"/>
        </w:rPr>
        <w:t> </w:t>
      </w:r>
      <w:r w:rsidRPr="00310D49">
        <w:rPr>
          <w:lang w:val="fr-FR"/>
        </w:rPr>
        <w:t>20 de 2015 relatif à la lutte contre le blanchiment d</w:t>
      </w:r>
      <w:r w:rsidR="0035332C">
        <w:rPr>
          <w:lang w:val="fr-FR"/>
        </w:rPr>
        <w:t>’</w:t>
      </w:r>
      <w:r w:rsidRPr="00310D49">
        <w:rPr>
          <w:lang w:val="fr-FR"/>
        </w:rPr>
        <w:t>argent et le financement du terrorisme, tel que modifié, définit le terroriste/l</w:t>
      </w:r>
      <w:r w:rsidR="0035332C">
        <w:rPr>
          <w:lang w:val="fr-FR"/>
        </w:rPr>
        <w:t>’</w:t>
      </w:r>
      <w:r w:rsidRPr="00310D49">
        <w:rPr>
          <w:lang w:val="fr-FR"/>
        </w:rPr>
        <w:t>organisation terroriste comme suit</w:t>
      </w:r>
      <w:r w:rsidR="00B02693">
        <w:rPr>
          <w:lang w:val="fr-FR"/>
        </w:rPr>
        <w:t> </w:t>
      </w:r>
      <w:r w:rsidRPr="00310D49">
        <w:rPr>
          <w:lang w:val="fr-FR"/>
        </w:rPr>
        <w:t>: Toute personne et/ou tout groupe de terroristes qui se livre à l</w:t>
      </w:r>
      <w:r w:rsidR="0035332C">
        <w:rPr>
          <w:lang w:val="fr-FR"/>
        </w:rPr>
        <w:t>’</w:t>
      </w:r>
      <w:r w:rsidRPr="00310D49">
        <w:rPr>
          <w:lang w:val="fr-FR"/>
        </w:rPr>
        <w:t>un ou l</w:t>
      </w:r>
      <w:r w:rsidR="0035332C">
        <w:rPr>
          <w:lang w:val="fr-FR"/>
        </w:rPr>
        <w:t>’</w:t>
      </w:r>
      <w:r w:rsidRPr="00310D49">
        <w:rPr>
          <w:lang w:val="fr-FR"/>
        </w:rPr>
        <w:t>autre des actes suivants</w:t>
      </w:r>
      <w:r w:rsidR="00B02693">
        <w:rPr>
          <w:lang w:val="fr-FR"/>
        </w:rPr>
        <w:t> </w:t>
      </w:r>
      <w:r w:rsidRPr="00310D49">
        <w:rPr>
          <w:lang w:val="fr-FR"/>
        </w:rPr>
        <w:t xml:space="preserve">: </w:t>
      </w:r>
      <w:r w:rsidR="00F66D13">
        <w:rPr>
          <w:lang w:val="fr-FR"/>
        </w:rPr>
        <w:t>1) </w:t>
      </w:r>
      <w:r w:rsidRPr="00310D49">
        <w:rPr>
          <w:lang w:val="fr-FR"/>
        </w:rPr>
        <w:t>Commettre ou tenter de commettre un acte terroriste, directement ou indirectement et par quelque moyen que ce soit, être complice d</w:t>
      </w:r>
      <w:r w:rsidR="0035332C">
        <w:rPr>
          <w:lang w:val="fr-FR"/>
        </w:rPr>
        <w:t>’</w:t>
      </w:r>
      <w:r w:rsidRPr="00310D49">
        <w:rPr>
          <w:lang w:val="fr-FR"/>
        </w:rPr>
        <w:t>un acte terroriste et organiser un acte terroriste ou donner des instructions à autrui pour l</w:t>
      </w:r>
      <w:r w:rsidR="0035332C">
        <w:rPr>
          <w:lang w:val="fr-FR"/>
        </w:rPr>
        <w:t>’</w:t>
      </w:r>
      <w:r w:rsidRPr="00310D49">
        <w:rPr>
          <w:lang w:val="fr-FR"/>
        </w:rPr>
        <w:t>exécution d</w:t>
      </w:r>
      <w:r w:rsidR="0035332C">
        <w:rPr>
          <w:lang w:val="fr-FR"/>
        </w:rPr>
        <w:t>’</w:t>
      </w:r>
      <w:r w:rsidRPr="00310D49">
        <w:rPr>
          <w:lang w:val="fr-FR"/>
        </w:rPr>
        <w:t>un tel acte</w:t>
      </w:r>
      <w:r w:rsidR="00B02693">
        <w:rPr>
          <w:lang w:val="fr-FR"/>
        </w:rPr>
        <w:t> </w:t>
      </w:r>
      <w:r w:rsidRPr="00310D49">
        <w:rPr>
          <w:lang w:val="fr-FR"/>
        </w:rPr>
        <w:t>; 2)</w:t>
      </w:r>
      <w:r w:rsidR="00B02693">
        <w:rPr>
          <w:lang w:val="fr-FR"/>
        </w:rPr>
        <w:t> </w:t>
      </w:r>
      <w:r w:rsidRPr="00310D49">
        <w:rPr>
          <w:lang w:val="fr-FR"/>
        </w:rPr>
        <w:t>Participer aux activités d</w:t>
      </w:r>
      <w:r w:rsidR="0035332C">
        <w:rPr>
          <w:lang w:val="fr-FR"/>
        </w:rPr>
        <w:t>’</w:t>
      </w:r>
      <w:r w:rsidRPr="00310D49">
        <w:rPr>
          <w:lang w:val="fr-FR"/>
        </w:rPr>
        <w:t>un groupe de personnes avec l</w:t>
      </w:r>
      <w:r w:rsidR="0035332C">
        <w:rPr>
          <w:lang w:val="fr-FR"/>
        </w:rPr>
        <w:t>’</w:t>
      </w:r>
      <w:r w:rsidRPr="00310D49">
        <w:rPr>
          <w:lang w:val="fr-FR"/>
        </w:rPr>
        <w:t>objectif commun de commettre des actes terroristes pour étendre l</w:t>
      </w:r>
      <w:r w:rsidR="0035332C">
        <w:rPr>
          <w:lang w:val="fr-FR"/>
        </w:rPr>
        <w:t>’</w:t>
      </w:r>
      <w:r w:rsidRPr="00310D49">
        <w:rPr>
          <w:lang w:val="fr-FR"/>
        </w:rPr>
        <w:t>activité terroriste ou en ayant connaissance de l</w:t>
      </w:r>
      <w:r w:rsidR="0035332C">
        <w:rPr>
          <w:lang w:val="fr-FR"/>
        </w:rPr>
        <w:t>’</w:t>
      </w:r>
      <w:r w:rsidRPr="00310D49">
        <w:rPr>
          <w:lang w:val="fr-FR"/>
        </w:rPr>
        <w:t xml:space="preserve">intention dudit groupe de commettre un acte terroriste. </w:t>
      </w:r>
    </w:p>
    <w:p w14:paraId="5D37CBA7" w14:textId="23B539A2" w:rsidR="00D005FA" w:rsidRPr="00310D49" w:rsidRDefault="00D005FA" w:rsidP="00BE3EE6">
      <w:pPr>
        <w:pStyle w:val="SingleTxtG"/>
        <w:rPr>
          <w:spacing w:val="-2"/>
          <w:lang w:val="fr-FR"/>
        </w:rPr>
      </w:pPr>
      <w:bookmarkStart w:id="4" w:name="A06581_148"/>
      <w:bookmarkEnd w:id="4"/>
      <w:r w:rsidRPr="00310D49">
        <w:rPr>
          <w:lang w:val="fr-FR"/>
        </w:rPr>
        <w:t>110.</w:t>
      </w:r>
      <w:r w:rsidRPr="00310D49">
        <w:rPr>
          <w:lang w:val="fr-FR"/>
        </w:rPr>
        <w:tab/>
        <w:t>En application du décret-loi n</w:t>
      </w:r>
      <w:r w:rsidR="00F66D13" w:rsidRPr="00F66D13">
        <w:rPr>
          <w:vertAlign w:val="superscript"/>
          <w:lang w:val="fr-FR"/>
        </w:rPr>
        <w:t>o</w:t>
      </w:r>
      <w:r w:rsidR="00F66D13">
        <w:rPr>
          <w:lang w:val="fr-FR"/>
        </w:rPr>
        <w:t> </w:t>
      </w:r>
      <w:r w:rsidRPr="00310D49">
        <w:rPr>
          <w:lang w:val="fr-FR"/>
        </w:rPr>
        <w:t>20 de 2015 relatif à la lutte contre le blanchiment d</w:t>
      </w:r>
      <w:r w:rsidR="0035332C">
        <w:rPr>
          <w:lang w:val="fr-FR"/>
        </w:rPr>
        <w:t>’</w:t>
      </w:r>
      <w:r w:rsidRPr="00310D49">
        <w:rPr>
          <w:lang w:val="fr-FR"/>
        </w:rPr>
        <w:t>argent et le financement du terrorisme, tel que modifié, le Comité national de lutte contre le blanchiment de capitaux et le financement du terrorisme a été constitué, ainsi qu</w:t>
      </w:r>
      <w:r w:rsidR="0035332C">
        <w:rPr>
          <w:lang w:val="fr-FR"/>
        </w:rPr>
        <w:t>’</w:t>
      </w:r>
      <w:r w:rsidRPr="00310D49">
        <w:rPr>
          <w:lang w:val="fr-FR"/>
        </w:rPr>
        <w:t>une commission pour l</w:t>
      </w:r>
      <w:r w:rsidR="0035332C">
        <w:rPr>
          <w:lang w:val="fr-FR"/>
        </w:rPr>
        <w:t>’</w:t>
      </w:r>
      <w:r w:rsidRPr="00310D49">
        <w:rPr>
          <w:lang w:val="fr-FR"/>
        </w:rPr>
        <w:t>application des résolutions du Conseil de sécurité des Nations Unies sur la lutte contre le financement du terrorisme. Cette commission est chargée de la mise en œuvre immédiate des résolutions du Conseil de sécurité relatives à la lutte contre le financement du terrorisme, en particulier des résolutions 1373 et 1267 et des décisions qui en découlent, ainsi que de la résolution n</w:t>
      </w:r>
      <w:r w:rsidR="00F66D13" w:rsidRPr="00F66D13">
        <w:rPr>
          <w:vertAlign w:val="superscript"/>
          <w:lang w:val="fr-FR"/>
        </w:rPr>
        <w:t>o</w:t>
      </w:r>
      <w:r w:rsidR="00F66D13">
        <w:rPr>
          <w:lang w:val="fr-FR"/>
        </w:rPr>
        <w:t> </w:t>
      </w:r>
      <w:r w:rsidRPr="00310D49">
        <w:rPr>
          <w:lang w:val="fr-FR"/>
        </w:rPr>
        <w:t>2178 du Conseil de sécurité relative aux combattants terroristes étrangers. La commission est également chargée d</w:t>
      </w:r>
      <w:r w:rsidR="0035332C">
        <w:rPr>
          <w:lang w:val="fr-FR"/>
        </w:rPr>
        <w:t>’</w:t>
      </w:r>
      <w:r w:rsidRPr="00310D49">
        <w:rPr>
          <w:lang w:val="fr-FR"/>
        </w:rPr>
        <w:t>établir une liste de personnes et d</w:t>
      </w:r>
      <w:r w:rsidR="0035332C">
        <w:rPr>
          <w:lang w:val="fr-FR"/>
        </w:rPr>
        <w:t>’</w:t>
      </w:r>
      <w:r w:rsidRPr="00310D49">
        <w:rPr>
          <w:lang w:val="fr-FR"/>
        </w:rPr>
        <w:t>organisations considérées comme terroristes, laquelle est publiée au Journal officiel. Les personnes et les organisations visées peuvent former opposition à la liste et contester les décisions de la commission devant le tribunal compétent.</w:t>
      </w:r>
    </w:p>
    <w:p w14:paraId="408CA4FA" w14:textId="77777777" w:rsidR="00D005FA" w:rsidRPr="00310D49" w:rsidRDefault="00D005FA" w:rsidP="00BE3EE6">
      <w:pPr>
        <w:pStyle w:val="H1G"/>
        <w:rPr>
          <w:lang w:val="fr-FR"/>
        </w:rPr>
      </w:pPr>
      <w:r w:rsidRPr="00310D49">
        <w:rPr>
          <w:lang w:val="fr-FR"/>
        </w:rPr>
        <w:tab/>
      </w:r>
      <w:r w:rsidRPr="00310D49">
        <w:rPr>
          <w:lang w:val="fr-FR"/>
        </w:rPr>
        <w:tab/>
        <w:t xml:space="preserve">Article 5 </w:t>
      </w:r>
      <w:bookmarkStart w:id="5" w:name="_Toc80715494"/>
      <w:bookmarkEnd w:id="5"/>
    </w:p>
    <w:p w14:paraId="6EA1E675" w14:textId="4A1F192C" w:rsidR="00D005FA" w:rsidRPr="00310D49" w:rsidRDefault="00D005FA" w:rsidP="00BE3EE6">
      <w:pPr>
        <w:pStyle w:val="SingleTxtG"/>
        <w:rPr>
          <w:spacing w:val="-2"/>
          <w:lang w:val="fr-FR"/>
        </w:rPr>
      </w:pPr>
      <w:r w:rsidRPr="00310D49">
        <w:rPr>
          <w:lang w:val="fr-FR"/>
        </w:rPr>
        <w:t>111.</w:t>
      </w:r>
      <w:r w:rsidRPr="00310D49">
        <w:rPr>
          <w:lang w:val="fr-FR"/>
        </w:rPr>
        <w:tab/>
        <w:t>Par la Déclaration d</w:t>
      </w:r>
      <w:r w:rsidR="0035332C">
        <w:rPr>
          <w:lang w:val="fr-FR"/>
        </w:rPr>
        <w:t>’</w:t>
      </w:r>
      <w:r w:rsidRPr="00310D49">
        <w:rPr>
          <w:lang w:val="fr-FR"/>
        </w:rPr>
        <w:t>indépendance palestinienne, qui est le document constitutionnel le plus important du système juridique palestinien, l</w:t>
      </w:r>
      <w:r w:rsidR="0035332C">
        <w:rPr>
          <w:lang w:val="fr-FR"/>
        </w:rPr>
        <w:t>’</w:t>
      </w:r>
      <w:r w:rsidRPr="00310D49">
        <w:rPr>
          <w:lang w:val="fr-FR"/>
        </w:rPr>
        <w:t>État de Palestine s</w:t>
      </w:r>
      <w:r w:rsidR="0035332C">
        <w:rPr>
          <w:lang w:val="fr-FR"/>
        </w:rPr>
        <w:t>’</w:t>
      </w:r>
      <w:r w:rsidRPr="00310D49">
        <w:rPr>
          <w:lang w:val="fr-FR"/>
        </w:rPr>
        <w:t>est engagé à respecter la Déclaration universelle des droits de l</w:t>
      </w:r>
      <w:r w:rsidR="0035332C">
        <w:rPr>
          <w:lang w:val="fr-FR"/>
        </w:rPr>
        <w:t>’</w:t>
      </w:r>
      <w:r w:rsidRPr="00310D49">
        <w:rPr>
          <w:lang w:val="fr-FR"/>
        </w:rPr>
        <w:t>homme et les principes et objectifs des Nations</w:t>
      </w:r>
      <w:r w:rsidR="00F66D13">
        <w:rPr>
          <w:lang w:val="fr-FR"/>
        </w:rPr>
        <w:t> </w:t>
      </w:r>
      <w:r w:rsidRPr="00310D49">
        <w:rPr>
          <w:lang w:val="fr-FR"/>
        </w:rPr>
        <w:t>Unies. La Loi fondamentale, telle que modifiée, consacre la sauvegarde des droits et libertés publics, en prévoyant à son article</w:t>
      </w:r>
      <w:r w:rsidR="00F66D13">
        <w:rPr>
          <w:lang w:val="fr-FR"/>
        </w:rPr>
        <w:t> </w:t>
      </w:r>
      <w:r w:rsidRPr="00310D49">
        <w:rPr>
          <w:lang w:val="fr-FR"/>
        </w:rPr>
        <w:t>10 qu</w:t>
      </w:r>
      <w:r w:rsidR="0035332C">
        <w:rPr>
          <w:lang w:val="fr-FR"/>
        </w:rPr>
        <w:t>’</w:t>
      </w:r>
      <w:r w:rsidRPr="00310D49">
        <w:rPr>
          <w:lang w:val="fr-FR"/>
        </w:rPr>
        <w:t>il est obligatoire de respecter et de protéger les droits fondamentaux. Ainsi, les principes des droits de l</w:t>
      </w:r>
      <w:r w:rsidR="0035332C">
        <w:rPr>
          <w:lang w:val="fr-FR"/>
        </w:rPr>
        <w:t>’</w:t>
      </w:r>
      <w:r w:rsidRPr="00310D49">
        <w:rPr>
          <w:lang w:val="fr-FR"/>
        </w:rPr>
        <w:t>homme sont des règles constitutionnelles et tout texte législatif contraire au dispositif constitutionnel fera l</w:t>
      </w:r>
      <w:r w:rsidR="0035332C">
        <w:rPr>
          <w:lang w:val="fr-FR"/>
        </w:rPr>
        <w:t>’</w:t>
      </w:r>
      <w:r w:rsidRPr="00310D49">
        <w:rPr>
          <w:lang w:val="fr-FR"/>
        </w:rPr>
        <w:t>objet d</w:t>
      </w:r>
      <w:r w:rsidR="0035332C">
        <w:rPr>
          <w:lang w:val="fr-FR"/>
        </w:rPr>
        <w:t>’</w:t>
      </w:r>
      <w:r w:rsidRPr="00310D49">
        <w:rPr>
          <w:lang w:val="fr-FR"/>
        </w:rPr>
        <w:t>un arrêt d</w:t>
      </w:r>
      <w:r w:rsidR="0035332C">
        <w:rPr>
          <w:lang w:val="fr-FR"/>
        </w:rPr>
        <w:t>’</w:t>
      </w:r>
      <w:r w:rsidRPr="00310D49">
        <w:rPr>
          <w:lang w:val="fr-FR"/>
        </w:rPr>
        <w:t>inconstitutionnalité par la Haute Cour constitutionnelle, cet arrêt étant contraignant pour toutes les autorités de l</w:t>
      </w:r>
      <w:r w:rsidR="0035332C">
        <w:rPr>
          <w:lang w:val="fr-FR"/>
        </w:rPr>
        <w:t>’</w:t>
      </w:r>
      <w:r w:rsidRPr="00310D49">
        <w:rPr>
          <w:lang w:val="fr-FR"/>
        </w:rPr>
        <w:t>État. En outre, toute violation de ces droits et libertés constitue une infraction et toute action civile ou pénale résultant d</w:t>
      </w:r>
      <w:r w:rsidR="0035332C">
        <w:rPr>
          <w:lang w:val="fr-FR"/>
        </w:rPr>
        <w:t>’</w:t>
      </w:r>
      <w:r w:rsidRPr="00310D49">
        <w:rPr>
          <w:lang w:val="fr-FR"/>
        </w:rPr>
        <w:t>une telle violation est imprescriptible, étant entendu qu</w:t>
      </w:r>
      <w:r w:rsidR="0035332C">
        <w:rPr>
          <w:lang w:val="fr-FR"/>
        </w:rPr>
        <w:t>’</w:t>
      </w:r>
      <w:r w:rsidRPr="00310D49">
        <w:rPr>
          <w:lang w:val="fr-FR"/>
        </w:rPr>
        <w:t>une réparation juste et équitable doit être accordée à la personne lésée, conformément à l</w:t>
      </w:r>
      <w:r w:rsidR="0035332C">
        <w:rPr>
          <w:lang w:val="fr-FR"/>
        </w:rPr>
        <w:t>’</w:t>
      </w:r>
      <w:r w:rsidRPr="00310D49">
        <w:rPr>
          <w:lang w:val="fr-FR"/>
        </w:rPr>
        <w:t>article 32 de la Loi fondamentale. La Haute Cour constitutionnelle a affirmé, en vertu de la décision interprétative n</w:t>
      </w:r>
      <w:r w:rsidR="00F66D13" w:rsidRPr="00F66D13">
        <w:rPr>
          <w:vertAlign w:val="superscript"/>
          <w:lang w:val="fr-FR"/>
        </w:rPr>
        <w:t>o</w:t>
      </w:r>
      <w:r w:rsidR="00F66D13">
        <w:rPr>
          <w:lang w:val="fr-FR"/>
        </w:rPr>
        <w:t> </w:t>
      </w:r>
      <w:r w:rsidRPr="00310D49">
        <w:rPr>
          <w:lang w:val="fr-FR"/>
        </w:rPr>
        <w:t>5/2017, la primauté des traités et accords internationaux, y compris les instruments relatifs aux droits de l</w:t>
      </w:r>
      <w:r w:rsidR="0035332C">
        <w:rPr>
          <w:lang w:val="fr-FR"/>
        </w:rPr>
        <w:t>’</w:t>
      </w:r>
      <w:r w:rsidRPr="00310D49">
        <w:rPr>
          <w:lang w:val="fr-FR"/>
        </w:rPr>
        <w:t>homme, sur les lois nationales, à condition qu</w:t>
      </w:r>
      <w:r w:rsidR="0035332C">
        <w:rPr>
          <w:lang w:val="fr-FR"/>
        </w:rPr>
        <w:t>’</w:t>
      </w:r>
      <w:r w:rsidRPr="00310D49">
        <w:rPr>
          <w:lang w:val="fr-FR"/>
        </w:rPr>
        <w:t>ils soient transposés dans le droit interne conformément à la procédure établie. Le Gouvernement applique une politique claire en matière de promotion de la situation des droits de l</w:t>
      </w:r>
      <w:r w:rsidR="0035332C">
        <w:rPr>
          <w:lang w:val="fr-FR"/>
        </w:rPr>
        <w:t>’</w:t>
      </w:r>
      <w:r w:rsidRPr="00310D49">
        <w:rPr>
          <w:lang w:val="fr-FR"/>
        </w:rPr>
        <w:t>homme dans l</w:t>
      </w:r>
      <w:r w:rsidR="0035332C">
        <w:rPr>
          <w:lang w:val="fr-FR"/>
        </w:rPr>
        <w:t>’</w:t>
      </w:r>
      <w:r w:rsidRPr="00310D49">
        <w:rPr>
          <w:lang w:val="fr-FR"/>
        </w:rPr>
        <w:t>État de Palestine, en signant les instruments relatifs aux droits de l</w:t>
      </w:r>
      <w:r w:rsidR="0035332C">
        <w:rPr>
          <w:lang w:val="fr-FR"/>
        </w:rPr>
        <w:t>’</w:t>
      </w:r>
      <w:r w:rsidRPr="00310D49">
        <w:rPr>
          <w:lang w:val="fr-FR"/>
        </w:rPr>
        <w:t>homme et en y adhérant, ainsi qu</w:t>
      </w:r>
      <w:r w:rsidR="0035332C">
        <w:rPr>
          <w:lang w:val="fr-FR"/>
        </w:rPr>
        <w:t>’</w:t>
      </w:r>
      <w:r w:rsidRPr="00310D49">
        <w:rPr>
          <w:lang w:val="fr-FR"/>
        </w:rPr>
        <w:t>en mettant en œuvre les obligations qui en découlent, ce qui élargit le champ d</w:t>
      </w:r>
      <w:r w:rsidR="0035332C">
        <w:rPr>
          <w:lang w:val="fr-FR"/>
        </w:rPr>
        <w:t>’</w:t>
      </w:r>
      <w:r w:rsidRPr="00310D49">
        <w:rPr>
          <w:lang w:val="fr-FR"/>
        </w:rPr>
        <w:t>application de ces droits au niveau national.</w:t>
      </w:r>
    </w:p>
    <w:p w14:paraId="5412F5F6" w14:textId="094775ED" w:rsidR="00D005FA" w:rsidRPr="00310D49" w:rsidRDefault="00D005FA" w:rsidP="00BE3EE6">
      <w:pPr>
        <w:pStyle w:val="H1G"/>
        <w:rPr>
          <w:lang w:val="fr-FR"/>
        </w:rPr>
      </w:pPr>
      <w:r w:rsidRPr="00310D49">
        <w:rPr>
          <w:lang w:val="fr-FR"/>
        </w:rPr>
        <w:lastRenderedPageBreak/>
        <w:tab/>
      </w:r>
      <w:r w:rsidRPr="00310D49">
        <w:rPr>
          <w:lang w:val="fr-FR"/>
        </w:rPr>
        <w:tab/>
        <w:t>Article 6</w:t>
      </w:r>
      <w:bookmarkStart w:id="6" w:name="_Toc80715495"/>
      <w:bookmarkEnd w:id="6"/>
    </w:p>
    <w:p w14:paraId="7672C817" w14:textId="443A6278" w:rsidR="00D005FA" w:rsidRPr="00310D49" w:rsidRDefault="00D005FA" w:rsidP="00BE3EE6">
      <w:pPr>
        <w:pStyle w:val="SingleTxtG"/>
        <w:rPr>
          <w:lang w:val="fr-FR"/>
        </w:rPr>
      </w:pPr>
      <w:r w:rsidRPr="00310D49">
        <w:rPr>
          <w:lang w:val="fr-FR"/>
        </w:rPr>
        <w:t>112.</w:t>
      </w:r>
      <w:r w:rsidRPr="00310D49">
        <w:rPr>
          <w:lang w:val="fr-FR"/>
        </w:rPr>
        <w:tab/>
        <w:t xml:space="preserve">Le droit à la vie est le droit suprême </w:t>
      </w:r>
      <w:r w:rsidR="00F66D13">
        <w:rPr>
          <w:lang w:val="fr-FR"/>
        </w:rPr>
        <w:t xml:space="preserve">de </w:t>
      </w:r>
      <w:r w:rsidRPr="00310D49">
        <w:rPr>
          <w:lang w:val="fr-FR"/>
        </w:rPr>
        <w:t>l</w:t>
      </w:r>
      <w:r w:rsidR="0035332C">
        <w:rPr>
          <w:lang w:val="fr-FR"/>
        </w:rPr>
        <w:t>’</w:t>
      </w:r>
      <w:r w:rsidRPr="00310D49">
        <w:rPr>
          <w:lang w:val="fr-FR"/>
        </w:rPr>
        <w:t>être humain et ce droit bénéficie de la pleine protection juridique. En conséquence, la Déclaration d</w:t>
      </w:r>
      <w:r w:rsidR="0035332C">
        <w:rPr>
          <w:lang w:val="fr-FR"/>
        </w:rPr>
        <w:t>’</w:t>
      </w:r>
      <w:r w:rsidRPr="00310D49">
        <w:rPr>
          <w:lang w:val="fr-FR"/>
        </w:rPr>
        <w:t>indépendance palestinienne et la Loi fondamentale, telle que modifiée, ont imposé le respect des droits de l</w:t>
      </w:r>
      <w:r w:rsidR="0035332C">
        <w:rPr>
          <w:lang w:val="fr-FR"/>
        </w:rPr>
        <w:t>’</w:t>
      </w:r>
      <w:r w:rsidRPr="00310D49">
        <w:rPr>
          <w:lang w:val="fr-FR"/>
        </w:rPr>
        <w:t xml:space="preserve">homme, au premier rang desquels le droit à la vie, dont la violation constitue une infraction pénale imprescriptible en droit pénal comme en droit civil. </w:t>
      </w:r>
    </w:p>
    <w:p w14:paraId="2C72FF83" w14:textId="52119327" w:rsidR="00D005FA" w:rsidRPr="00310D49" w:rsidRDefault="00D005FA" w:rsidP="00BE3EE6">
      <w:pPr>
        <w:pStyle w:val="H23G"/>
        <w:rPr>
          <w:lang w:val="fr-FR"/>
        </w:rPr>
      </w:pPr>
      <w:r w:rsidRPr="00310D49">
        <w:rPr>
          <w:lang w:val="fr-FR"/>
        </w:rPr>
        <w:tab/>
      </w:r>
      <w:r w:rsidRPr="00310D49">
        <w:rPr>
          <w:lang w:val="fr-FR"/>
        </w:rPr>
        <w:tab/>
        <w:t>Violation du droit des Palestiniens à la vie par l</w:t>
      </w:r>
      <w:r w:rsidR="0035332C">
        <w:rPr>
          <w:lang w:val="fr-FR"/>
        </w:rPr>
        <w:t>’</w:t>
      </w:r>
      <w:r w:rsidRPr="00310D49">
        <w:rPr>
          <w:lang w:val="fr-FR"/>
        </w:rPr>
        <w:t>occupation israélienne</w:t>
      </w:r>
    </w:p>
    <w:p w14:paraId="52C10075" w14:textId="630BDF92" w:rsidR="00D005FA" w:rsidRPr="00310D49" w:rsidRDefault="00D005FA" w:rsidP="00BE3EE6">
      <w:pPr>
        <w:pStyle w:val="SingleTxtG"/>
        <w:rPr>
          <w:lang w:val="fr-FR"/>
        </w:rPr>
      </w:pPr>
      <w:r w:rsidRPr="00310D49">
        <w:rPr>
          <w:lang w:val="fr-FR"/>
        </w:rPr>
        <w:t>113.</w:t>
      </w:r>
      <w:r w:rsidRPr="00310D49">
        <w:rPr>
          <w:lang w:val="fr-FR"/>
        </w:rPr>
        <w:tab/>
        <w:t xml:space="preserve">Depuis le début de la colonisation il y a maintenant plus de </w:t>
      </w:r>
      <w:r w:rsidR="00F66D13">
        <w:rPr>
          <w:lang w:val="fr-FR"/>
        </w:rPr>
        <w:t>soixante-douze</w:t>
      </w:r>
      <w:r w:rsidRPr="00310D49">
        <w:rPr>
          <w:lang w:val="fr-FR"/>
        </w:rPr>
        <w:t xml:space="preserve"> ans, Israël, puissance occupante, mène une politique généralisée et systématique ayant pour objet de violer délibérément le droit à la vie du peuple palestinien. Cela se manifeste par les persécutions et les châtiments collectifs imposés par Israël, puissance occupante, sur les civils palestiniens, et la mise en œuvre de politiques et de pratiques qui constituent une violation flagrante du droit international des droits de l</w:t>
      </w:r>
      <w:r w:rsidR="0035332C">
        <w:rPr>
          <w:lang w:val="fr-FR"/>
        </w:rPr>
        <w:t>’</w:t>
      </w:r>
      <w:r w:rsidRPr="00310D49">
        <w:rPr>
          <w:lang w:val="fr-FR"/>
        </w:rPr>
        <w:t>homme. L</w:t>
      </w:r>
      <w:r w:rsidR="0035332C">
        <w:rPr>
          <w:lang w:val="fr-FR"/>
        </w:rPr>
        <w:t>’</w:t>
      </w:r>
      <w:r w:rsidRPr="00310D49">
        <w:rPr>
          <w:lang w:val="fr-FR"/>
        </w:rPr>
        <w:t>occupant israélien a toujours recouru aux assassinats ciblés, aux massacres et à des schémas horribles de meurtres, de blessures et d</w:t>
      </w:r>
      <w:r w:rsidR="0035332C">
        <w:rPr>
          <w:lang w:val="fr-FR"/>
        </w:rPr>
        <w:t>’</w:t>
      </w:r>
      <w:r w:rsidRPr="00310D49">
        <w:rPr>
          <w:lang w:val="fr-FR"/>
        </w:rPr>
        <w:t>exécutions extrajudiciaires visant des civils, dont des enfants, palestiniens. Dans nombre de ces cas, le meurtre de Palestiniens est le résultat de l</w:t>
      </w:r>
      <w:r w:rsidR="0035332C">
        <w:rPr>
          <w:lang w:val="fr-FR"/>
        </w:rPr>
        <w:t>’</w:t>
      </w:r>
      <w:r w:rsidRPr="00310D49">
        <w:rPr>
          <w:lang w:val="fr-FR"/>
        </w:rPr>
        <w:t>usage excessif et injustifié de la force, auquel s</w:t>
      </w:r>
      <w:r w:rsidR="0035332C">
        <w:rPr>
          <w:lang w:val="fr-FR"/>
        </w:rPr>
        <w:t>’</w:t>
      </w:r>
      <w:r w:rsidRPr="00310D49">
        <w:rPr>
          <w:lang w:val="fr-FR"/>
        </w:rPr>
        <w:t xml:space="preserve">ajoute les crimes et violences systématiques perpétrés par les colons israéliens contre les civils palestiniens. </w:t>
      </w:r>
    </w:p>
    <w:p w14:paraId="513B675D" w14:textId="44E41BD5" w:rsidR="00D005FA" w:rsidRPr="00310D49" w:rsidRDefault="00D005FA" w:rsidP="00BE3EE6">
      <w:pPr>
        <w:pStyle w:val="SingleTxtG"/>
        <w:rPr>
          <w:spacing w:val="-4"/>
          <w:lang w:val="fr-FR"/>
        </w:rPr>
      </w:pPr>
      <w:r w:rsidRPr="00310D49">
        <w:rPr>
          <w:lang w:val="fr-FR"/>
        </w:rPr>
        <w:t>114.</w:t>
      </w:r>
      <w:r w:rsidRPr="00310D49">
        <w:rPr>
          <w:lang w:val="fr-FR"/>
        </w:rPr>
        <w:tab/>
        <w:t>Au cours du nettoyage ethnique perpétré lors de la Nakba de 1948, l</w:t>
      </w:r>
      <w:r w:rsidR="0035332C">
        <w:rPr>
          <w:lang w:val="fr-FR"/>
        </w:rPr>
        <w:t>’</w:t>
      </w:r>
      <w:r w:rsidRPr="00310D49">
        <w:rPr>
          <w:lang w:val="fr-FR"/>
        </w:rPr>
        <w:t>occupant israélien a détruit des villages et des villes palestiniens et a commis plus de soixante-dix massacres, tuant plus de 15</w:t>
      </w:r>
      <w:r w:rsidR="00F66D13">
        <w:rPr>
          <w:lang w:val="fr-FR"/>
        </w:rPr>
        <w:t> </w:t>
      </w:r>
      <w:r w:rsidRPr="00310D49">
        <w:rPr>
          <w:lang w:val="fr-FR"/>
        </w:rPr>
        <w:t>000</w:t>
      </w:r>
      <w:r w:rsidR="00F66D13">
        <w:rPr>
          <w:lang w:val="fr-FR"/>
        </w:rPr>
        <w:t> </w:t>
      </w:r>
      <w:r w:rsidRPr="00310D49">
        <w:rPr>
          <w:lang w:val="fr-FR"/>
        </w:rPr>
        <w:t>Palestiniens. Depuis la Nakba de 1948, plus de cent mille palestiniens et arabes, dont 10</w:t>
      </w:r>
      <w:r w:rsidR="00F66D13">
        <w:rPr>
          <w:lang w:val="fr-FR"/>
        </w:rPr>
        <w:t> </w:t>
      </w:r>
      <w:r w:rsidRPr="00310D49">
        <w:rPr>
          <w:lang w:val="fr-FR"/>
        </w:rPr>
        <w:t>853</w:t>
      </w:r>
      <w:r w:rsidR="00F66D13">
        <w:rPr>
          <w:lang w:val="fr-FR"/>
        </w:rPr>
        <w:t> </w:t>
      </w:r>
      <w:r w:rsidRPr="00310D49">
        <w:rPr>
          <w:lang w:val="fr-FR"/>
        </w:rPr>
        <w:t>palestiniens tués par les forces d</w:t>
      </w:r>
      <w:r w:rsidR="0035332C">
        <w:rPr>
          <w:lang w:val="fr-FR"/>
        </w:rPr>
        <w:t>’</w:t>
      </w:r>
      <w:r w:rsidRPr="00310D49">
        <w:rPr>
          <w:lang w:val="fr-FR"/>
        </w:rPr>
        <w:t>occupation israélienne entre le 29</w:t>
      </w:r>
      <w:r w:rsidR="00F66D13">
        <w:rPr>
          <w:lang w:val="fr-FR"/>
        </w:rPr>
        <w:t> </w:t>
      </w:r>
      <w:r w:rsidRPr="00310D49">
        <w:rPr>
          <w:lang w:val="fr-FR"/>
        </w:rPr>
        <w:t>septembre 2000 et le 7</w:t>
      </w:r>
      <w:r w:rsidR="00F66D13">
        <w:rPr>
          <w:lang w:val="fr-FR"/>
        </w:rPr>
        <w:t> </w:t>
      </w:r>
      <w:r w:rsidRPr="00310D49">
        <w:rPr>
          <w:lang w:val="fr-FR"/>
        </w:rPr>
        <w:t>mai 2019, sont tombés en martyrs.</w:t>
      </w:r>
    </w:p>
    <w:p w14:paraId="6EF932F9" w14:textId="36A59113" w:rsidR="00D005FA" w:rsidRPr="00310D49" w:rsidRDefault="00D005FA" w:rsidP="00BE3EE6">
      <w:pPr>
        <w:pStyle w:val="SingleTxtG"/>
        <w:rPr>
          <w:spacing w:val="-4"/>
          <w:lang w:val="fr-FR"/>
        </w:rPr>
      </w:pPr>
      <w:r w:rsidRPr="00310D49">
        <w:rPr>
          <w:lang w:val="fr-FR"/>
        </w:rPr>
        <w:t>115.</w:t>
      </w:r>
      <w:r w:rsidRPr="00310D49">
        <w:rPr>
          <w:lang w:val="fr-FR"/>
        </w:rPr>
        <w:tab/>
        <w:t>Israël, Puissance occupante, a fait un usage intensif de la force destructrice lors de ses agressions répétées contre la bande de Gaza. En 2014, au moins 2</w:t>
      </w:r>
      <w:r w:rsidR="00F66D13">
        <w:rPr>
          <w:lang w:val="fr-FR"/>
        </w:rPr>
        <w:t> </w:t>
      </w:r>
      <w:r w:rsidRPr="00310D49">
        <w:rPr>
          <w:lang w:val="fr-FR"/>
        </w:rPr>
        <w:t>127</w:t>
      </w:r>
      <w:r w:rsidR="00F66D13">
        <w:rPr>
          <w:lang w:val="fr-FR"/>
        </w:rPr>
        <w:t> </w:t>
      </w:r>
      <w:r w:rsidRPr="00310D49">
        <w:rPr>
          <w:lang w:val="fr-FR"/>
        </w:rPr>
        <w:t>civils palestiniens ont été tués et 11</w:t>
      </w:r>
      <w:r w:rsidR="00F66D13">
        <w:rPr>
          <w:lang w:val="fr-FR"/>
        </w:rPr>
        <w:t> </w:t>
      </w:r>
      <w:r w:rsidRPr="00310D49">
        <w:rPr>
          <w:lang w:val="fr-FR"/>
        </w:rPr>
        <w:t>036</w:t>
      </w:r>
      <w:r w:rsidR="00F66D13">
        <w:rPr>
          <w:lang w:val="fr-FR"/>
        </w:rPr>
        <w:t> </w:t>
      </w:r>
      <w:r w:rsidRPr="00310D49">
        <w:rPr>
          <w:lang w:val="fr-FR"/>
        </w:rPr>
        <w:t>autres ont été blessés, les femmes et les enfants représentant la part la plus élevée des victimes. En effet, les femmes représentaient 23</w:t>
      </w:r>
      <w:r w:rsidR="00F66D13">
        <w:rPr>
          <w:lang w:val="fr-FR"/>
        </w:rPr>
        <w:t> </w:t>
      </w:r>
      <w:r w:rsidRPr="00310D49">
        <w:rPr>
          <w:lang w:val="fr-FR"/>
        </w:rPr>
        <w:t>% des morts et 32</w:t>
      </w:r>
      <w:r w:rsidR="00F66D13">
        <w:rPr>
          <w:lang w:val="fr-FR"/>
        </w:rPr>
        <w:t> </w:t>
      </w:r>
      <w:r w:rsidRPr="00310D49">
        <w:rPr>
          <w:lang w:val="fr-FR"/>
        </w:rPr>
        <w:t>% des blessés, tandis que les enfants représentaient 27</w:t>
      </w:r>
      <w:r w:rsidR="00F66D13">
        <w:rPr>
          <w:lang w:val="fr-FR"/>
        </w:rPr>
        <w:t> </w:t>
      </w:r>
      <w:r w:rsidRPr="00310D49">
        <w:rPr>
          <w:lang w:val="fr-FR"/>
        </w:rPr>
        <w:t>% des morts et 30</w:t>
      </w:r>
      <w:r w:rsidR="00F66D13">
        <w:rPr>
          <w:lang w:val="fr-FR"/>
        </w:rPr>
        <w:t> </w:t>
      </w:r>
      <w:r w:rsidRPr="00310D49">
        <w:rPr>
          <w:lang w:val="fr-FR"/>
        </w:rPr>
        <w:t>% des blessés.</w:t>
      </w:r>
    </w:p>
    <w:p w14:paraId="692572A4" w14:textId="356FA4CA" w:rsidR="00D005FA" w:rsidRPr="00310D49" w:rsidRDefault="00D005FA" w:rsidP="00BE3EE6">
      <w:pPr>
        <w:pStyle w:val="SingleTxtG"/>
        <w:rPr>
          <w:lang w:val="fr-FR"/>
        </w:rPr>
      </w:pPr>
      <w:r w:rsidRPr="00310D49">
        <w:rPr>
          <w:lang w:val="fr-FR"/>
        </w:rPr>
        <w:t>116.</w:t>
      </w:r>
      <w:r w:rsidRPr="00310D49">
        <w:rPr>
          <w:lang w:val="fr-FR"/>
        </w:rPr>
        <w:tab/>
        <w:t>Le nombre de martyrs palestiniens tués par les forces d</w:t>
      </w:r>
      <w:r w:rsidR="0035332C">
        <w:rPr>
          <w:lang w:val="fr-FR"/>
        </w:rPr>
        <w:t>’</w:t>
      </w:r>
      <w:r w:rsidRPr="00310D49">
        <w:rPr>
          <w:lang w:val="fr-FR"/>
        </w:rPr>
        <w:t>occupation et des colons israéliens en 2015 s</w:t>
      </w:r>
      <w:r w:rsidR="0035332C">
        <w:rPr>
          <w:lang w:val="fr-FR"/>
        </w:rPr>
        <w:t>’</w:t>
      </w:r>
      <w:r w:rsidRPr="00310D49">
        <w:rPr>
          <w:lang w:val="fr-FR"/>
        </w:rPr>
        <w:t>élève à 175, contre 105 en 2016, 76 en 2017 et 299 en 2018.</w:t>
      </w:r>
    </w:p>
    <w:p w14:paraId="5CABE4E7" w14:textId="324CA675" w:rsidR="00D005FA" w:rsidRPr="00310D49" w:rsidRDefault="00D005FA" w:rsidP="00BE3EE6">
      <w:pPr>
        <w:pStyle w:val="SingleTxtG"/>
        <w:rPr>
          <w:lang w:val="fr-FR"/>
        </w:rPr>
      </w:pPr>
      <w:r w:rsidRPr="00310D49">
        <w:rPr>
          <w:lang w:val="fr-FR"/>
        </w:rPr>
        <w:t>117.</w:t>
      </w:r>
      <w:r w:rsidRPr="00310D49">
        <w:rPr>
          <w:lang w:val="fr-FR"/>
        </w:rPr>
        <w:tab/>
        <w:t>Israël, Puissance occupante, poursuit sa politique systématique d</w:t>
      </w:r>
      <w:r w:rsidR="0035332C">
        <w:rPr>
          <w:lang w:val="fr-FR"/>
        </w:rPr>
        <w:t>’</w:t>
      </w:r>
      <w:r w:rsidRPr="00310D49">
        <w:rPr>
          <w:lang w:val="fr-FR"/>
        </w:rPr>
        <w:t xml:space="preserve">usage excessif et </w:t>
      </w:r>
      <w:r w:rsidRPr="0022061E">
        <w:rPr>
          <w:lang w:val="fr-FR"/>
        </w:rPr>
        <w:t>létal de la force contre les manifestants pacifiques lors des rassemblements de la Grande Marche</w:t>
      </w:r>
      <w:r w:rsidRPr="00310D49">
        <w:rPr>
          <w:lang w:val="fr-FR"/>
        </w:rPr>
        <w:t xml:space="preserve"> du retour, mobilisation contre le blocus et pour le droit des Palestiniens à retourner sur les terres qu</w:t>
      </w:r>
      <w:r w:rsidR="0035332C">
        <w:rPr>
          <w:lang w:val="fr-FR"/>
        </w:rPr>
        <w:t>’</w:t>
      </w:r>
      <w:r w:rsidRPr="00310D49">
        <w:rPr>
          <w:lang w:val="fr-FR"/>
        </w:rPr>
        <w:t>ils ont fuies ou dont ils ont été chassés. Depuis le début des manifestations de la Grande Marche du retour en mars 2018 jusqu</w:t>
      </w:r>
      <w:r w:rsidR="0035332C">
        <w:rPr>
          <w:lang w:val="fr-FR"/>
        </w:rPr>
        <w:t>’</w:t>
      </w:r>
      <w:r w:rsidRPr="00310D49">
        <w:rPr>
          <w:lang w:val="fr-FR"/>
        </w:rPr>
        <w:t xml:space="preserve">à </w:t>
      </w:r>
      <w:r w:rsidR="0065230B">
        <w:rPr>
          <w:lang w:val="fr-FR"/>
        </w:rPr>
        <w:t>m</w:t>
      </w:r>
      <w:r w:rsidRPr="00310D49">
        <w:rPr>
          <w:lang w:val="fr-FR"/>
        </w:rPr>
        <w:t>ai 2019, 16</w:t>
      </w:r>
      <w:r w:rsidR="0065230B">
        <w:rPr>
          <w:lang w:val="fr-FR"/>
        </w:rPr>
        <w:t> </w:t>
      </w:r>
      <w:r w:rsidRPr="00310D49">
        <w:rPr>
          <w:lang w:val="fr-FR"/>
        </w:rPr>
        <w:t>800</w:t>
      </w:r>
      <w:r w:rsidR="0065230B">
        <w:rPr>
          <w:lang w:val="fr-FR"/>
        </w:rPr>
        <w:t> </w:t>
      </w:r>
      <w:r w:rsidRPr="00310D49">
        <w:rPr>
          <w:lang w:val="fr-FR"/>
        </w:rPr>
        <w:t>personnes ont été blessées, 136</w:t>
      </w:r>
      <w:r w:rsidR="0065230B">
        <w:rPr>
          <w:lang w:val="fr-FR"/>
        </w:rPr>
        <w:t> </w:t>
      </w:r>
      <w:r w:rsidRPr="00310D49">
        <w:rPr>
          <w:lang w:val="fr-FR"/>
        </w:rPr>
        <w:t>mutilées et 272</w:t>
      </w:r>
      <w:r w:rsidR="0065230B">
        <w:rPr>
          <w:lang w:val="fr-FR"/>
        </w:rPr>
        <w:t> </w:t>
      </w:r>
      <w:r w:rsidRPr="00310D49">
        <w:rPr>
          <w:lang w:val="fr-FR"/>
        </w:rPr>
        <w:t>tuées, dont 54</w:t>
      </w:r>
      <w:r w:rsidR="0065230B">
        <w:rPr>
          <w:lang w:val="fr-FR"/>
        </w:rPr>
        <w:t> </w:t>
      </w:r>
      <w:r w:rsidRPr="00310D49">
        <w:rPr>
          <w:lang w:val="fr-FR"/>
        </w:rPr>
        <w:t>enfants, 6</w:t>
      </w:r>
      <w:r w:rsidR="0065230B">
        <w:rPr>
          <w:lang w:val="fr-FR"/>
        </w:rPr>
        <w:t> </w:t>
      </w:r>
      <w:r w:rsidRPr="00310D49">
        <w:rPr>
          <w:lang w:val="fr-FR"/>
        </w:rPr>
        <w:t>femmes, 4</w:t>
      </w:r>
      <w:r w:rsidR="0065230B">
        <w:rPr>
          <w:lang w:val="fr-FR"/>
        </w:rPr>
        <w:t> </w:t>
      </w:r>
      <w:r w:rsidRPr="00310D49">
        <w:rPr>
          <w:lang w:val="fr-FR"/>
        </w:rPr>
        <w:t>ambulanciers et 3</w:t>
      </w:r>
      <w:r w:rsidR="0065230B">
        <w:rPr>
          <w:lang w:val="fr-FR"/>
        </w:rPr>
        <w:t> </w:t>
      </w:r>
      <w:r w:rsidRPr="00310D49">
        <w:rPr>
          <w:lang w:val="fr-FR"/>
        </w:rPr>
        <w:t>journalistes.</w:t>
      </w:r>
    </w:p>
    <w:p w14:paraId="49795E44" w14:textId="77777777" w:rsidR="00D005FA" w:rsidRPr="00310D49" w:rsidRDefault="00D005FA" w:rsidP="00BE3EE6">
      <w:pPr>
        <w:pStyle w:val="H23G"/>
        <w:rPr>
          <w:lang w:val="fr-FR"/>
        </w:rPr>
      </w:pPr>
      <w:r w:rsidRPr="00310D49">
        <w:rPr>
          <w:lang w:val="fr-FR"/>
        </w:rPr>
        <w:tab/>
      </w:r>
      <w:r w:rsidRPr="00310D49">
        <w:rPr>
          <w:lang w:val="fr-FR"/>
        </w:rPr>
        <w:tab/>
        <w:t>Disparitions forcées</w:t>
      </w:r>
    </w:p>
    <w:p w14:paraId="50222334" w14:textId="5648245C" w:rsidR="00D005FA" w:rsidRPr="00310D49" w:rsidRDefault="00D005FA" w:rsidP="00BE3EE6">
      <w:pPr>
        <w:pStyle w:val="SingleTxtG"/>
        <w:rPr>
          <w:lang w:val="fr-FR"/>
        </w:rPr>
      </w:pPr>
      <w:r w:rsidRPr="00310D49">
        <w:rPr>
          <w:lang w:val="fr-FR"/>
        </w:rPr>
        <w:t>118.</w:t>
      </w:r>
      <w:r w:rsidRPr="00310D49">
        <w:rPr>
          <w:lang w:val="fr-FR"/>
        </w:rPr>
        <w:tab/>
        <w:t>Israël, Puissance occupante illégale, détient arbitrairement et fait disparaître de force des centaines de Palestiniens, dont certains sont enterrés dans ce que l</w:t>
      </w:r>
      <w:r w:rsidR="0035332C">
        <w:rPr>
          <w:lang w:val="fr-FR"/>
        </w:rPr>
        <w:t>’</w:t>
      </w:r>
      <w:r w:rsidRPr="00310D49">
        <w:rPr>
          <w:lang w:val="fr-FR"/>
        </w:rPr>
        <w:t>on appelle les «</w:t>
      </w:r>
      <w:r w:rsidR="0065230B">
        <w:rPr>
          <w:lang w:val="fr-FR"/>
        </w:rPr>
        <w:t> </w:t>
      </w:r>
      <w:r w:rsidRPr="00310D49">
        <w:rPr>
          <w:lang w:val="fr-FR"/>
        </w:rPr>
        <w:t>cimetières des nombres</w:t>
      </w:r>
      <w:r w:rsidR="0065230B">
        <w:rPr>
          <w:lang w:val="fr-FR"/>
        </w:rPr>
        <w:t> </w:t>
      </w:r>
      <w:r w:rsidRPr="00310D49">
        <w:rPr>
          <w:lang w:val="fr-FR"/>
        </w:rPr>
        <w:t>», sans qu</w:t>
      </w:r>
      <w:r w:rsidR="0035332C">
        <w:rPr>
          <w:lang w:val="fr-FR"/>
        </w:rPr>
        <w:t>’</w:t>
      </w:r>
      <w:r w:rsidRPr="00310D49">
        <w:rPr>
          <w:lang w:val="fr-FR"/>
        </w:rPr>
        <w:t xml:space="preserve">aucune information sur ces cimetières ou sur le sort des Palestiniens détenus ou exécutés extrajudiciairement ne soit divulguée depuis plus de </w:t>
      </w:r>
      <w:r w:rsidR="0065230B">
        <w:rPr>
          <w:lang w:val="fr-FR"/>
        </w:rPr>
        <w:t>cinquante-trois</w:t>
      </w:r>
      <w:r w:rsidRPr="00310D49">
        <w:rPr>
          <w:lang w:val="fr-FR"/>
        </w:rPr>
        <w:t xml:space="preserve"> ans maintenant.</w:t>
      </w:r>
    </w:p>
    <w:p w14:paraId="48AD6D30" w14:textId="57EB8599" w:rsidR="00D005FA" w:rsidRPr="00310D49" w:rsidRDefault="00D005FA" w:rsidP="00BE3EE6">
      <w:pPr>
        <w:pStyle w:val="SingleTxtG"/>
        <w:rPr>
          <w:lang w:val="fr-FR"/>
        </w:rPr>
      </w:pPr>
      <w:r w:rsidRPr="00310D49">
        <w:rPr>
          <w:lang w:val="fr-FR"/>
        </w:rPr>
        <w:t>119.</w:t>
      </w:r>
      <w:r w:rsidRPr="00310D49">
        <w:rPr>
          <w:lang w:val="fr-FR"/>
        </w:rPr>
        <w:tab/>
        <w:t>L</w:t>
      </w:r>
      <w:r w:rsidR="0035332C">
        <w:rPr>
          <w:lang w:val="fr-FR"/>
        </w:rPr>
        <w:t>’</w:t>
      </w:r>
      <w:r w:rsidRPr="00310D49">
        <w:rPr>
          <w:lang w:val="fr-FR"/>
        </w:rPr>
        <w:t>État de Palestine s</w:t>
      </w:r>
      <w:r w:rsidR="0035332C">
        <w:rPr>
          <w:lang w:val="fr-FR"/>
        </w:rPr>
        <w:t>’</w:t>
      </w:r>
      <w:r w:rsidRPr="00310D49">
        <w:rPr>
          <w:lang w:val="fr-FR"/>
        </w:rPr>
        <w:t>est employé à renforcer les dispositifs juridico-administratifs permettant d</w:t>
      </w:r>
      <w:r w:rsidR="0035332C">
        <w:rPr>
          <w:lang w:val="fr-FR"/>
        </w:rPr>
        <w:t>’</w:t>
      </w:r>
      <w:r w:rsidRPr="00310D49">
        <w:rPr>
          <w:lang w:val="fr-FR"/>
        </w:rPr>
        <w:t>assurer un contrôle systématique et efficace en vue de prévenir les disparitions forcées. La Loi fondamentale, telle que modifiée, et le Code de procédure pénale précisent les autorités habilitées à procéder aux arrestations et aux placements en détention, les locaux prévus à cet effet, les procédures d</w:t>
      </w:r>
      <w:r w:rsidR="0035332C">
        <w:rPr>
          <w:lang w:val="fr-FR"/>
        </w:rPr>
        <w:t>’</w:t>
      </w:r>
      <w:r w:rsidRPr="00310D49">
        <w:rPr>
          <w:lang w:val="fr-FR"/>
        </w:rPr>
        <w:t>arrestation et de placement en détention, la procédure de délivrance de mandats de comparution, la durée de l</w:t>
      </w:r>
      <w:r w:rsidR="0035332C">
        <w:rPr>
          <w:lang w:val="fr-FR"/>
        </w:rPr>
        <w:t>’</w:t>
      </w:r>
      <w:r w:rsidRPr="00310D49">
        <w:rPr>
          <w:lang w:val="fr-FR"/>
        </w:rPr>
        <w:t>arrestation et de la détention provisoire, la procédure de contrôle d</w:t>
      </w:r>
      <w:r w:rsidR="0035332C">
        <w:rPr>
          <w:lang w:val="fr-FR"/>
        </w:rPr>
        <w:t>’</w:t>
      </w:r>
      <w:r w:rsidRPr="00310D49">
        <w:rPr>
          <w:lang w:val="fr-FR"/>
        </w:rPr>
        <w:t>identité, le droit de l</w:t>
      </w:r>
      <w:r w:rsidR="0035332C">
        <w:rPr>
          <w:lang w:val="fr-FR"/>
        </w:rPr>
        <w:t>’</w:t>
      </w:r>
      <w:r w:rsidRPr="00310D49">
        <w:rPr>
          <w:lang w:val="fr-FR"/>
        </w:rPr>
        <w:t xml:space="preserve">accusé de contacter sa famille et de se faire assister par un conseil, ainsi que la possibilité pour les gardés à vue et les détenus de porter plainte et de signaler la présence de personnes détenues ou emprisonnées illégalement. </w:t>
      </w:r>
      <w:r w:rsidRPr="00310D49">
        <w:rPr>
          <w:lang w:val="fr-FR"/>
        </w:rPr>
        <w:lastRenderedPageBreak/>
        <w:t>Par</w:t>
      </w:r>
      <w:r w:rsidR="0065230B">
        <w:rPr>
          <w:lang w:val="fr-FR"/>
        </w:rPr>
        <w:t> </w:t>
      </w:r>
      <w:r w:rsidRPr="00310D49">
        <w:rPr>
          <w:lang w:val="fr-FR"/>
        </w:rPr>
        <w:t>ailleurs, de nombreuses instances gouvernementales et non gouvernementales ont été habilitées à surveiller les centres de garde à vue et de détention.</w:t>
      </w:r>
    </w:p>
    <w:p w14:paraId="4042A879" w14:textId="13BB6D67" w:rsidR="00D005FA" w:rsidRPr="00310D49" w:rsidRDefault="00D005FA" w:rsidP="00BE3EE6">
      <w:pPr>
        <w:pStyle w:val="SingleTxtG"/>
        <w:rPr>
          <w:lang w:val="fr-FR"/>
        </w:rPr>
      </w:pPr>
      <w:r w:rsidRPr="00310D49">
        <w:rPr>
          <w:lang w:val="fr-FR"/>
        </w:rPr>
        <w:t>120.</w:t>
      </w:r>
      <w:r w:rsidRPr="00310D49">
        <w:rPr>
          <w:lang w:val="fr-FR"/>
        </w:rPr>
        <w:tab/>
        <w:t>Des registres de personnes détenues dans les établissements pénitentiaires ont été établis et un fichier des empreintes digitales appartenant aux auteurs d</w:t>
      </w:r>
      <w:r w:rsidR="0035332C">
        <w:rPr>
          <w:lang w:val="fr-FR"/>
        </w:rPr>
        <w:t>’</w:t>
      </w:r>
      <w:r w:rsidRPr="00310D49">
        <w:rPr>
          <w:lang w:val="fr-FR"/>
        </w:rPr>
        <w:t>infractions pénales a été introduit dans les postes de police. En outre, les autorités administratives de contrôle et de surveillance ont édicté un ensemble d</w:t>
      </w:r>
      <w:r w:rsidR="0035332C">
        <w:rPr>
          <w:lang w:val="fr-FR"/>
        </w:rPr>
        <w:t>’</w:t>
      </w:r>
      <w:r w:rsidRPr="00310D49">
        <w:rPr>
          <w:lang w:val="fr-FR"/>
        </w:rPr>
        <w:t>instructions permanentes exhortant les responsables de l</w:t>
      </w:r>
      <w:r w:rsidR="0035332C">
        <w:rPr>
          <w:lang w:val="fr-FR"/>
        </w:rPr>
        <w:t>’</w:t>
      </w:r>
      <w:r w:rsidRPr="00310D49">
        <w:rPr>
          <w:lang w:val="fr-FR"/>
        </w:rPr>
        <w:t>application des lois à se conformer aux codes de conduite, aux lois et aux directives.</w:t>
      </w:r>
    </w:p>
    <w:p w14:paraId="58460239" w14:textId="548D7569" w:rsidR="00D005FA" w:rsidRPr="00310D49" w:rsidRDefault="00D005FA" w:rsidP="00BE3EE6">
      <w:pPr>
        <w:pStyle w:val="H23G"/>
        <w:rPr>
          <w:lang w:val="fr-FR"/>
        </w:rPr>
      </w:pPr>
      <w:r w:rsidRPr="00310D49">
        <w:rPr>
          <w:lang w:val="fr-FR"/>
        </w:rPr>
        <w:tab/>
      </w:r>
      <w:r w:rsidRPr="00310D49">
        <w:rPr>
          <w:lang w:val="fr-FR"/>
        </w:rPr>
        <w:tab/>
        <w:t>Recours à la force et utilisation d</w:t>
      </w:r>
      <w:r w:rsidR="0035332C">
        <w:rPr>
          <w:lang w:val="fr-FR"/>
        </w:rPr>
        <w:t>’</w:t>
      </w:r>
      <w:r w:rsidRPr="00310D49">
        <w:rPr>
          <w:lang w:val="fr-FR"/>
        </w:rPr>
        <w:t>armes à feu par les forces de sécurité palestiniennes</w:t>
      </w:r>
    </w:p>
    <w:p w14:paraId="10D01D80" w14:textId="24928884" w:rsidR="00D005FA" w:rsidRPr="00310D49" w:rsidRDefault="00D005FA" w:rsidP="00BE3EE6">
      <w:pPr>
        <w:pStyle w:val="SingleTxtG"/>
        <w:rPr>
          <w:lang w:val="fr-FR"/>
        </w:rPr>
      </w:pPr>
      <w:r w:rsidRPr="00310D49">
        <w:rPr>
          <w:lang w:val="fr-FR"/>
        </w:rPr>
        <w:t>121.</w:t>
      </w:r>
      <w:r w:rsidRPr="00310D49">
        <w:rPr>
          <w:lang w:val="fr-FR"/>
        </w:rPr>
        <w:tab/>
        <w:t>La loi n</w:t>
      </w:r>
      <w:r w:rsidR="0065230B" w:rsidRPr="0065230B">
        <w:rPr>
          <w:vertAlign w:val="superscript"/>
          <w:lang w:val="fr-FR"/>
        </w:rPr>
        <w:t>o</w:t>
      </w:r>
      <w:r w:rsidR="0065230B">
        <w:rPr>
          <w:lang w:val="fr-FR"/>
        </w:rPr>
        <w:t> </w:t>
      </w:r>
      <w:r w:rsidRPr="00310D49">
        <w:rPr>
          <w:lang w:val="fr-FR"/>
        </w:rPr>
        <w:t>2 de 1998 sur les armes à feu et les munitions, en ses articles</w:t>
      </w:r>
      <w:r w:rsidR="0065230B">
        <w:rPr>
          <w:lang w:val="fr-FR"/>
        </w:rPr>
        <w:t> </w:t>
      </w:r>
      <w:r w:rsidRPr="00310D49">
        <w:rPr>
          <w:lang w:val="fr-FR"/>
        </w:rPr>
        <w:t>2 et 3, interdit l</w:t>
      </w:r>
      <w:r w:rsidR="0035332C">
        <w:rPr>
          <w:lang w:val="fr-FR"/>
        </w:rPr>
        <w:t>’</w:t>
      </w:r>
      <w:r w:rsidRPr="00310D49">
        <w:rPr>
          <w:lang w:val="fr-FR"/>
        </w:rPr>
        <w:t>acquisition et le port d</w:t>
      </w:r>
      <w:r w:rsidR="0035332C">
        <w:rPr>
          <w:lang w:val="fr-FR"/>
        </w:rPr>
        <w:t>’</w:t>
      </w:r>
      <w:r w:rsidRPr="00310D49">
        <w:rPr>
          <w:lang w:val="fr-FR"/>
        </w:rPr>
        <w:t>armes à feu sans un permis délivré par le Ministère de l</w:t>
      </w:r>
      <w:r w:rsidR="0035332C">
        <w:rPr>
          <w:lang w:val="fr-FR"/>
        </w:rPr>
        <w:t>’</w:t>
      </w:r>
      <w:r w:rsidRPr="00310D49">
        <w:rPr>
          <w:lang w:val="fr-FR"/>
        </w:rPr>
        <w:t>intérieur. Selon cette même loi, il est interdit de fabriquer, de réparer et d</w:t>
      </w:r>
      <w:r w:rsidR="0035332C">
        <w:rPr>
          <w:lang w:val="fr-FR"/>
        </w:rPr>
        <w:t>’</w:t>
      </w:r>
      <w:r w:rsidRPr="00310D49">
        <w:rPr>
          <w:lang w:val="fr-FR"/>
        </w:rPr>
        <w:t>importer des armes et des munitions, ainsi que d</w:t>
      </w:r>
      <w:r w:rsidR="0035332C">
        <w:rPr>
          <w:lang w:val="fr-FR"/>
        </w:rPr>
        <w:t>’</w:t>
      </w:r>
      <w:r w:rsidRPr="00310D49">
        <w:rPr>
          <w:lang w:val="fr-FR"/>
        </w:rPr>
        <w:t>en faire commerce, autrement que selon les termes et conditions des permis délivrés. En outre, l</w:t>
      </w:r>
      <w:r w:rsidR="0035332C">
        <w:rPr>
          <w:lang w:val="fr-FR"/>
        </w:rPr>
        <w:t>’</w:t>
      </w:r>
      <w:r w:rsidRPr="00310D49">
        <w:rPr>
          <w:lang w:val="fr-FR"/>
        </w:rPr>
        <w:t>article</w:t>
      </w:r>
      <w:r w:rsidR="0065230B">
        <w:rPr>
          <w:lang w:val="fr-FR"/>
        </w:rPr>
        <w:t> </w:t>
      </w:r>
      <w:r w:rsidRPr="00310D49">
        <w:rPr>
          <w:lang w:val="fr-FR"/>
        </w:rPr>
        <w:t>8 du décret-loi n</w:t>
      </w:r>
      <w:r w:rsidR="0065230B" w:rsidRPr="0065230B">
        <w:rPr>
          <w:vertAlign w:val="superscript"/>
          <w:lang w:val="fr-FR"/>
        </w:rPr>
        <w:t>o</w:t>
      </w:r>
      <w:r w:rsidR="0065230B">
        <w:rPr>
          <w:lang w:val="fr-FR"/>
        </w:rPr>
        <w:t> </w:t>
      </w:r>
      <w:r w:rsidRPr="00310D49">
        <w:rPr>
          <w:lang w:val="fr-FR"/>
        </w:rPr>
        <w:t>11 de 2007 sur la sûreté préventive prévoit le respect des droits, libertés et garanties consacrés par les lois palestiniennes et les instruments internationaux, tandis que l</w:t>
      </w:r>
      <w:r w:rsidR="0035332C">
        <w:rPr>
          <w:lang w:val="fr-FR"/>
        </w:rPr>
        <w:t>’</w:t>
      </w:r>
      <w:r w:rsidRPr="00310D49">
        <w:rPr>
          <w:lang w:val="fr-FR"/>
        </w:rPr>
        <w:t>article</w:t>
      </w:r>
      <w:r w:rsidR="0065230B">
        <w:rPr>
          <w:lang w:val="fr-FR"/>
        </w:rPr>
        <w:t> </w:t>
      </w:r>
      <w:r w:rsidRPr="00310D49">
        <w:rPr>
          <w:lang w:val="fr-FR"/>
        </w:rPr>
        <w:t>52 de la loi n</w:t>
      </w:r>
      <w:r w:rsidR="0065230B" w:rsidRPr="0065230B">
        <w:rPr>
          <w:vertAlign w:val="superscript"/>
          <w:lang w:val="fr-FR"/>
        </w:rPr>
        <w:t>o</w:t>
      </w:r>
      <w:r w:rsidR="0065230B">
        <w:rPr>
          <w:lang w:val="fr-FR"/>
        </w:rPr>
        <w:t> </w:t>
      </w:r>
      <w:r w:rsidRPr="00310D49">
        <w:rPr>
          <w:lang w:val="fr-FR"/>
        </w:rPr>
        <w:t>23 de 2017 sur la police dispose que les policiers peuvent faire usage de la force et de leurs armes à feu dans la mesure nécessaire à l</w:t>
      </w:r>
      <w:r w:rsidR="0035332C">
        <w:rPr>
          <w:lang w:val="fr-FR"/>
        </w:rPr>
        <w:t>’</w:t>
      </w:r>
      <w:r w:rsidRPr="00310D49">
        <w:rPr>
          <w:lang w:val="fr-FR"/>
        </w:rPr>
        <w:t>accomplissement de leurs devoirs et fonctions légitimes, en tant que mesure de dernier recours après avoir épuisé tous les autres moyens non violents et sous réserve que les procédures et les méthodes suivies dans pareil cas soient conformes aux dispositions des lois en vigueur. De même, le Code pénal révolutionnaire érige en infraction les coups de feu tirés par les responsables de l</w:t>
      </w:r>
      <w:r w:rsidR="0035332C">
        <w:rPr>
          <w:lang w:val="fr-FR"/>
        </w:rPr>
        <w:t>’</w:t>
      </w:r>
      <w:r w:rsidRPr="00310D49">
        <w:rPr>
          <w:lang w:val="fr-FR"/>
        </w:rPr>
        <w:t>application des lois sans en avoir reçu l</w:t>
      </w:r>
      <w:r w:rsidR="0035332C">
        <w:rPr>
          <w:lang w:val="fr-FR"/>
        </w:rPr>
        <w:t>’</w:t>
      </w:r>
      <w:r w:rsidRPr="00310D49">
        <w:rPr>
          <w:lang w:val="fr-FR"/>
        </w:rPr>
        <w:t>ordre.</w:t>
      </w:r>
    </w:p>
    <w:p w14:paraId="1B087458" w14:textId="6EB504CB" w:rsidR="00D005FA" w:rsidRPr="00310D49" w:rsidRDefault="00D005FA" w:rsidP="00BE3EE6">
      <w:pPr>
        <w:pStyle w:val="SingleTxtG"/>
        <w:rPr>
          <w:lang w:val="fr-FR"/>
        </w:rPr>
      </w:pPr>
      <w:r w:rsidRPr="00310D49">
        <w:rPr>
          <w:lang w:val="fr-FR"/>
        </w:rPr>
        <w:t>122.</w:t>
      </w:r>
      <w:r w:rsidRPr="00310D49">
        <w:rPr>
          <w:lang w:val="fr-FR"/>
        </w:rPr>
        <w:tab/>
        <w:t>À cela s</w:t>
      </w:r>
      <w:r w:rsidR="0035332C">
        <w:rPr>
          <w:lang w:val="fr-FR"/>
        </w:rPr>
        <w:t>’</w:t>
      </w:r>
      <w:r w:rsidRPr="00310D49">
        <w:rPr>
          <w:lang w:val="fr-FR"/>
        </w:rPr>
        <w:t>ajoutent l</w:t>
      </w:r>
      <w:r w:rsidR="0035332C">
        <w:rPr>
          <w:lang w:val="fr-FR"/>
        </w:rPr>
        <w:t>’</w:t>
      </w:r>
      <w:r w:rsidRPr="00310D49">
        <w:rPr>
          <w:lang w:val="fr-FR"/>
        </w:rPr>
        <w:t>arrêté du Ministre de l</w:t>
      </w:r>
      <w:r w:rsidR="0035332C">
        <w:rPr>
          <w:lang w:val="fr-FR"/>
        </w:rPr>
        <w:t>’</w:t>
      </w:r>
      <w:r w:rsidRPr="00310D49">
        <w:rPr>
          <w:lang w:val="fr-FR"/>
        </w:rPr>
        <w:t>intérieur n</w:t>
      </w:r>
      <w:r w:rsidR="0065230B" w:rsidRPr="0065230B">
        <w:rPr>
          <w:vertAlign w:val="superscript"/>
          <w:lang w:val="fr-FR"/>
        </w:rPr>
        <w:t>o</w:t>
      </w:r>
      <w:r w:rsidR="0065230B">
        <w:rPr>
          <w:lang w:val="fr-FR"/>
        </w:rPr>
        <w:t> </w:t>
      </w:r>
      <w:r w:rsidRPr="00310D49">
        <w:rPr>
          <w:lang w:val="fr-FR"/>
        </w:rPr>
        <w:t>211/2011 portant Code de conduite des forces de sécurité palestiniennes en ce qui concerne le recours à la force et l</w:t>
      </w:r>
      <w:r w:rsidR="0035332C">
        <w:rPr>
          <w:lang w:val="fr-FR"/>
        </w:rPr>
        <w:t>’</w:t>
      </w:r>
      <w:r w:rsidRPr="00310D49">
        <w:rPr>
          <w:lang w:val="fr-FR"/>
        </w:rPr>
        <w:t>utilisation des armes à feu, selon lequel les membres des forces de sécurité ne peuvent recourir à la force qu</w:t>
      </w:r>
      <w:r w:rsidR="0035332C">
        <w:rPr>
          <w:lang w:val="fr-FR"/>
        </w:rPr>
        <w:t>’</w:t>
      </w:r>
      <w:r w:rsidRPr="00310D49">
        <w:rPr>
          <w:lang w:val="fr-FR"/>
        </w:rPr>
        <w:t>en cas de menace absolue, tout en se conformant aux principes de nécessité et de proportionnalité et en préservant les libertés et droits civils, ainsi que la circulaire n</w:t>
      </w:r>
      <w:r w:rsidR="0065230B" w:rsidRPr="0065230B">
        <w:rPr>
          <w:vertAlign w:val="superscript"/>
          <w:lang w:val="fr-FR"/>
        </w:rPr>
        <w:t>o</w:t>
      </w:r>
      <w:r w:rsidR="0065230B">
        <w:rPr>
          <w:lang w:val="fr-FR"/>
        </w:rPr>
        <w:t> </w:t>
      </w:r>
      <w:r w:rsidRPr="00310D49">
        <w:rPr>
          <w:lang w:val="fr-FR"/>
        </w:rPr>
        <w:t>07/2017 qui fait obligation aux policiers de se conformer aux instructions et aux règles lors du recours à la force et de l</w:t>
      </w:r>
      <w:r w:rsidR="0035332C">
        <w:rPr>
          <w:lang w:val="fr-FR"/>
        </w:rPr>
        <w:t>’</w:t>
      </w:r>
      <w:r w:rsidRPr="00310D49">
        <w:rPr>
          <w:lang w:val="fr-FR"/>
        </w:rPr>
        <w:t>utilisation des armes à feu.</w:t>
      </w:r>
    </w:p>
    <w:p w14:paraId="2E641A54" w14:textId="6F07E4C8" w:rsidR="00D005FA" w:rsidRPr="00310D49" w:rsidRDefault="00D005FA" w:rsidP="00BE3EE6">
      <w:pPr>
        <w:pStyle w:val="SingleTxtG"/>
        <w:rPr>
          <w:lang w:val="fr-FR"/>
        </w:rPr>
      </w:pPr>
      <w:r w:rsidRPr="00310D49">
        <w:rPr>
          <w:lang w:val="fr-FR"/>
        </w:rPr>
        <w:t>123.</w:t>
      </w:r>
      <w:r w:rsidRPr="00310D49">
        <w:rPr>
          <w:lang w:val="fr-FR"/>
        </w:rPr>
        <w:tab/>
        <w:t>En ce qui concerne l</w:t>
      </w:r>
      <w:r w:rsidR="0035332C">
        <w:rPr>
          <w:lang w:val="fr-FR"/>
        </w:rPr>
        <w:t>’</w:t>
      </w:r>
      <w:r w:rsidRPr="00310D49">
        <w:rPr>
          <w:lang w:val="fr-FR"/>
        </w:rPr>
        <w:t>application du principe de responsabilité et suite aux événements survenus dans le gouvernorat de Bethléem le vendredi 18 septembre 2015 à la suite de l</w:t>
      </w:r>
      <w:r w:rsidR="0035332C">
        <w:rPr>
          <w:lang w:val="fr-FR"/>
        </w:rPr>
        <w:t>’</w:t>
      </w:r>
      <w:r w:rsidRPr="00310D49">
        <w:rPr>
          <w:lang w:val="fr-FR"/>
        </w:rPr>
        <w:t>agression d</w:t>
      </w:r>
      <w:r w:rsidR="0035332C">
        <w:rPr>
          <w:lang w:val="fr-FR"/>
        </w:rPr>
        <w:t>’</w:t>
      </w:r>
      <w:r w:rsidRPr="00310D49">
        <w:rPr>
          <w:lang w:val="fr-FR"/>
        </w:rPr>
        <w:t>un enfant par les forces de maintien de l</w:t>
      </w:r>
      <w:r w:rsidR="0035332C">
        <w:rPr>
          <w:lang w:val="fr-FR"/>
        </w:rPr>
        <w:t>’</w:t>
      </w:r>
      <w:r w:rsidRPr="00310D49">
        <w:rPr>
          <w:lang w:val="fr-FR"/>
        </w:rPr>
        <w:t>ordre et de la sécurité publique, le Commandant des Forces nationales de sécurité a publié une circulaire déclarant un tel acte comme étant un acte individuel commis par des agents qui ont désobéi aux ordres et contrevenu aux instructions permanentes. Par conséquent, une enquête a été ouverte sur ordre du commandant des Forces nationales de sécurité pour établir les responsabilités liées à ces actes. La responsabilité des officiers en service ce jour-là a été établie par la commission chargée de l</w:t>
      </w:r>
      <w:r w:rsidR="0035332C">
        <w:rPr>
          <w:lang w:val="fr-FR"/>
        </w:rPr>
        <w:t>’</w:t>
      </w:r>
      <w:r w:rsidRPr="00310D49">
        <w:rPr>
          <w:lang w:val="fr-FR"/>
        </w:rPr>
        <w:t>enquête et des sanctions disciplinaires, allant de la destitution, la détention disciplinaire ou l</w:t>
      </w:r>
      <w:r w:rsidR="0035332C">
        <w:rPr>
          <w:lang w:val="fr-FR"/>
        </w:rPr>
        <w:t>’</w:t>
      </w:r>
      <w:r w:rsidRPr="00310D49">
        <w:rPr>
          <w:lang w:val="fr-FR"/>
        </w:rPr>
        <w:t>incarcération au report de la promotion de grade, ont été prononcées à leur encontre.</w:t>
      </w:r>
    </w:p>
    <w:p w14:paraId="5152D17F" w14:textId="77777777" w:rsidR="00D005FA" w:rsidRPr="00310D49" w:rsidRDefault="00D005FA" w:rsidP="00BE3EE6">
      <w:pPr>
        <w:pStyle w:val="H23G"/>
      </w:pPr>
      <w:r w:rsidRPr="00310D49">
        <w:tab/>
      </w:r>
      <w:r w:rsidRPr="00310D49">
        <w:tab/>
        <w:t>Peine de mort</w:t>
      </w:r>
    </w:p>
    <w:p w14:paraId="713BCBD3" w14:textId="65A0ED2B" w:rsidR="00D005FA" w:rsidRPr="00310D49" w:rsidRDefault="00D005FA" w:rsidP="00BE3EE6">
      <w:pPr>
        <w:pStyle w:val="SingleTxtG"/>
        <w:rPr>
          <w:lang w:val="fr-FR"/>
        </w:rPr>
      </w:pPr>
      <w:r w:rsidRPr="00310D49">
        <w:rPr>
          <w:lang w:val="fr-FR"/>
        </w:rPr>
        <w:t>124.</w:t>
      </w:r>
      <w:r w:rsidRPr="00310D49">
        <w:rPr>
          <w:lang w:val="fr-FR"/>
        </w:rPr>
        <w:tab/>
        <w:t>La législation pénale, à savoir le Code pénal (loi n</w:t>
      </w:r>
      <w:r w:rsidR="00DF0A10" w:rsidRPr="00DF0A10">
        <w:rPr>
          <w:vertAlign w:val="superscript"/>
          <w:lang w:val="fr-FR"/>
        </w:rPr>
        <w:t>o</w:t>
      </w:r>
      <w:r w:rsidR="00DF0A10">
        <w:rPr>
          <w:lang w:val="fr-FR"/>
        </w:rPr>
        <w:t> </w:t>
      </w:r>
      <w:r w:rsidRPr="00310D49">
        <w:rPr>
          <w:lang w:val="fr-FR"/>
        </w:rPr>
        <w:t>16 de 1960), le Code pénal du mandat britannique (promulgué par l</w:t>
      </w:r>
      <w:r w:rsidR="0035332C">
        <w:rPr>
          <w:lang w:val="fr-FR"/>
        </w:rPr>
        <w:t>’</w:t>
      </w:r>
      <w:r w:rsidRPr="00310D49">
        <w:rPr>
          <w:lang w:val="fr-FR"/>
        </w:rPr>
        <w:t>ordonnance n</w:t>
      </w:r>
      <w:r w:rsidR="00DF0A10" w:rsidRPr="00DF0A10">
        <w:rPr>
          <w:vertAlign w:val="superscript"/>
          <w:lang w:val="fr-FR"/>
        </w:rPr>
        <w:t>o</w:t>
      </w:r>
      <w:r w:rsidR="00DF0A10">
        <w:rPr>
          <w:lang w:val="fr-FR"/>
        </w:rPr>
        <w:t> </w:t>
      </w:r>
      <w:r w:rsidRPr="00310D49">
        <w:rPr>
          <w:lang w:val="fr-FR"/>
        </w:rPr>
        <w:t>74 de 1936), le Code pénal révolutionnaire de 1979 et la loi sur les explosifs (telle que modifiée) en vigueur en Cisjordanie, prévoit la peine de mort pour un certain nombre d</w:t>
      </w:r>
      <w:r w:rsidR="0035332C">
        <w:rPr>
          <w:lang w:val="fr-FR"/>
        </w:rPr>
        <w:t>’</w:t>
      </w:r>
      <w:r w:rsidRPr="00310D49">
        <w:rPr>
          <w:lang w:val="fr-FR"/>
        </w:rPr>
        <w:t>infractions. L</w:t>
      </w:r>
      <w:r w:rsidR="0035332C">
        <w:rPr>
          <w:lang w:val="fr-FR"/>
        </w:rPr>
        <w:t>’</w:t>
      </w:r>
      <w:r w:rsidRPr="00310D49">
        <w:rPr>
          <w:lang w:val="fr-FR"/>
        </w:rPr>
        <w:t>État de Palestine s</w:t>
      </w:r>
      <w:r w:rsidR="0035332C">
        <w:rPr>
          <w:lang w:val="fr-FR"/>
        </w:rPr>
        <w:t>’</w:t>
      </w:r>
      <w:r w:rsidRPr="00310D49">
        <w:rPr>
          <w:lang w:val="fr-FR"/>
        </w:rPr>
        <w:t>emploie actuellement à supprimer la peine de mort des textes législatifs et a, à cet effet, élaboré un projet de Code pénal ne prévoyant la peine de mort pour aucune infraction. La commission compétente examine ce projet de Code pénal et travaille à son harmonisation avec les instruments internationaux relatifs aux droits de l</w:t>
      </w:r>
      <w:r w:rsidR="0035332C">
        <w:rPr>
          <w:lang w:val="fr-FR"/>
        </w:rPr>
        <w:t>’</w:t>
      </w:r>
      <w:r w:rsidRPr="00310D49">
        <w:rPr>
          <w:lang w:val="fr-FR"/>
        </w:rPr>
        <w:t>homme. L</w:t>
      </w:r>
      <w:r w:rsidR="0035332C">
        <w:rPr>
          <w:lang w:val="fr-FR"/>
        </w:rPr>
        <w:t>’</w:t>
      </w:r>
      <w:r w:rsidRPr="00310D49">
        <w:rPr>
          <w:lang w:val="fr-FR"/>
        </w:rPr>
        <w:t>adoption du projet de code pénal est pour l</w:t>
      </w:r>
      <w:r w:rsidR="0035332C">
        <w:rPr>
          <w:lang w:val="fr-FR"/>
        </w:rPr>
        <w:t>’</w:t>
      </w:r>
      <w:r w:rsidRPr="00310D49">
        <w:rPr>
          <w:lang w:val="fr-FR"/>
        </w:rPr>
        <w:t xml:space="preserve">État de Palestine une priorité dans le processus de réforme législative. </w:t>
      </w:r>
    </w:p>
    <w:p w14:paraId="1E0763ED" w14:textId="77777777" w:rsidR="00D005FA" w:rsidRPr="00310D49" w:rsidRDefault="00D005FA" w:rsidP="00BE3EE6">
      <w:pPr>
        <w:pStyle w:val="H23G"/>
        <w:rPr>
          <w:lang w:val="fr-FR"/>
        </w:rPr>
      </w:pPr>
      <w:r w:rsidRPr="00310D49">
        <w:rPr>
          <w:lang w:val="fr-FR"/>
        </w:rPr>
        <w:tab/>
      </w:r>
      <w:r w:rsidRPr="00310D49">
        <w:rPr>
          <w:lang w:val="fr-FR"/>
        </w:rPr>
        <w:tab/>
        <w:t>Garanties procédurales applicables à la peine de mort</w:t>
      </w:r>
    </w:p>
    <w:p w14:paraId="1C9141C2" w14:textId="79DF3CDC" w:rsidR="00D005FA" w:rsidRPr="00310D49" w:rsidRDefault="00D005FA" w:rsidP="00BE3EE6">
      <w:pPr>
        <w:pStyle w:val="SingleTxtG"/>
        <w:rPr>
          <w:lang w:val="fr-FR"/>
        </w:rPr>
      </w:pPr>
      <w:r w:rsidRPr="00310D49">
        <w:rPr>
          <w:lang w:val="fr-FR"/>
        </w:rPr>
        <w:t>125.</w:t>
      </w:r>
      <w:r w:rsidRPr="00310D49">
        <w:rPr>
          <w:lang w:val="fr-FR"/>
        </w:rPr>
        <w:tab/>
        <w:t>Le Tribunal de première instance est compétent pour connaître de toutes les infractions. Le Code de procédure pénale n</w:t>
      </w:r>
      <w:r w:rsidR="00DF0A10" w:rsidRPr="00DF0A10">
        <w:rPr>
          <w:vertAlign w:val="superscript"/>
          <w:lang w:val="fr-FR"/>
        </w:rPr>
        <w:t>o</w:t>
      </w:r>
      <w:r w:rsidR="00DF0A10">
        <w:rPr>
          <w:lang w:val="fr-FR"/>
        </w:rPr>
        <w:t> </w:t>
      </w:r>
      <w:r w:rsidRPr="00310D49">
        <w:rPr>
          <w:lang w:val="fr-FR"/>
        </w:rPr>
        <w:t xml:space="preserve">3 de 2001 prévoit les différentes procédures suivies devant les juridictions pénales, y compris la procédure de condamnation à la peine de </w:t>
      </w:r>
      <w:r w:rsidRPr="00310D49">
        <w:rPr>
          <w:lang w:val="fr-FR"/>
        </w:rPr>
        <w:lastRenderedPageBreak/>
        <w:t>mort sur laquelle le législateur a mis l</w:t>
      </w:r>
      <w:r w:rsidR="0035332C">
        <w:rPr>
          <w:lang w:val="fr-FR"/>
        </w:rPr>
        <w:t>’</w:t>
      </w:r>
      <w:r w:rsidRPr="00310D49">
        <w:rPr>
          <w:lang w:val="fr-FR"/>
        </w:rPr>
        <w:t xml:space="preserve">accent. Selon les </w:t>
      </w:r>
      <w:r w:rsidRPr="0022061E">
        <w:rPr>
          <w:lang w:val="fr-FR"/>
        </w:rPr>
        <w:t xml:space="preserve">articles 244 </w:t>
      </w:r>
      <w:r w:rsidR="0022061E" w:rsidRPr="0022061E">
        <w:rPr>
          <w:lang w:val="fr-FR"/>
        </w:rPr>
        <w:t>et</w:t>
      </w:r>
      <w:r w:rsidRPr="0022061E">
        <w:rPr>
          <w:lang w:val="fr-FR"/>
        </w:rPr>
        <w:t xml:space="preserve"> 245 dudit Code, l</w:t>
      </w:r>
      <w:r w:rsidR="0035332C">
        <w:rPr>
          <w:lang w:val="fr-FR"/>
        </w:rPr>
        <w:t>’</w:t>
      </w:r>
      <w:r w:rsidRPr="0022061E">
        <w:rPr>
          <w:lang w:val="fr-FR"/>
        </w:rPr>
        <w:t>accusé doit être représenté par un avocat et une aide juridictionnelle est accordée à</w:t>
      </w:r>
      <w:r w:rsidRPr="00310D49">
        <w:rPr>
          <w:lang w:val="fr-FR"/>
        </w:rPr>
        <w:t xml:space="preserve"> ceux qui ne disposent pas de ressources suffisantes pour accéder aux services d</w:t>
      </w:r>
      <w:r w:rsidR="0035332C">
        <w:rPr>
          <w:lang w:val="fr-FR"/>
        </w:rPr>
        <w:t>’</w:t>
      </w:r>
      <w:r w:rsidRPr="00310D49">
        <w:rPr>
          <w:lang w:val="fr-FR"/>
        </w:rPr>
        <w:t>un avocat. En outre, l</w:t>
      </w:r>
      <w:r w:rsidR="0035332C">
        <w:rPr>
          <w:lang w:val="fr-FR"/>
        </w:rPr>
        <w:t>’</w:t>
      </w:r>
      <w:r w:rsidRPr="00310D49">
        <w:rPr>
          <w:lang w:val="fr-FR"/>
        </w:rPr>
        <w:t>article</w:t>
      </w:r>
      <w:r w:rsidR="00DF0A10">
        <w:rPr>
          <w:lang w:val="fr-FR"/>
        </w:rPr>
        <w:t> </w:t>
      </w:r>
      <w:r w:rsidRPr="00310D49">
        <w:rPr>
          <w:lang w:val="fr-FR"/>
        </w:rPr>
        <w:t>272 du Code dispose que la décision de peine de mort est rendue à l</w:t>
      </w:r>
      <w:r w:rsidR="0035332C">
        <w:rPr>
          <w:lang w:val="fr-FR"/>
        </w:rPr>
        <w:t>’</w:t>
      </w:r>
      <w:r w:rsidRPr="00310D49">
        <w:rPr>
          <w:lang w:val="fr-FR"/>
        </w:rPr>
        <w:t>unanimité, tandis que l</w:t>
      </w:r>
      <w:r w:rsidR="0035332C">
        <w:rPr>
          <w:lang w:val="fr-FR"/>
        </w:rPr>
        <w:t>’</w:t>
      </w:r>
      <w:r w:rsidRPr="00310D49">
        <w:rPr>
          <w:lang w:val="fr-FR"/>
        </w:rPr>
        <w:t>article 277 prévoit que «</w:t>
      </w:r>
      <w:r w:rsidR="00DF0A10">
        <w:rPr>
          <w:lang w:val="fr-FR"/>
        </w:rPr>
        <w:t> </w:t>
      </w:r>
      <w:r w:rsidRPr="00310D49">
        <w:rPr>
          <w:lang w:val="fr-FR"/>
        </w:rPr>
        <w:t>[l]e jugement est signé par les juges et lu à haute voix en présence du substitut du procureur et de l</w:t>
      </w:r>
      <w:r w:rsidR="0035332C">
        <w:rPr>
          <w:lang w:val="fr-FR"/>
        </w:rPr>
        <w:t>’</w:t>
      </w:r>
      <w:r w:rsidRPr="00310D49">
        <w:rPr>
          <w:lang w:val="fr-FR"/>
        </w:rPr>
        <w:t>accusé. Le président du tribunal avise la personne condamnée de son droit de faire appel du jugement</w:t>
      </w:r>
      <w:r w:rsidR="00DF0A10">
        <w:rPr>
          <w:lang w:val="fr-FR"/>
        </w:rPr>
        <w:t> </w:t>
      </w:r>
      <w:r w:rsidRPr="00310D49">
        <w:rPr>
          <w:lang w:val="fr-FR"/>
        </w:rPr>
        <w:t>». Par ailleurs, l</w:t>
      </w:r>
      <w:r w:rsidR="0035332C">
        <w:rPr>
          <w:lang w:val="fr-FR"/>
        </w:rPr>
        <w:t>’</w:t>
      </w:r>
      <w:r w:rsidRPr="00310D49">
        <w:rPr>
          <w:lang w:val="fr-FR"/>
        </w:rPr>
        <w:t>article</w:t>
      </w:r>
      <w:r w:rsidR="00DF0A10">
        <w:rPr>
          <w:lang w:val="fr-FR"/>
        </w:rPr>
        <w:t> </w:t>
      </w:r>
      <w:r w:rsidRPr="00310D49">
        <w:rPr>
          <w:lang w:val="fr-FR"/>
        </w:rPr>
        <w:t>380 (al</w:t>
      </w:r>
      <w:r w:rsidR="00DF0A10">
        <w:rPr>
          <w:lang w:val="fr-FR"/>
        </w:rPr>
        <w:t>. </w:t>
      </w:r>
      <w:r w:rsidRPr="00310D49">
        <w:rPr>
          <w:lang w:val="fr-FR"/>
        </w:rPr>
        <w:t>1) dudit Code dispose que «</w:t>
      </w:r>
      <w:r w:rsidR="00DF0A10">
        <w:rPr>
          <w:lang w:val="fr-FR"/>
        </w:rPr>
        <w:t> </w:t>
      </w:r>
      <w:r w:rsidRPr="00310D49">
        <w:rPr>
          <w:lang w:val="fr-FR"/>
        </w:rPr>
        <w:t>[l]a demande de révision n</w:t>
      </w:r>
      <w:r w:rsidR="0035332C">
        <w:rPr>
          <w:lang w:val="fr-FR"/>
        </w:rPr>
        <w:t>’</w:t>
      </w:r>
      <w:r w:rsidRPr="00310D49">
        <w:rPr>
          <w:lang w:val="fr-FR"/>
        </w:rPr>
        <w:t>emporte pas sursis à l</w:t>
      </w:r>
      <w:r w:rsidR="0035332C">
        <w:rPr>
          <w:lang w:val="fr-FR"/>
        </w:rPr>
        <w:t>’</w:t>
      </w:r>
      <w:r w:rsidRPr="00310D49">
        <w:rPr>
          <w:lang w:val="fr-FR"/>
        </w:rPr>
        <w:t>exécution de la peine prononcée, sauf s</w:t>
      </w:r>
      <w:r w:rsidR="0035332C">
        <w:rPr>
          <w:lang w:val="fr-FR"/>
        </w:rPr>
        <w:t>’</w:t>
      </w:r>
      <w:r w:rsidRPr="00310D49">
        <w:rPr>
          <w:lang w:val="fr-FR"/>
        </w:rPr>
        <w:t>il s</w:t>
      </w:r>
      <w:r w:rsidR="0035332C">
        <w:rPr>
          <w:lang w:val="fr-FR"/>
        </w:rPr>
        <w:t>’</w:t>
      </w:r>
      <w:r w:rsidRPr="00310D49">
        <w:rPr>
          <w:lang w:val="fr-FR"/>
        </w:rPr>
        <w:t>agit de la peine de mort</w:t>
      </w:r>
      <w:r w:rsidR="00DF0A10">
        <w:rPr>
          <w:lang w:val="fr-FR"/>
        </w:rPr>
        <w:t> </w:t>
      </w:r>
      <w:r w:rsidRPr="00310D49">
        <w:rPr>
          <w:lang w:val="fr-FR"/>
        </w:rPr>
        <w:t>».</w:t>
      </w:r>
    </w:p>
    <w:p w14:paraId="0B946DF8" w14:textId="6AEEEF76" w:rsidR="00D005FA" w:rsidRPr="00310D49" w:rsidRDefault="00D005FA" w:rsidP="00BE3EE6">
      <w:pPr>
        <w:pStyle w:val="SingleTxtG"/>
        <w:rPr>
          <w:spacing w:val="-4"/>
          <w:lang w:val="fr-FR"/>
        </w:rPr>
      </w:pPr>
      <w:r w:rsidRPr="00310D49">
        <w:rPr>
          <w:lang w:val="fr-FR"/>
        </w:rPr>
        <w:t>126.</w:t>
      </w:r>
      <w:r w:rsidRPr="00310D49">
        <w:rPr>
          <w:lang w:val="fr-FR"/>
        </w:rPr>
        <w:tab/>
        <w:t>L</w:t>
      </w:r>
      <w:r w:rsidR="0035332C">
        <w:rPr>
          <w:lang w:val="fr-FR"/>
        </w:rPr>
        <w:t>’</w:t>
      </w:r>
      <w:r w:rsidRPr="00310D49">
        <w:rPr>
          <w:lang w:val="fr-FR"/>
        </w:rPr>
        <w:t>article 327 du Code de procédure pénale prévoit que «</w:t>
      </w:r>
      <w:r w:rsidR="00DF0A10">
        <w:rPr>
          <w:lang w:val="fr-FR"/>
        </w:rPr>
        <w:t> </w:t>
      </w:r>
      <w:r w:rsidRPr="00310D49">
        <w:rPr>
          <w:lang w:val="fr-FR"/>
        </w:rPr>
        <w:t>[l]es décisions de condamnation à la peine de mort ou à la réclusion à perpétuité sont susceptibles d</w:t>
      </w:r>
      <w:r w:rsidR="0035332C">
        <w:rPr>
          <w:lang w:val="fr-FR"/>
        </w:rPr>
        <w:t>’</w:t>
      </w:r>
      <w:r w:rsidRPr="00310D49">
        <w:rPr>
          <w:lang w:val="fr-FR"/>
        </w:rPr>
        <w:t>appel de plein droit, même si elles ne sont pas contestées par les plaideurs</w:t>
      </w:r>
      <w:r w:rsidR="00DF0A10">
        <w:rPr>
          <w:lang w:val="fr-FR"/>
        </w:rPr>
        <w:t> </w:t>
      </w:r>
      <w:r w:rsidRPr="00310D49">
        <w:rPr>
          <w:lang w:val="fr-FR"/>
        </w:rPr>
        <w:t>». De même, l</w:t>
      </w:r>
      <w:r w:rsidR="0035332C">
        <w:rPr>
          <w:lang w:val="fr-FR"/>
        </w:rPr>
        <w:t>’</w:t>
      </w:r>
      <w:r w:rsidRPr="00310D49">
        <w:rPr>
          <w:lang w:val="fr-FR"/>
        </w:rPr>
        <w:t>article</w:t>
      </w:r>
      <w:r w:rsidR="00DF0A10">
        <w:rPr>
          <w:lang w:val="fr-FR"/>
        </w:rPr>
        <w:t> </w:t>
      </w:r>
      <w:r w:rsidRPr="00310D49">
        <w:rPr>
          <w:lang w:val="fr-FR"/>
        </w:rPr>
        <w:t>350 du Code de procédure pénale dispose que «</w:t>
      </w:r>
      <w:r w:rsidR="00BE3EE6">
        <w:rPr>
          <w:lang w:val="fr-FR"/>
        </w:rPr>
        <w:t> </w:t>
      </w:r>
      <w:r w:rsidRPr="00310D49">
        <w:rPr>
          <w:lang w:val="fr-FR"/>
        </w:rPr>
        <w:t>[l]es décisions de condamnation à la peine de mort ou à la réclusion à perpétuité font de plein droit l</w:t>
      </w:r>
      <w:r w:rsidR="0035332C">
        <w:rPr>
          <w:lang w:val="fr-FR"/>
        </w:rPr>
        <w:t>’</w:t>
      </w:r>
      <w:r w:rsidRPr="00310D49">
        <w:rPr>
          <w:lang w:val="fr-FR"/>
        </w:rPr>
        <w:t>objet d</w:t>
      </w:r>
      <w:r w:rsidR="0035332C">
        <w:rPr>
          <w:lang w:val="fr-FR"/>
        </w:rPr>
        <w:t>’</w:t>
      </w:r>
      <w:r w:rsidRPr="00310D49">
        <w:rPr>
          <w:lang w:val="fr-FR"/>
        </w:rPr>
        <w:t>un pourvoi en cassation, même si elles ne sont pas contestées par les plaideurs</w:t>
      </w:r>
      <w:r w:rsidR="00DF0A10">
        <w:rPr>
          <w:lang w:val="fr-FR"/>
        </w:rPr>
        <w:t>.</w:t>
      </w:r>
      <w:r w:rsidR="00BE3EE6">
        <w:rPr>
          <w:lang w:val="fr-FR"/>
        </w:rPr>
        <w:t> </w:t>
      </w:r>
      <w:r w:rsidRPr="00310D49">
        <w:rPr>
          <w:lang w:val="fr-FR"/>
        </w:rPr>
        <w:t>».</w:t>
      </w:r>
    </w:p>
    <w:p w14:paraId="584B894D" w14:textId="32B927CA" w:rsidR="00D005FA" w:rsidRPr="00310D49" w:rsidRDefault="00D005FA" w:rsidP="00FC19B1">
      <w:pPr>
        <w:pStyle w:val="SingleTxtG"/>
        <w:rPr>
          <w:lang w:val="fr-FR"/>
        </w:rPr>
      </w:pPr>
      <w:r w:rsidRPr="00310D49">
        <w:rPr>
          <w:lang w:val="fr-FR"/>
        </w:rPr>
        <w:t>127.</w:t>
      </w:r>
      <w:r w:rsidRPr="00310D49">
        <w:rPr>
          <w:lang w:val="fr-FR"/>
        </w:rPr>
        <w:tab/>
        <w:t>En ce qui concerne les grâces ou les réductions de peine, le chef de l</w:t>
      </w:r>
      <w:r w:rsidR="0035332C">
        <w:rPr>
          <w:lang w:val="fr-FR"/>
        </w:rPr>
        <w:t>’</w:t>
      </w:r>
      <w:r w:rsidRPr="00310D49">
        <w:rPr>
          <w:lang w:val="fr-FR"/>
        </w:rPr>
        <w:t>État de Palestine a le droit d</w:t>
      </w:r>
      <w:r w:rsidR="0035332C">
        <w:rPr>
          <w:lang w:val="fr-FR"/>
        </w:rPr>
        <w:t>’</w:t>
      </w:r>
      <w:r w:rsidRPr="00310D49">
        <w:rPr>
          <w:lang w:val="fr-FR"/>
        </w:rPr>
        <w:t>accorder des grâces individuelles ou de commuer les peines. Toutefois, les amnisties générales ou les amnisties pour les crimes ne peuvent être accordées que par une loi (article 42 de la Loi fondamentale, telle que modifiée).</w:t>
      </w:r>
    </w:p>
    <w:p w14:paraId="64DF3061" w14:textId="7B2B18FF" w:rsidR="00D005FA" w:rsidRPr="00310D49" w:rsidRDefault="00D005FA" w:rsidP="00FC19B1">
      <w:pPr>
        <w:pStyle w:val="SingleTxtG"/>
        <w:rPr>
          <w:spacing w:val="-4"/>
          <w:lang w:val="fr-FR"/>
        </w:rPr>
      </w:pPr>
      <w:r w:rsidRPr="00310D49">
        <w:rPr>
          <w:lang w:val="fr-FR"/>
        </w:rPr>
        <w:t>128.</w:t>
      </w:r>
      <w:r w:rsidRPr="00310D49">
        <w:rPr>
          <w:lang w:val="fr-FR"/>
        </w:rPr>
        <w:tab/>
        <w:t>Conformément à l</w:t>
      </w:r>
      <w:r w:rsidR="0035332C">
        <w:rPr>
          <w:lang w:val="fr-FR"/>
        </w:rPr>
        <w:t>’</w:t>
      </w:r>
      <w:r w:rsidRPr="00310D49">
        <w:rPr>
          <w:lang w:val="fr-FR"/>
        </w:rPr>
        <w:t>article</w:t>
      </w:r>
      <w:r w:rsidR="00532B23">
        <w:rPr>
          <w:lang w:val="fr-FR"/>
        </w:rPr>
        <w:t> </w:t>
      </w:r>
      <w:r w:rsidRPr="00310D49">
        <w:rPr>
          <w:lang w:val="fr-FR"/>
        </w:rPr>
        <w:t>109 de la Loi fondamentale modifiée et à l</w:t>
      </w:r>
      <w:r w:rsidR="0035332C">
        <w:rPr>
          <w:lang w:val="fr-FR"/>
        </w:rPr>
        <w:t>’</w:t>
      </w:r>
      <w:r w:rsidRPr="00310D49">
        <w:rPr>
          <w:lang w:val="fr-FR"/>
        </w:rPr>
        <w:t>article 409 du Code de procédure pénale, une condamnation à mort prononcée par un tribunal ne peut être exécutée qu</w:t>
      </w:r>
      <w:r w:rsidR="0035332C">
        <w:rPr>
          <w:lang w:val="fr-FR"/>
        </w:rPr>
        <w:t>’</w:t>
      </w:r>
      <w:r w:rsidRPr="00310D49">
        <w:rPr>
          <w:lang w:val="fr-FR"/>
        </w:rPr>
        <w:t>après avoir été entérinée par le Chef de l</w:t>
      </w:r>
      <w:r w:rsidR="0035332C">
        <w:rPr>
          <w:lang w:val="fr-FR"/>
        </w:rPr>
        <w:t>’</w:t>
      </w:r>
      <w:r w:rsidRPr="00310D49">
        <w:rPr>
          <w:lang w:val="fr-FR"/>
        </w:rPr>
        <w:t>État palestinien. Il convient de noter que le Chef de l</w:t>
      </w:r>
      <w:r w:rsidR="0035332C">
        <w:rPr>
          <w:lang w:val="fr-FR"/>
        </w:rPr>
        <w:t>’</w:t>
      </w:r>
      <w:r w:rsidRPr="00310D49">
        <w:rPr>
          <w:lang w:val="fr-FR"/>
        </w:rPr>
        <w:t>État de Palestine n</w:t>
      </w:r>
      <w:r w:rsidR="0035332C">
        <w:rPr>
          <w:lang w:val="fr-FR"/>
        </w:rPr>
        <w:t>’</w:t>
      </w:r>
      <w:r w:rsidRPr="00310D49">
        <w:rPr>
          <w:lang w:val="fr-FR"/>
        </w:rPr>
        <w:t>a entériné aucune condamnation à mort depuis 2005</w:t>
      </w:r>
      <w:r w:rsidR="00B02693">
        <w:rPr>
          <w:lang w:val="fr-FR"/>
        </w:rPr>
        <w:t> </w:t>
      </w:r>
      <w:r w:rsidRPr="00310D49">
        <w:rPr>
          <w:lang w:val="fr-FR"/>
        </w:rPr>
        <w:t>; par conséquent, l</w:t>
      </w:r>
      <w:r w:rsidR="0035332C">
        <w:rPr>
          <w:lang w:val="fr-FR"/>
        </w:rPr>
        <w:t>’</w:t>
      </w:r>
      <w:r w:rsidRPr="00310D49">
        <w:rPr>
          <w:lang w:val="fr-FR"/>
        </w:rPr>
        <w:t>État de Palestine a la volonté politique d</w:t>
      </w:r>
      <w:r w:rsidR="0035332C">
        <w:rPr>
          <w:lang w:val="fr-FR"/>
        </w:rPr>
        <w:t>’</w:t>
      </w:r>
      <w:r w:rsidRPr="00310D49">
        <w:rPr>
          <w:lang w:val="fr-FR"/>
        </w:rPr>
        <w:t>imposer un moratoire sur toutes les condamnations.</w:t>
      </w:r>
    </w:p>
    <w:p w14:paraId="614FD82C" w14:textId="2B58EB36" w:rsidR="00D005FA" w:rsidRPr="00310D49" w:rsidRDefault="00D005FA" w:rsidP="00FC19B1">
      <w:pPr>
        <w:pStyle w:val="SingleTxtG"/>
        <w:rPr>
          <w:lang w:val="fr-FR"/>
        </w:rPr>
      </w:pPr>
      <w:r w:rsidRPr="00310D49">
        <w:rPr>
          <w:lang w:val="fr-FR"/>
        </w:rPr>
        <w:t>129.</w:t>
      </w:r>
      <w:r w:rsidRPr="00310D49">
        <w:rPr>
          <w:lang w:val="fr-FR"/>
        </w:rPr>
        <w:tab/>
        <w:t>En ce qui concerne les mineurs, l</w:t>
      </w:r>
      <w:r w:rsidR="0035332C">
        <w:rPr>
          <w:lang w:val="fr-FR"/>
        </w:rPr>
        <w:t>’</w:t>
      </w:r>
      <w:r w:rsidRPr="00310D49">
        <w:rPr>
          <w:lang w:val="fr-FR"/>
        </w:rPr>
        <w:t>article 7 (al</w:t>
      </w:r>
      <w:r w:rsidR="00CE3175">
        <w:rPr>
          <w:lang w:val="fr-FR"/>
        </w:rPr>
        <w:t>. </w:t>
      </w:r>
      <w:r w:rsidRPr="00310D49">
        <w:rPr>
          <w:lang w:val="fr-FR"/>
        </w:rPr>
        <w:t>2) du décret-loi n</w:t>
      </w:r>
      <w:r w:rsidR="00CE3175" w:rsidRPr="00CE3175">
        <w:rPr>
          <w:vertAlign w:val="superscript"/>
          <w:lang w:val="fr-FR"/>
        </w:rPr>
        <w:t>o</w:t>
      </w:r>
      <w:r w:rsidR="00CE3175">
        <w:rPr>
          <w:lang w:val="fr-FR"/>
        </w:rPr>
        <w:t> </w:t>
      </w:r>
      <w:r w:rsidRPr="00310D49">
        <w:rPr>
          <w:lang w:val="fr-FR"/>
        </w:rPr>
        <w:t>4 de 2016 sur la protection des mineurs dispose que «</w:t>
      </w:r>
      <w:r w:rsidR="00CE3175">
        <w:rPr>
          <w:lang w:val="fr-FR"/>
        </w:rPr>
        <w:t> </w:t>
      </w:r>
      <w:r w:rsidRPr="00310D49">
        <w:rPr>
          <w:lang w:val="fr-FR"/>
        </w:rPr>
        <w:t>le mineur n</w:t>
      </w:r>
      <w:r w:rsidR="0035332C">
        <w:rPr>
          <w:lang w:val="fr-FR"/>
        </w:rPr>
        <w:t>’</w:t>
      </w:r>
      <w:r w:rsidRPr="00310D49">
        <w:rPr>
          <w:lang w:val="fr-FR"/>
        </w:rPr>
        <w:t>est pas condamné à la peine de mort</w:t>
      </w:r>
      <w:r w:rsidR="00CE3175">
        <w:rPr>
          <w:lang w:val="fr-FR"/>
        </w:rPr>
        <w:t> </w:t>
      </w:r>
      <w:r w:rsidRPr="00310D49">
        <w:rPr>
          <w:lang w:val="fr-FR"/>
        </w:rPr>
        <w:t>». En</w:t>
      </w:r>
      <w:r w:rsidR="00CE3175">
        <w:rPr>
          <w:lang w:val="fr-FR"/>
        </w:rPr>
        <w:t> </w:t>
      </w:r>
      <w:r w:rsidRPr="00310D49">
        <w:rPr>
          <w:lang w:val="fr-FR"/>
        </w:rPr>
        <w:t>outre, ce décret-loi définit le mineur comme suit</w:t>
      </w:r>
      <w:r w:rsidR="00B02693">
        <w:rPr>
          <w:lang w:val="fr-FR"/>
        </w:rPr>
        <w:t> </w:t>
      </w:r>
      <w:r w:rsidRPr="00310D49">
        <w:rPr>
          <w:lang w:val="fr-FR"/>
        </w:rPr>
        <w:t>: «</w:t>
      </w:r>
      <w:r w:rsidR="00B02693">
        <w:rPr>
          <w:lang w:val="fr-FR"/>
        </w:rPr>
        <w:t> </w:t>
      </w:r>
      <w:r w:rsidRPr="00310D49">
        <w:rPr>
          <w:lang w:val="fr-FR"/>
        </w:rPr>
        <w:t>Tout enfant âgé de moins de 18 ans au moment où il commet une infraction pénale</w:t>
      </w:r>
      <w:r w:rsidR="00B02693">
        <w:rPr>
          <w:lang w:val="fr-FR"/>
        </w:rPr>
        <w:t> </w:t>
      </w:r>
      <w:r w:rsidRPr="00310D49">
        <w:rPr>
          <w:lang w:val="fr-FR"/>
        </w:rPr>
        <w:t>». Ainsi, par ce décret-loi, l</w:t>
      </w:r>
      <w:r w:rsidR="0035332C">
        <w:rPr>
          <w:lang w:val="fr-FR"/>
        </w:rPr>
        <w:t>’</w:t>
      </w:r>
      <w:r w:rsidRPr="00310D49">
        <w:rPr>
          <w:lang w:val="fr-FR"/>
        </w:rPr>
        <w:t>État de Palestine a enregistré un progrès remarquable en matière de conformité avec les instruments internationaux relatifs aux droits de l</w:t>
      </w:r>
      <w:r w:rsidR="0035332C">
        <w:rPr>
          <w:lang w:val="fr-FR"/>
        </w:rPr>
        <w:t>’</w:t>
      </w:r>
      <w:r w:rsidRPr="00310D49">
        <w:rPr>
          <w:lang w:val="fr-FR"/>
        </w:rPr>
        <w:t xml:space="preserve">homme. </w:t>
      </w:r>
    </w:p>
    <w:p w14:paraId="4F24EF25" w14:textId="0DB6567B" w:rsidR="00D005FA" w:rsidRPr="00310D49" w:rsidRDefault="00D005FA" w:rsidP="00FC19B1">
      <w:pPr>
        <w:pStyle w:val="SingleTxtG"/>
        <w:rPr>
          <w:lang w:val="fr-FR"/>
        </w:rPr>
      </w:pPr>
      <w:r w:rsidRPr="00310D49">
        <w:rPr>
          <w:lang w:val="fr-FR"/>
        </w:rPr>
        <w:t>130.</w:t>
      </w:r>
      <w:r w:rsidRPr="00310D49">
        <w:rPr>
          <w:lang w:val="fr-FR"/>
        </w:rPr>
        <w:tab/>
        <w:t>Selon l</w:t>
      </w:r>
      <w:r w:rsidR="0035332C">
        <w:rPr>
          <w:lang w:val="fr-FR"/>
        </w:rPr>
        <w:t>’</w:t>
      </w:r>
      <w:r w:rsidRPr="00310D49">
        <w:rPr>
          <w:lang w:val="fr-FR"/>
        </w:rPr>
        <w:t>article 17 (al</w:t>
      </w:r>
      <w:r w:rsidR="00CE3175">
        <w:rPr>
          <w:lang w:val="fr-FR"/>
        </w:rPr>
        <w:t>. </w:t>
      </w:r>
      <w:r w:rsidRPr="00310D49">
        <w:rPr>
          <w:lang w:val="fr-FR"/>
        </w:rPr>
        <w:t>2) du Code pénal n</w:t>
      </w:r>
      <w:r w:rsidR="00CE3175" w:rsidRPr="00CE3175">
        <w:rPr>
          <w:vertAlign w:val="superscript"/>
          <w:lang w:val="fr-FR"/>
        </w:rPr>
        <w:t>o</w:t>
      </w:r>
      <w:r w:rsidR="00CE3175">
        <w:rPr>
          <w:lang w:val="fr-FR"/>
        </w:rPr>
        <w:t> </w:t>
      </w:r>
      <w:r w:rsidRPr="00310D49">
        <w:rPr>
          <w:lang w:val="fr-FR"/>
        </w:rPr>
        <w:t>16 de 1960, «</w:t>
      </w:r>
      <w:r w:rsidR="00CE3175">
        <w:rPr>
          <w:lang w:val="fr-FR"/>
        </w:rPr>
        <w:t> </w:t>
      </w:r>
      <w:r w:rsidRPr="00310D49">
        <w:rPr>
          <w:lang w:val="fr-FR"/>
        </w:rPr>
        <w:t>[s]</w:t>
      </w:r>
      <w:r w:rsidR="0035332C">
        <w:rPr>
          <w:lang w:val="fr-FR"/>
        </w:rPr>
        <w:t>’</w:t>
      </w:r>
      <w:r w:rsidRPr="00310D49">
        <w:rPr>
          <w:lang w:val="fr-FR"/>
        </w:rPr>
        <w:t>il est prouvé que la femme condamnée à mort était enceinte, la condamnation à mort est remplacée par la réclusion à perpétuité avec travaux forcés</w:t>
      </w:r>
      <w:r w:rsidR="00CE3175">
        <w:rPr>
          <w:lang w:val="fr-FR"/>
        </w:rPr>
        <w:t> </w:t>
      </w:r>
      <w:r w:rsidRPr="00310D49">
        <w:rPr>
          <w:lang w:val="fr-FR"/>
        </w:rPr>
        <w:t>». De même, conformément à l</w:t>
      </w:r>
      <w:r w:rsidR="0035332C">
        <w:rPr>
          <w:lang w:val="fr-FR"/>
        </w:rPr>
        <w:t>’</w:t>
      </w:r>
      <w:r w:rsidRPr="00310D49">
        <w:rPr>
          <w:lang w:val="fr-FR"/>
        </w:rPr>
        <w:t>article 215 du Code pénal n</w:t>
      </w:r>
      <w:r w:rsidR="00CE3175" w:rsidRPr="00CE3175">
        <w:rPr>
          <w:vertAlign w:val="superscript"/>
          <w:lang w:val="fr-FR"/>
        </w:rPr>
        <w:t>o</w:t>
      </w:r>
      <w:r w:rsidR="00CE3175">
        <w:rPr>
          <w:lang w:val="fr-FR"/>
        </w:rPr>
        <w:t> </w:t>
      </w:r>
      <w:r w:rsidRPr="00310D49">
        <w:rPr>
          <w:lang w:val="fr-FR"/>
        </w:rPr>
        <w:t>74 de 1936, «</w:t>
      </w:r>
      <w:r w:rsidR="00CE3175">
        <w:rPr>
          <w:lang w:val="fr-FR"/>
        </w:rPr>
        <w:t> </w:t>
      </w:r>
      <w:r w:rsidRPr="00310D49">
        <w:rPr>
          <w:lang w:val="fr-FR"/>
        </w:rPr>
        <w:t>[s]</w:t>
      </w:r>
      <w:r w:rsidR="0035332C">
        <w:rPr>
          <w:lang w:val="fr-FR"/>
        </w:rPr>
        <w:t>’</w:t>
      </w:r>
      <w:r w:rsidRPr="00310D49">
        <w:rPr>
          <w:lang w:val="fr-FR"/>
        </w:rPr>
        <w:t>il est prouvé au tribunal par des preuves convaincantes qu</w:t>
      </w:r>
      <w:r w:rsidR="0035332C">
        <w:rPr>
          <w:lang w:val="fr-FR"/>
        </w:rPr>
        <w:t>’</w:t>
      </w:r>
      <w:r w:rsidRPr="00310D49">
        <w:rPr>
          <w:lang w:val="fr-FR"/>
        </w:rPr>
        <w:t>une femme reconnue coupable d</w:t>
      </w:r>
      <w:r w:rsidR="0035332C">
        <w:rPr>
          <w:lang w:val="fr-FR"/>
        </w:rPr>
        <w:t>’</w:t>
      </w:r>
      <w:r w:rsidRPr="00310D49">
        <w:rPr>
          <w:lang w:val="fr-FR"/>
        </w:rPr>
        <w:t>homicide volontaire est enceinte, cette femme est condamnée à la réclusion à perpétuité</w:t>
      </w:r>
      <w:r w:rsidR="00CE3175">
        <w:rPr>
          <w:lang w:val="fr-FR"/>
        </w:rPr>
        <w:t> </w:t>
      </w:r>
      <w:r w:rsidRPr="00310D49">
        <w:rPr>
          <w:lang w:val="fr-FR"/>
        </w:rPr>
        <w:t>». L</w:t>
      </w:r>
      <w:r w:rsidR="0035332C">
        <w:rPr>
          <w:lang w:val="fr-FR"/>
        </w:rPr>
        <w:t>’</w:t>
      </w:r>
      <w:r w:rsidRPr="00310D49">
        <w:rPr>
          <w:lang w:val="fr-FR"/>
        </w:rPr>
        <w:t>article 414 de la loi n</w:t>
      </w:r>
      <w:r w:rsidR="00CE3175" w:rsidRPr="00CE3175">
        <w:rPr>
          <w:vertAlign w:val="superscript"/>
          <w:lang w:val="fr-FR"/>
        </w:rPr>
        <w:t>o</w:t>
      </w:r>
      <w:r w:rsidR="00CE3175">
        <w:rPr>
          <w:lang w:val="fr-FR"/>
        </w:rPr>
        <w:t> </w:t>
      </w:r>
      <w:r w:rsidRPr="00310D49">
        <w:rPr>
          <w:lang w:val="fr-FR"/>
        </w:rPr>
        <w:t>3 du Code de procédure pénale de 2001 dispose également que «</w:t>
      </w:r>
      <w:r w:rsidR="00CE3175">
        <w:rPr>
          <w:lang w:val="fr-FR"/>
        </w:rPr>
        <w:t> </w:t>
      </w:r>
      <w:r w:rsidRPr="00310D49">
        <w:rPr>
          <w:lang w:val="fr-FR"/>
        </w:rPr>
        <w:t>[l]a peine de mort ne peut être exécutée sur une femme enceinte. Si</w:t>
      </w:r>
      <w:r w:rsidR="00CE3175">
        <w:rPr>
          <w:lang w:val="fr-FR"/>
        </w:rPr>
        <w:t> </w:t>
      </w:r>
      <w:r w:rsidRPr="00310D49">
        <w:rPr>
          <w:lang w:val="fr-FR"/>
        </w:rPr>
        <w:t>elle donne naissance à un enfant vivant, le tribunal qui l</w:t>
      </w:r>
      <w:r w:rsidR="0035332C">
        <w:rPr>
          <w:lang w:val="fr-FR"/>
        </w:rPr>
        <w:t>’</w:t>
      </w:r>
      <w:r w:rsidRPr="00310D49">
        <w:rPr>
          <w:lang w:val="fr-FR"/>
        </w:rPr>
        <w:t>a condamnée commue la peine de mort en réclusion à perpétuité</w:t>
      </w:r>
      <w:r w:rsidR="00CE3175">
        <w:rPr>
          <w:lang w:val="fr-FR"/>
        </w:rPr>
        <w:t> </w:t>
      </w:r>
      <w:r w:rsidRPr="00310D49">
        <w:rPr>
          <w:lang w:val="fr-FR"/>
        </w:rPr>
        <w:t>».</w:t>
      </w:r>
    </w:p>
    <w:p w14:paraId="56F72C24" w14:textId="77777777" w:rsidR="00D005FA" w:rsidRPr="00310D49" w:rsidRDefault="00D005FA" w:rsidP="00FC19B1">
      <w:pPr>
        <w:pStyle w:val="H23G"/>
        <w:rPr>
          <w:lang w:val="fr-FR"/>
        </w:rPr>
      </w:pPr>
      <w:r w:rsidRPr="00310D49">
        <w:rPr>
          <w:lang w:val="fr-FR"/>
        </w:rPr>
        <w:tab/>
      </w:r>
      <w:r w:rsidRPr="00310D49">
        <w:rPr>
          <w:lang w:val="fr-FR"/>
        </w:rPr>
        <w:tab/>
        <w:t>Tribunaux militaires</w:t>
      </w:r>
    </w:p>
    <w:p w14:paraId="636548C7" w14:textId="1E67C9BD" w:rsidR="00D005FA" w:rsidRPr="00310D49" w:rsidRDefault="00D005FA" w:rsidP="00FC19B1">
      <w:pPr>
        <w:pStyle w:val="SingleTxtG"/>
        <w:rPr>
          <w:color w:val="000000"/>
          <w:lang w:val="fr-FR"/>
        </w:rPr>
      </w:pPr>
      <w:r w:rsidRPr="00310D49">
        <w:rPr>
          <w:lang w:val="fr-FR"/>
        </w:rPr>
        <w:t>131.</w:t>
      </w:r>
      <w:r w:rsidRPr="00310D49">
        <w:rPr>
          <w:lang w:val="fr-FR"/>
        </w:rPr>
        <w:tab/>
        <w:t>Outre les garanties contenues dans la Loi fondamentale modifiée, le Code de procédure pénale révolutionnaire dispose qu</w:t>
      </w:r>
      <w:r w:rsidR="0035332C">
        <w:rPr>
          <w:lang w:val="fr-FR"/>
        </w:rPr>
        <w:t>’</w:t>
      </w:r>
      <w:r w:rsidRPr="00310D49">
        <w:rPr>
          <w:lang w:val="fr-FR"/>
        </w:rPr>
        <w:t>une condamnation à la peine de mort ne peut être exécutée qu</w:t>
      </w:r>
      <w:r w:rsidR="0035332C">
        <w:rPr>
          <w:lang w:val="fr-FR"/>
        </w:rPr>
        <w:t>’</w:t>
      </w:r>
      <w:r w:rsidRPr="00310D49">
        <w:rPr>
          <w:lang w:val="fr-FR"/>
        </w:rPr>
        <w:t>après avoir été entérinée par le Guide suprême, et que l</w:t>
      </w:r>
      <w:r w:rsidR="0035332C">
        <w:rPr>
          <w:lang w:val="fr-FR"/>
        </w:rPr>
        <w:t>’</w:t>
      </w:r>
      <w:r w:rsidRPr="00310D49">
        <w:rPr>
          <w:lang w:val="fr-FR"/>
        </w:rPr>
        <w:t>autorité habilitée à entériner la condamnation peut commuer la peine de mort en une peine moins lourde, l</w:t>
      </w:r>
      <w:r w:rsidR="0035332C">
        <w:rPr>
          <w:lang w:val="fr-FR"/>
        </w:rPr>
        <w:t>’</w:t>
      </w:r>
      <w:r w:rsidRPr="00310D49">
        <w:rPr>
          <w:lang w:val="fr-FR"/>
        </w:rPr>
        <w:t>annuler ou la suspendre, ou autoriser un nouveau procès pour la personne condamnée à mort. Ledit Code prévoit également de reporter l</w:t>
      </w:r>
      <w:r w:rsidR="0035332C">
        <w:rPr>
          <w:lang w:val="fr-FR"/>
        </w:rPr>
        <w:t>’</w:t>
      </w:r>
      <w:r w:rsidRPr="00310D49">
        <w:rPr>
          <w:lang w:val="fr-FR"/>
        </w:rPr>
        <w:t>exécution de la peine capitale prononcée à l</w:t>
      </w:r>
      <w:r w:rsidR="0035332C">
        <w:rPr>
          <w:lang w:val="fr-FR"/>
        </w:rPr>
        <w:t>’</w:t>
      </w:r>
      <w:r w:rsidRPr="00310D49">
        <w:rPr>
          <w:lang w:val="fr-FR"/>
        </w:rPr>
        <w:t>encontre d</w:t>
      </w:r>
      <w:r w:rsidR="0035332C">
        <w:rPr>
          <w:lang w:val="fr-FR"/>
        </w:rPr>
        <w:t>’</w:t>
      </w:r>
      <w:r w:rsidRPr="00310D49">
        <w:rPr>
          <w:lang w:val="fr-FR"/>
        </w:rPr>
        <w:t xml:space="preserve">une femme </w:t>
      </w:r>
      <w:r w:rsidRPr="00EE5364">
        <w:rPr>
          <w:lang w:val="fr-FR"/>
        </w:rPr>
        <w:t>enceinte jusqu</w:t>
      </w:r>
      <w:r w:rsidR="0035332C">
        <w:rPr>
          <w:lang w:val="fr-FR"/>
        </w:rPr>
        <w:t>’</w:t>
      </w:r>
      <w:r w:rsidRPr="00EE5364">
        <w:rPr>
          <w:lang w:val="fr-FR"/>
        </w:rPr>
        <w:t>à</w:t>
      </w:r>
      <w:r w:rsidRPr="00310D49">
        <w:rPr>
          <w:lang w:val="fr-FR"/>
        </w:rPr>
        <w:t xml:space="preserve"> ce qu</w:t>
      </w:r>
      <w:r w:rsidR="0035332C">
        <w:rPr>
          <w:lang w:val="fr-FR"/>
        </w:rPr>
        <w:t>’</w:t>
      </w:r>
      <w:r w:rsidRPr="00310D49">
        <w:rPr>
          <w:lang w:val="fr-FR"/>
        </w:rPr>
        <w:t>elle donne naissance.</w:t>
      </w:r>
    </w:p>
    <w:p w14:paraId="3FA5E31E" w14:textId="09B8A19C" w:rsidR="00D005FA" w:rsidRPr="00310D49" w:rsidRDefault="00D005FA" w:rsidP="00FC19B1">
      <w:pPr>
        <w:pStyle w:val="SingleTxtG"/>
        <w:rPr>
          <w:color w:val="000000"/>
          <w:spacing w:val="-4"/>
          <w:lang w:val="fr-FR"/>
        </w:rPr>
      </w:pPr>
      <w:r w:rsidRPr="00310D49">
        <w:rPr>
          <w:lang w:val="fr-FR"/>
        </w:rPr>
        <w:t>132.</w:t>
      </w:r>
      <w:r w:rsidRPr="00310D49">
        <w:rPr>
          <w:lang w:val="fr-FR"/>
        </w:rPr>
        <w:tab/>
      </w:r>
      <w:r w:rsidRPr="00A260FA">
        <w:rPr>
          <w:lang w:val="fr-FR"/>
        </w:rPr>
        <w:t xml:space="preserve">Afin de consacrer </w:t>
      </w:r>
      <w:r w:rsidR="00CE3175" w:rsidRPr="00A260FA">
        <w:rPr>
          <w:lang w:val="fr-FR"/>
        </w:rPr>
        <w:t xml:space="preserve">le </w:t>
      </w:r>
      <w:r w:rsidRPr="00A260FA">
        <w:rPr>
          <w:lang w:val="fr-FR"/>
        </w:rPr>
        <w:t>double degré de juridiction dans la justice militaire, le décret-loi n</w:t>
      </w:r>
      <w:r w:rsidR="00CE3175" w:rsidRPr="00A260FA">
        <w:rPr>
          <w:vertAlign w:val="superscript"/>
          <w:lang w:val="fr-FR"/>
        </w:rPr>
        <w:t>o</w:t>
      </w:r>
      <w:r w:rsidR="00CE3175" w:rsidRPr="00A260FA">
        <w:rPr>
          <w:lang w:val="fr-FR"/>
        </w:rPr>
        <w:t> </w:t>
      </w:r>
      <w:r w:rsidRPr="00A260FA">
        <w:rPr>
          <w:lang w:val="fr-FR"/>
        </w:rPr>
        <w:t>31 de 2016 portant modification du Code de procédure pénale révolutionnaire de 1979</w:t>
      </w:r>
      <w:r w:rsidR="00A260FA" w:rsidRPr="00A260FA">
        <w:rPr>
          <w:lang w:val="fr-FR"/>
        </w:rPr>
        <w:t xml:space="preserve"> </w:t>
      </w:r>
      <w:r w:rsidR="00A260FA" w:rsidRPr="00A260FA">
        <w:rPr>
          <w:lang w:val="fr-FR"/>
        </w:rPr>
        <w:t>a été promulgué pour constituer une cour d</w:t>
      </w:r>
      <w:r w:rsidR="0035332C">
        <w:rPr>
          <w:lang w:val="fr-FR"/>
        </w:rPr>
        <w:t>’</w:t>
      </w:r>
      <w:r w:rsidR="00A260FA" w:rsidRPr="00A260FA">
        <w:rPr>
          <w:lang w:val="fr-FR"/>
        </w:rPr>
        <w:t>appel militaire</w:t>
      </w:r>
      <w:r w:rsidRPr="00310D49">
        <w:rPr>
          <w:lang w:val="fr-FR"/>
        </w:rPr>
        <w:t>. Celle-ci a compétence pour connaître de tous les recours qui lui sont soumis concernant les jugements et décisions rendus par le tribunal militaire permanent en sa qualité de juridiction du premier degré, ainsi que les jugements et décisions prononcés par le tribunal militaire spécial.</w:t>
      </w:r>
    </w:p>
    <w:p w14:paraId="5A06D428" w14:textId="5FDF0CCD" w:rsidR="00D005FA" w:rsidRPr="00310D49" w:rsidRDefault="00D005FA" w:rsidP="00FC19B1">
      <w:pPr>
        <w:pStyle w:val="SingleTxtG"/>
        <w:rPr>
          <w:lang w:val="fr-FR"/>
        </w:rPr>
      </w:pPr>
      <w:r w:rsidRPr="0057016D">
        <w:rPr>
          <w:lang w:val="fr-FR"/>
        </w:rPr>
        <w:lastRenderedPageBreak/>
        <w:t>133.</w:t>
      </w:r>
      <w:r w:rsidRPr="00310D49">
        <w:rPr>
          <w:lang w:val="fr-FR"/>
        </w:rPr>
        <w:tab/>
        <w:t>En juin 2018, l</w:t>
      </w:r>
      <w:r w:rsidR="0035332C">
        <w:rPr>
          <w:lang w:val="fr-FR"/>
        </w:rPr>
        <w:t>’</w:t>
      </w:r>
      <w:r w:rsidRPr="00310D49">
        <w:rPr>
          <w:lang w:val="fr-FR"/>
        </w:rPr>
        <w:t>État de Palestine est devenu partie au deuxième Protocole facultatif se rapportant au Pacte international relatif aux droits civils et politiques, visant à abolir la peine de mort, et s</w:t>
      </w:r>
      <w:r w:rsidR="0035332C">
        <w:rPr>
          <w:lang w:val="fr-FR"/>
        </w:rPr>
        <w:t>’</w:t>
      </w:r>
      <w:r w:rsidRPr="00310D49">
        <w:rPr>
          <w:lang w:val="fr-FR"/>
        </w:rPr>
        <w:t>emploie à prendre les mesures nécessaires pour remplir les obligations internationales qui lui incombent au titre de cet instrument. Il s</w:t>
      </w:r>
      <w:r w:rsidR="0035332C">
        <w:rPr>
          <w:lang w:val="fr-FR"/>
        </w:rPr>
        <w:t>’</w:t>
      </w:r>
      <w:r w:rsidRPr="00310D49">
        <w:rPr>
          <w:lang w:val="fr-FR"/>
        </w:rPr>
        <w:t>agit notamment de faire modifier par le Comité d</w:t>
      </w:r>
      <w:r w:rsidR="0035332C">
        <w:rPr>
          <w:lang w:val="fr-FR"/>
        </w:rPr>
        <w:t>’</w:t>
      </w:r>
      <w:r w:rsidRPr="00310D49">
        <w:rPr>
          <w:lang w:val="fr-FR"/>
        </w:rPr>
        <w:t xml:space="preserve">harmonisation de la législation les textes de loi relatifs à la peine de mort afin de les harmoniser avec les instruments internationaux. </w:t>
      </w:r>
    </w:p>
    <w:p w14:paraId="5305EFB3" w14:textId="59CE6B20" w:rsidR="00D005FA" w:rsidRPr="00310D49" w:rsidRDefault="00D005FA" w:rsidP="00FC19B1">
      <w:pPr>
        <w:pStyle w:val="SingleTxtG"/>
        <w:rPr>
          <w:spacing w:val="-4"/>
          <w:lang w:val="fr-FR"/>
        </w:rPr>
      </w:pPr>
      <w:r w:rsidRPr="00310D49">
        <w:rPr>
          <w:lang w:val="fr-FR"/>
        </w:rPr>
        <w:t>134.</w:t>
      </w:r>
      <w:r w:rsidRPr="00310D49">
        <w:rPr>
          <w:lang w:val="fr-FR"/>
        </w:rPr>
        <w:tab/>
        <w:t>En 2014, l</w:t>
      </w:r>
      <w:r w:rsidR="0035332C">
        <w:rPr>
          <w:lang w:val="fr-FR"/>
        </w:rPr>
        <w:t>’</w:t>
      </w:r>
      <w:r w:rsidRPr="00310D49">
        <w:rPr>
          <w:lang w:val="fr-FR"/>
        </w:rPr>
        <w:t>État de Palestine a adhéré à la Convention pour la prévention et la répression du crime de génocide.</w:t>
      </w:r>
    </w:p>
    <w:p w14:paraId="25C998D2" w14:textId="77777777" w:rsidR="00D005FA" w:rsidRPr="00310D49" w:rsidRDefault="00D005FA" w:rsidP="00A60DA7">
      <w:pPr>
        <w:pStyle w:val="H23G"/>
        <w:rPr>
          <w:lang w:val="fr-FR"/>
        </w:rPr>
      </w:pPr>
      <w:r w:rsidRPr="00310D49">
        <w:rPr>
          <w:lang w:val="fr-FR"/>
        </w:rPr>
        <w:tab/>
      </w:r>
      <w:r w:rsidRPr="00310D49">
        <w:rPr>
          <w:lang w:val="fr-FR"/>
        </w:rPr>
        <w:tab/>
        <w:t>Mortalité maternelle</w:t>
      </w:r>
    </w:p>
    <w:p w14:paraId="41F86E41" w14:textId="0D9457DF" w:rsidR="00D005FA" w:rsidRPr="00310D49" w:rsidRDefault="00D005FA" w:rsidP="00A60DA7">
      <w:pPr>
        <w:pStyle w:val="SingleTxtG"/>
        <w:keepNext/>
        <w:rPr>
          <w:lang w:val="fr-FR"/>
        </w:rPr>
      </w:pPr>
      <w:r w:rsidRPr="00310D49">
        <w:rPr>
          <w:lang w:val="fr-FR"/>
        </w:rPr>
        <w:t>135.</w:t>
      </w:r>
      <w:r w:rsidRPr="00310D49">
        <w:rPr>
          <w:lang w:val="fr-FR"/>
        </w:rPr>
        <w:tab/>
        <w:t>Le tableau ci-après indique l</w:t>
      </w:r>
      <w:r w:rsidR="0035332C">
        <w:rPr>
          <w:lang w:val="fr-FR"/>
        </w:rPr>
        <w:t>’</w:t>
      </w:r>
      <w:r w:rsidRPr="00310D49">
        <w:rPr>
          <w:lang w:val="fr-FR"/>
        </w:rPr>
        <w:t>évolution annuelle du taux de mortalité maternelle, c</w:t>
      </w:r>
      <w:r w:rsidR="0035332C">
        <w:rPr>
          <w:lang w:val="fr-FR"/>
        </w:rPr>
        <w:t>’</w:t>
      </w:r>
      <w:r w:rsidRPr="00310D49">
        <w:rPr>
          <w:lang w:val="fr-FR"/>
        </w:rPr>
        <w:t>est</w:t>
      </w:r>
      <w:r w:rsidR="0057016D">
        <w:rPr>
          <w:lang w:val="fr-FR"/>
        </w:rPr>
        <w:noBreakHyphen/>
      </w:r>
      <w:r w:rsidRPr="00310D49">
        <w:rPr>
          <w:lang w:val="fr-FR"/>
        </w:rPr>
        <w:t>à-dire le nombre de femmes décédées pendant la grossesse ou l</w:t>
      </w:r>
      <w:r w:rsidR="0035332C">
        <w:rPr>
          <w:lang w:val="fr-FR"/>
        </w:rPr>
        <w:t>’</w:t>
      </w:r>
      <w:r w:rsidRPr="00310D49">
        <w:rPr>
          <w:lang w:val="fr-FR"/>
        </w:rPr>
        <w:t xml:space="preserve">accouchement ou dans les </w:t>
      </w:r>
      <w:r w:rsidR="0057016D">
        <w:rPr>
          <w:lang w:val="fr-FR"/>
        </w:rPr>
        <w:t>quarante-deux</w:t>
      </w:r>
      <w:r w:rsidRPr="00310D49">
        <w:rPr>
          <w:lang w:val="fr-FR"/>
        </w:rPr>
        <w:t xml:space="preserve"> jours suivant l</w:t>
      </w:r>
      <w:r w:rsidR="0035332C">
        <w:rPr>
          <w:lang w:val="fr-FR"/>
        </w:rPr>
        <w:t>’</w:t>
      </w:r>
      <w:r w:rsidRPr="00310D49">
        <w:rPr>
          <w:lang w:val="fr-FR"/>
        </w:rPr>
        <w:t xml:space="preserve">accouchement. </w:t>
      </w:r>
    </w:p>
    <w:tbl>
      <w:tblPr>
        <w:tblW w:w="7370" w:type="dxa"/>
        <w:tblInd w:w="1134" w:type="dxa"/>
        <w:tblLayout w:type="fixed"/>
        <w:tblCellMar>
          <w:left w:w="0" w:type="dxa"/>
          <w:right w:w="0" w:type="dxa"/>
        </w:tblCellMar>
        <w:tblLook w:val="04A0" w:firstRow="1" w:lastRow="0" w:firstColumn="1" w:lastColumn="0" w:noHBand="0" w:noVBand="1"/>
      </w:tblPr>
      <w:tblGrid>
        <w:gridCol w:w="1083"/>
        <w:gridCol w:w="3686"/>
        <w:gridCol w:w="1264"/>
        <w:gridCol w:w="1337"/>
      </w:tblGrid>
      <w:tr w:rsidR="00FC19B1" w:rsidRPr="00FC19B1" w14:paraId="72FF423F" w14:textId="77777777" w:rsidTr="00FC19B1">
        <w:trPr>
          <w:tblHeader/>
        </w:trPr>
        <w:tc>
          <w:tcPr>
            <w:tcW w:w="1080" w:type="dxa"/>
            <w:tcBorders>
              <w:top w:val="single" w:sz="4" w:space="0" w:color="auto"/>
              <w:bottom w:val="single" w:sz="12" w:space="0" w:color="auto"/>
            </w:tcBorders>
            <w:shd w:val="clear" w:color="auto" w:fill="auto"/>
            <w:vAlign w:val="bottom"/>
          </w:tcPr>
          <w:p w14:paraId="72AA95C4" w14:textId="77777777" w:rsidR="00D005FA" w:rsidRPr="00FC19B1" w:rsidRDefault="00D005FA" w:rsidP="00A60DA7">
            <w:pPr>
              <w:keepNext/>
              <w:suppressAutoHyphens w:val="0"/>
              <w:spacing w:before="80" w:after="80" w:line="200" w:lineRule="exact"/>
              <w:rPr>
                <w:i/>
                <w:sz w:val="16"/>
                <w:lang w:val="fr-FR"/>
              </w:rPr>
            </w:pPr>
            <w:r w:rsidRPr="00FC19B1">
              <w:rPr>
                <w:i/>
                <w:sz w:val="16"/>
                <w:lang w:val="fr-FR"/>
              </w:rPr>
              <w:t>Année</w:t>
            </w:r>
          </w:p>
        </w:tc>
        <w:tc>
          <w:tcPr>
            <w:tcW w:w="3674" w:type="dxa"/>
            <w:tcBorders>
              <w:top w:val="single" w:sz="4" w:space="0" w:color="auto"/>
              <w:bottom w:val="single" w:sz="12" w:space="0" w:color="auto"/>
            </w:tcBorders>
            <w:shd w:val="clear" w:color="auto" w:fill="auto"/>
            <w:vAlign w:val="bottom"/>
          </w:tcPr>
          <w:p w14:paraId="15407E76" w14:textId="6D8899BB" w:rsidR="00D005FA" w:rsidRPr="00FC19B1" w:rsidRDefault="00D005FA" w:rsidP="00A60DA7">
            <w:pPr>
              <w:keepNext/>
              <w:suppressAutoHyphens w:val="0"/>
              <w:spacing w:before="80" w:after="80" w:line="200" w:lineRule="exact"/>
              <w:jc w:val="right"/>
              <w:rPr>
                <w:i/>
                <w:sz w:val="16"/>
                <w:lang w:val="fr-FR"/>
              </w:rPr>
            </w:pPr>
            <w:r w:rsidRPr="00FC19B1">
              <w:rPr>
                <w:i/>
                <w:sz w:val="16"/>
                <w:lang w:val="fr-FR"/>
              </w:rPr>
              <w:t>Nombre de cas signalés dans l</w:t>
            </w:r>
            <w:r w:rsidR="0035332C">
              <w:rPr>
                <w:i/>
                <w:sz w:val="16"/>
                <w:lang w:val="fr-FR"/>
              </w:rPr>
              <w:t>’</w:t>
            </w:r>
            <w:r w:rsidRPr="00FC19B1">
              <w:rPr>
                <w:i/>
                <w:sz w:val="16"/>
                <w:lang w:val="fr-FR"/>
              </w:rPr>
              <w:t>État de Palestine</w:t>
            </w:r>
          </w:p>
        </w:tc>
        <w:tc>
          <w:tcPr>
            <w:tcW w:w="1260" w:type="dxa"/>
            <w:tcBorders>
              <w:top w:val="single" w:sz="4" w:space="0" w:color="auto"/>
              <w:bottom w:val="single" w:sz="12" w:space="0" w:color="auto"/>
            </w:tcBorders>
            <w:shd w:val="clear" w:color="auto" w:fill="auto"/>
            <w:vAlign w:val="bottom"/>
          </w:tcPr>
          <w:p w14:paraId="66402AE3" w14:textId="77777777" w:rsidR="00D005FA" w:rsidRPr="00FC19B1" w:rsidRDefault="00D005FA" w:rsidP="00A60DA7">
            <w:pPr>
              <w:keepNext/>
              <w:suppressAutoHyphens w:val="0"/>
              <w:spacing w:before="80" w:after="80" w:line="200" w:lineRule="exact"/>
              <w:jc w:val="right"/>
              <w:rPr>
                <w:i/>
                <w:sz w:val="16"/>
                <w:lang w:val="fr-FR"/>
              </w:rPr>
            </w:pPr>
            <w:r w:rsidRPr="00FC19B1">
              <w:rPr>
                <w:i/>
                <w:sz w:val="16"/>
                <w:lang w:val="fr-FR"/>
              </w:rPr>
              <w:t>Cisjordanie</w:t>
            </w:r>
          </w:p>
        </w:tc>
        <w:tc>
          <w:tcPr>
            <w:tcW w:w="1333" w:type="dxa"/>
            <w:tcBorders>
              <w:top w:val="single" w:sz="4" w:space="0" w:color="auto"/>
              <w:bottom w:val="single" w:sz="12" w:space="0" w:color="auto"/>
            </w:tcBorders>
            <w:shd w:val="clear" w:color="auto" w:fill="auto"/>
            <w:vAlign w:val="bottom"/>
          </w:tcPr>
          <w:p w14:paraId="46BA453E" w14:textId="77777777" w:rsidR="00D005FA" w:rsidRPr="00FC19B1" w:rsidRDefault="00D005FA" w:rsidP="00A60DA7">
            <w:pPr>
              <w:keepNext/>
              <w:suppressAutoHyphens w:val="0"/>
              <w:spacing w:before="80" w:after="80" w:line="200" w:lineRule="exact"/>
              <w:jc w:val="right"/>
              <w:rPr>
                <w:i/>
                <w:sz w:val="16"/>
                <w:lang w:val="fr-FR"/>
              </w:rPr>
            </w:pPr>
            <w:r w:rsidRPr="00FC19B1">
              <w:rPr>
                <w:i/>
                <w:sz w:val="16"/>
                <w:lang w:val="fr-FR"/>
              </w:rPr>
              <w:t>Bande de Gaza</w:t>
            </w:r>
          </w:p>
        </w:tc>
      </w:tr>
      <w:tr w:rsidR="00FC19B1" w:rsidRPr="00FC19B1" w14:paraId="4C543C6A" w14:textId="77777777" w:rsidTr="00FC19B1">
        <w:tc>
          <w:tcPr>
            <w:tcW w:w="1080" w:type="dxa"/>
            <w:tcBorders>
              <w:top w:val="single" w:sz="12" w:space="0" w:color="auto"/>
            </w:tcBorders>
            <w:shd w:val="clear" w:color="auto" w:fill="auto"/>
          </w:tcPr>
          <w:p w14:paraId="459D6C37" w14:textId="77777777" w:rsidR="00D005FA" w:rsidRPr="00FC19B1" w:rsidRDefault="00D005FA" w:rsidP="00A60DA7">
            <w:pPr>
              <w:keepNext/>
              <w:suppressAutoHyphens w:val="0"/>
              <w:spacing w:before="40" w:after="40" w:line="220" w:lineRule="exact"/>
              <w:rPr>
                <w:sz w:val="18"/>
                <w:lang w:val="fr-FR"/>
              </w:rPr>
            </w:pPr>
            <w:r w:rsidRPr="00FC19B1">
              <w:rPr>
                <w:sz w:val="18"/>
                <w:lang w:val="fr-FR"/>
              </w:rPr>
              <w:t>2014</w:t>
            </w:r>
          </w:p>
        </w:tc>
        <w:tc>
          <w:tcPr>
            <w:tcW w:w="3674" w:type="dxa"/>
            <w:tcBorders>
              <w:top w:val="single" w:sz="12" w:space="0" w:color="auto"/>
            </w:tcBorders>
            <w:shd w:val="clear" w:color="auto" w:fill="auto"/>
            <w:vAlign w:val="bottom"/>
          </w:tcPr>
          <w:p w14:paraId="434D413D"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30</w:t>
            </w:r>
          </w:p>
        </w:tc>
        <w:tc>
          <w:tcPr>
            <w:tcW w:w="1260" w:type="dxa"/>
            <w:tcBorders>
              <w:top w:val="single" w:sz="12" w:space="0" w:color="auto"/>
            </w:tcBorders>
            <w:shd w:val="clear" w:color="auto" w:fill="auto"/>
            <w:vAlign w:val="bottom"/>
          </w:tcPr>
          <w:p w14:paraId="05CC910A"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13</w:t>
            </w:r>
          </w:p>
        </w:tc>
        <w:tc>
          <w:tcPr>
            <w:tcW w:w="1333" w:type="dxa"/>
            <w:tcBorders>
              <w:top w:val="single" w:sz="12" w:space="0" w:color="auto"/>
            </w:tcBorders>
            <w:shd w:val="clear" w:color="auto" w:fill="auto"/>
            <w:vAlign w:val="bottom"/>
          </w:tcPr>
          <w:p w14:paraId="13E4D1E0"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17</w:t>
            </w:r>
          </w:p>
        </w:tc>
      </w:tr>
      <w:tr w:rsidR="00FC19B1" w:rsidRPr="00FC19B1" w14:paraId="78690DA1" w14:textId="77777777" w:rsidTr="00FC19B1">
        <w:tc>
          <w:tcPr>
            <w:tcW w:w="1080" w:type="dxa"/>
            <w:shd w:val="clear" w:color="auto" w:fill="auto"/>
          </w:tcPr>
          <w:p w14:paraId="569E97A2" w14:textId="77777777" w:rsidR="00D005FA" w:rsidRPr="00FC19B1" w:rsidRDefault="00D005FA" w:rsidP="00A60DA7">
            <w:pPr>
              <w:keepNext/>
              <w:suppressAutoHyphens w:val="0"/>
              <w:spacing w:before="40" w:after="40" w:line="220" w:lineRule="exact"/>
              <w:rPr>
                <w:sz w:val="18"/>
                <w:lang w:val="fr-FR"/>
              </w:rPr>
            </w:pPr>
            <w:r w:rsidRPr="00FC19B1">
              <w:rPr>
                <w:sz w:val="18"/>
                <w:lang w:val="fr-FR"/>
              </w:rPr>
              <w:t>2015</w:t>
            </w:r>
          </w:p>
        </w:tc>
        <w:tc>
          <w:tcPr>
            <w:tcW w:w="3674" w:type="dxa"/>
            <w:shd w:val="clear" w:color="auto" w:fill="auto"/>
            <w:vAlign w:val="bottom"/>
          </w:tcPr>
          <w:p w14:paraId="1D2BF5A0"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20</w:t>
            </w:r>
          </w:p>
        </w:tc>
        <w:tc>
          <w:tcPr>
            <w:tcW w:w="1260" w:type="dxa"/>
            <w:shd w:val="clear" w:color="auto" w:fill="auto"/>
            <w:vAlign w:val="bottom"/>
          </w:tcPr>
          <w:p w14:paraId="3A7AB173"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5</w:t>
            </w:r>
          </w:p>
        </w:tc>
        <w:tc>
          <w:tcPr>
            <w:tcW w:w="1333" w:type="dxa"/>
            <w:shd w:val="clear" w:color="auto" w:fill="auto"/>
            <w:vAlign w:val="bottom"/>
          </w:tcPr>
          <w:p w14:paraId="0FF656B5"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15</w:t>
            </w:r>
          </w:p>
        </w:tc>
      </w:tr>
      <w:tr w:rsidR="00FC19B1" w:rsidRPr="00FC19B1" w14:paraId="1214BB6A" w14:textId="77777777" w:rsidTr="00FC19B1">
        <w:tc>
          <w:tcPr>
            <w:tcW w:w="1080" w:type="dxa"/>
            <w:shd w:val="clear" w:color="auto" w:fill="auto"/>
          </w:tcPr>
          <w:p w14:paraId="713CDC4F" w14:textId="77777777" w:rsidR="00D005FA" w:rsidRPr="00FC19B1" w:rsidRDefault="00D005FA" w:rsidP="00A60DA7">
            <w:pPr>
              <w:keepNext/>
              <w:suppressAutoHyphens w:val="0"/>
              <w:spacing w:before="40" w:after="40" w:line="220" w:lineRule="exact"/>
              <w:rPr>
                <w:sz w:val="18"/>
                <w:lang w:val="fr-FR"/>
              </w:rPr>
            </w:pPr>
            <w:r w:rsidRPr="00FC19B1">
              <w:rPr>
                <w:sz w:val="18"/>
                <w:lang w:val="fr-FR"/>
              </w:rPr>
              <w:t>2016</w:t>
            </w:r>
          </w:p>
        </w:tc>
        <w:tc>
          <w:tcPr>
            <w:tcW w:w="3674" w:type="dxa"/>
            <w:shd w:val="clear" w:color="auto" w:fill="auto"/>
            <w:vAlign w:val="bottom"/>
          </w:tcPr>
          <w:p w14:paraId="46DCC899"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18</w:t>
            </w:r>
          </w:p>
        </w:tc>
        <w:tc>
          <w:tcPr>
            <w:tcW w:w="1260" w:type="dxa"/>
            <w:shd w:val="clear" w:color="auto" w:fill="auto"/>
            <w:vAlign w:val="bottom"/>
          </w:tcPr>
          <w:p w14:paraId="1F085FD7"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9</w:t>
            </w:r>
          </w:p>
        </w:tc>
        <w:tc>
          <w:tcPr>
            <w:tcW w:w="1333" w:type="dxa"/>
            <w:shd w:val="clear" w:color="auto" w:fill="auto"/>
            <w:vAlign w:val="bottom"/>
          </w:tcPr>
          <w:p w14:paraId="1F516ECF"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9</w:t>
            </w:r>
          </w:p>
        </w:tc>
      </w:tr>
      <w:tr w:rsidR="00FC19B1" w:rsidRPr="00FC19B1" w14:paraId="05472543" w14:textId="77777777" w:rsidTr="00FC19B1">
        <w:tc>
          <w:tcPr>
            <w:tcW w:w="1080" w:type="dxa"/>
            <w:tcBorders>
              <w:bottom w:val="single" w:sz="12" w:space="0" w:color="auto"/>
            </w:tcBorders>
            <w:shd w:val="clear" w:color="auto" w:fill="auto"/>
          </w:tcPr>
          <w:p w14:paraId="40669E89" w14:textId="77777777" w:rsidR="00D005FA" w:rsidRPr="00FC19B1" w:rsidRDefault="00D005FA" w:rsidP="00A60DA7">
            <w:pPr>
              <w:keepNext/>
              <w:suppressAutoHyphens w:val="0"/>
              <w:spacing w:before="40" w:after="40" w:line="220" w:lineRule="exact"/>
              <w:rPr>
                <w:sz w:val="18"/>
                <w:lang w:val="fr-FR"/>
              </w:rPr>
            </w:pPr>
            <w:r w:rsidRPr="00FC19B1">
              <w:rPr>
                <w:sz w:val="18"/>
                <w:lang w:val="fr-FR"/>
              </w:rPr>
              <w:t>2017</w:t>
            </w:r>
          </w:p>
        </w:tc>
        <w:tc>
          <w:tcPr>
            <w:tcW w:w="3674" w:type="dxa"/>
            <w:tcBorders>
              <w:bottom w:val="single" w:sz="12" w:space="0" w:color="auto"/>
            </w:tcBorders>
            <w:shd w:val="clear" w:color="auto" w:fill="auto"/>
            <w:vAlign w:val="bottom"/>
          </w:tcPr>
          <w:p w14:paraId="3BDCBD1F"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8</w:t>
            </w:r>
          </w:p>
        </w:tc>
        <w:tc>
          <w:tcPr>
            <w:tcW w:w="1260" w:type="dxa"/>
            <w:tcBorders>
              <w:bottom w:val="single" w:sz="12" w:space="0" w:color="auto"/>
            </w:tcBorders>
            <w:shd w:val="clear" w:color="auto" w:fill="auto"/>
            <w:vAlign w:val="bottom"/>
          </w:tcPr>
          <w:p w14:paraId="1E500F74"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3</w:t>
            </w:r>
          </w:p>
        </w:tc>
        <w:tc>
          <w:tcPr>
            <w:tcW w:w="1333" w:type="dxa"/>
            <w:tcBorders>
              <w:bottom w:val="single" w:sz="12" w:space="0" w:color="auto"/>
            </w:tcBorders>
            <w:shd w:val="clear" w:color="auto" w:fill="auto"/>
            <w:vAlign w:val="bottom"/>
          </w:tcPr>
          <w:p w14:paraId="006D89AB" w14:textId="77777777" w:rsidR="00D005FA" w:rsidRPr="00FC19B1" w:rsidRDefault="00D005FA" w:rsidP="00A60DA7">
            <w:pPr>
              <w:keepNext/>
              <w:suppressAutoHyphens w:val="0"/>
              <w:spacing w:before="40" w:after="40" w:line="220" w:lineRule="exact"/>
              <w:jc w:val="right"/>
              <w:rPr>
                <w:sz w:val="18"/>
                <w:rtl/>
                <w:lang w:val="fr-FR"/>
              </w:rPr>
            </w:pPr>
            <w:r w:rsidRPr="00FC19B1">
              <w:rPr>
                <w:sz w:val="18"/>
                <w:rtl/>
              </w:rPr>
              <w:t>5</w:t>
            </w:r>
          </w:p>
        </w:tc>
      </w:tr>
    </w:tbl>
    <w:p w14:paraId="156D4167" w14:textId="6F72D4C1" w:rsidR="00D005FA" w:rsidRPr="00310D49" w:rsidRDefault="00D005FA" w:rsidP="00FC19B1">
      <w:pPr>
        <w:pStyle w:val="SingleTxtG"/>
        <w:spacing w:before="120"/>
        <w:rPr>
          <w:lang w:val="fr-FR"/>
        </w:rPr>
      </w:pPr>
      <w:r w:rsidRPr="00310D49">
        <w:rPr>
          <w:lang w:val="fr-FR"/>
        </w:rPr>
        <w:t>136.</w:t>
      </w:r>
      <w:r w:rsidRPr="00310D49">
        <w:rPr>
          <w:lang w:val="fr-FR"/>
        </w:rPr>
        <w:tab/>
        <w:t>De nombreuses mesures ont été prises pour réduire le nombre de cas de mortalité maternelle. Ainsi, un programme de soins destiné aux femmes présentant un haut risque de mortalité à cause de la grossesse ou de l</w:t>
      </w:r>
      <w:r w:rsidR="0035332C">
        <w:rPr>
          <w:lang w:val="fr-FR"/>
        </w:rPr>
        <w:t>’</w:t>
      </w:r>
      <w:r w:rsidRPr="00310D49">
        <w:rPr>
          <w:lang w:val="fr-FR"/>
        </w:rPr>
        <w:t>accouchement est appliqué. Des campagnes ont été organisées pour sensibiliser la société au sujet de la santé maternelle, infantile et procréative. Un manuel d</w:t>
      </w:r>
      <w:r w:rsidR="0035332C">
        <w:rPr>
          <w:lang w:val="fr-FR"/>
        </w:rPr>
        <w:t>’</w:t>
      </w:r>
      <w:r w:rsidRPr="00310D49">
        <w:rPr>
          <w:lang w:val="fr-FR"/>
        </w:rPr>
        <w:t>orientation et de promotion a été élaboré. Les services de soins en cas de g</w:t>
      </w:r>
      <w:r w:rsidR="0057016D">
        <w:rPr>
          <w:lang w:val="fr-FR"/>
        </w:rPr>
        <w:t>r</w:t>
      </w:r>
      <w:r w:rsidRPr="00310D49">
        <w:rPr>
          <w:lang w:val="fr-FR"/>
        </w:rPr>
        <w:t>ossesse à haut risque ont été améliorés dans les centres de soins de santé primaires. U</w:t>
      </w:r>
      <w:r w:rsidR="0057016D">
        <w:rPr>
          <w:lang w:val="fr-FR"/>
        </w:rPr>
        <w:t>n </w:t>
      </w:r>
      <w:r w:rsidRPr="00310D49">
        <w:rPr>
          <w:lang w:val="fr-FR"/>
        </w:rPr>
        <w:t>mécanisme de signalement de la mortalité maternelle dans les institutions des secteurs public et privé et à l</w:t>
      </w:r>
      <w:r w:rsidR="0035332C">
        <w:rPr>
          <w:lang w:val="fr-FR"/>
        </w:rPr>
        <w:t>’</w:t>
      </w:r>
      <w:r w:rsidRPr="00310D49">
        <w:rPr>
          <w:lang w:val="fr-FR"/>
        </w:rPr>
        <w:t>Office de secours et de travaux des Nations Unies pour les réfugiés de Palestine dans le Proche-Orient (UNRWA) a été mis à jour et relié à un système informatisé dans l</w:t>
      </w:r>
      <w:r w:rsidR="0035332C">
        <w:rPr>
          <w:lang w:val="fr-FR"/>
        </w:rPr>
        <w:t>’</w:t>
      </w:r>
      <w:r w:rsidRPr="00310D49">
        <w:rPr>
          <w:lang w:val="fr-FR"/>
        </w:rPr>
        <w:t>objectif d</w:t>
      </w:r>
      <w:r w:rsidR="0035332C">
        <w:rPr>
          <w:lang w:val="fr-FR"/>
        </w:rPr>
        <w:t>’</w:t>
      </w:r>
      <w:r w:rsidRPr="00310D49">
        <w:rPr>
          <w:lang w:val="fr-FR"/>
        </w:rPr>
        <w:t>améliorer la surveillance et l</w:t>
      </w:r>
      <w:r w:rsidR="0035332C">
        <w:rPr>
          <w:lang w:val="fr-FR"/>
        </w:rPr>
        <w:t>’</w:t>
      </w:r>
      <w:r w:rsidRPr="00310D49">
        <w:rPr>
          <w:lang w:val="fr-FR"/>
        </w:rPr>
        <w:t>identification des causes de décès.</w:t>
      </w:r>
    </w:p>
    <w:p w14:paraId="1B72C506" w14:textId="77777777" w:rsidR="00D005FA" w:rsidRPr="00310D49" w:rsidRDefault="00D005FA" w:rsidP="00FC19B1">
      <w:pPr>
        <w:pStyle w:val="H23G"/>
        <w:rPr>
          <w:lang w:val="fr-FR"/>
        </w:rPr>
      </w:pPr>
      <w:r w:rsidRPr="00310D49">
        <w:rPr>
          <w:lang w:val="fr-FR"/>
        </w:rPr>
        <w:tab/>
      </w:r>
      <w:r w:rsidRPr="00310D49">
        <w:rPr>
          <w:lang w:val="fr-FR"/>
        </w:rPr>
        <w:tab/>
        <w:t>Avortement</w:t>
      </w:r>
    </w:p>
    <w:p w14:paraId="1CFD3F05" w14:textId="03178AD2" w:rsidR="00D005FA" w:rsidRPr="00310D49" w:rsidRDefault="00D005FA" w:rsidP="00FC19B1">
      <w:pPr>
        <w:pStyle w:val="SingleTxtG"/>
        <w:spacing w:before="120"/>
        <w:rPr>
          <w:lang w:val="fr-FR"/>
        </w:rPr>
      </w:pPr>
      <w:r w:rsidRPr="00310D49">
        <w:rPr>
          <w:lang w:val="fr-FR"/>
        </w:rPr>
        <w:t>137.</w:t>
      </w:r>
      <w:r w:rsidRPr="00310D49">
        <w:rPr>
          <w:lang w:val="fr-FR"/>
        </w:rPr>
        <w:tab/>
        <w:t>Les lois en vigueur interdisent l</w:t>
      </w:r>
      <w:r w:rsidR="0035332C">
        <w:rPr>
          <w:lang w:val="fr-FR"/>
        </w:rPr>
        <w:t>’</w:t>
      </w:r>
      <w:r w:rsidRPr="00310D49">
        <w:rPr>
          <w:lang w:val="fr-FR"/>
        </w:rPr>
        <w:t>avortement, à l</w:t>
      </w:r>
      <w:r w:rsidR="0035332C">
        <w:rPr>
          <w:lang w:val="fr-FR"/>
        </w:rPr>
        <w:t>’</w:t>
      </w:r>
      <w:r w:rsidRPr="00310D49">
        <w:rPr>
          <w:lang w:val="fr-FR"/>
        </w:rPr>
        <w:t>exception de l</w:t>
      </w:r>
      <w:r w:rsidR="0035332C">
        <w:rPr>
          <w:lang w:val="fr-FR"/>
        </w:rPr>
        <w:t>’</w:t>
      </w:r>
      <w:r w:rsidRPr="00310D49">
        <w:rPr>
          <w:lang w:val="fr-FR"/>
        </w:rPr>
        <w:t>avortement thérapeutique, conformément à l</w:t>
      </w:r>
      <w:r w:rsidR="0035332C">
        <w:rPr>
          <w:lang w:val="fr-FR"/>
        </w:rPr>
        <w:t>’</w:t>
      </w:r>
      <w:r w:rsidRPr="00310D49">
        <w:rPr>
          <w:lang w:val="fr-FR"/>
        </w:rPr>
        <w:t>article 8 (al</w:t>
      </w:r>
      <w:r w:rsidR="0057016D">
        <w:rPr>
          <w:lang w:val="fr-FR"/>
        </w:rPr>
        <w:t>. </w:t>
      </w:r>
      <w:r w:rsidRPr="00310D49">
        <w:rPr>
          <w:lang w:val="fr-FR"/>
        </w:rPr>
        <w:t>1) de la loi n</w:t>
      </w:r>
      <w:r w:rsidR="0057016D" w:rsidRPr="0057016D">
        <w:rPr>
          <w:vertAlign w:val="superscript"/>
          <w:lang w:val="fr-FR"/>
        </w:rPr>
        <w:t>o</w:t>
      </w:r>
      <w:r w:rsidR="0057016D">
        <w:rPr>
          <w:lang w:val="fr-FR"/>
        </w:rPr>
        <w:t> </w:t>
      </w:r>
      <w:r w:rsidRPr="00310D49">
        <w:rPr>
          <w:lang w:val="fr-FR"/>
        </w:rPr>
        <w:t>20 de 2004 sur la santé publique selon lequel « [i]l est interdit de procéder à un avortement sur une femme enceinte par n</w:t>
      </w:r>
      <w:r w:rsidR="0035332C">
        <w:rPr>
          <w:lang w:val="fr-FR"/>
        </w:rPr>
        <w:t>’</w:t>
      </w:r>
      <w:r w:rsidRPr="00310D49">
        <w:rPr>
          <w:lang w:val="fr-FR"/>
        </w:rPr>
        <w:t>importe quel moyen, sauf si cela s</w:t>
      </w:r>
      <w:r w:rsidR="0035332C">
        <w:rPr>
          <w:lang w:val="fr-FR"/>
        </w:rPr>
        <w:t>’</w:t>
      </w:r>
      <w:r w:rsidRPr="00310D49">
        <w:rPr>
          <w:lang w:val="fr-FR"/>
        </w:rPr>
        <w:t>avère nécessaire pour sauver sa vie, sur autorisation de deux médecins spécialistes (dont au moins un gynécologue-obstétricien) et sous réserve que les deux conditions suivantes sont réunies</w:t>
      </w:r>
      <w:r w:rsidR="00B02693">
        <w:rPr>
          <w:lang w:val="fr-FR"/>
        </w:rPr>
        <w:t> </w:t>
      </w:r>
      <w:r w:rsidRPr="00310D49">
        <w:rPr>
          <w:lang w:val="fr-FR"/>
        </w:rPr>
        <w:t>: a)</w:t>
      </w:r>
      <w:r w:rsidR="00B02693">
        <w:rPr>
          <w:lang w:val="fr-FR"/>
        </w:rPr>
        <w:t> </w:t>
      </w:r>
      <w:r w:rsidRPr="00310D49">
        <w:rPr>
          <w:lang w:val="fr-FR"/>
        </w:rPr>
        <w:t>le consentement écrit préalable de la femme enceinte</w:t>
      </w:r>
      <w:r w:rsidR="00B02693">
        <w:rPr>
          <w:lang w:val="fr-FR"/>
        </w:rPr>
        <w:t> </w:t>
      </w:r>
      <w:r w:rsidRPr="00310D49">
        <w:rPr>
          <w:lang w:val="fr-FR"/>
        </w:rPr>
        <w:t>; si celle-ci est incapable d</w:t>
      </w:r>
      <w:r w:rsidR="0035332C">
        <w:rPr>
          <w:lang w:val="fr-FR"/>
        </w:rPr>
        <w:t>’</w:t>
      </w:r>
      <w:r w:rsidRPr="00310D49">
        <w:rPr>
          <w:lang w:val="fr-FR"/>
        </w:rPr>
        <w:t>exprimer son consentement, celui-ci peut être donné par écrit par son mari ou son tuteur</w:t>
      </w:r>
      <w:r w:rsidR="00B02693">
        <w:rPr>
          <w:lang w:val="fr-FR"/>
        </w:rPr>
        <w:t> </w:t>
      </w:r>
      <w:r w:rsidRPr="00310D49">
        <w:rPr>
          <w:lang w:val="fr-FR"/>
        </w:rPr>
        <w:t>; b)</w:t>
      </w:r>
      <w:r w:rsidR="00B02693">
        <w:rPr>
          <w:lang w:val="fr-FR"/>
        </w:rPr>
        <w:t> </w:t>
      </w:r>
      <w:r w:rsidRPr="00310D49">
        <w:rPr>
          <w:lang w:val="fr-FR"/>
        </w:rPr>
        <w:t>l</w:t>
      </w:r>
      <w:r w:rsidR="0035332C">
        <w:rPr>
          <w:lang w:val="fr-FR"/>
        </w:rPr>
        <w:t>’</w:t>
      </w:r>
      <w:r w:rsidRPr="00310D49">
        <w:rPr>
          <w:lang w:val="fr-FR"/>
        </w:rPr>
        <w:t>avortement doit impérativement être pratiqué dans un établissement de santé</w:t>
      </w:r>
      <w:r w:rsidR="00B02693">
        <w:rPr>
          <w:lang w:val="fr-FR"/>
        </w:rPr>
        <w:t> </w:t>
      </w:r>
      <w:r w:rsidRPr="00310D49">
        <w:rPr>
          <w:lang w:val="fr-FR"/>
        </w:rPr>
        <w:t>».</w:t>
      </w:r>
    </w:p>
    <w:p w14:paraId="3A676594" w14:textId="753FCB23" w:rsidR="00D005FA" w:rsidRPr="00310D49" w:rsidRDefault="00D005FA" w:rsidP="00FC19B1">
      <w:pPr>
        <w:pStyle w:val="SingleTxtG"/>
        <w:spacing w:before="120"/>
        <w:rPr>
          <w:lang w:val="fr-FR"/>
        </w:rPr>
      </w:pPr>
      <w:r w:rsidRPr="00310D49">
        <w:rPr>
          <w:lang w:val="fr-FR"/>
        </w:rPr>
        <w:t>138.</w:t>
      </w:r>
      <w:r w:rsidRPr="00310D49">
        <w:rPr>
          <w:lang w:val="fr-FR"/>
        </w:rPr>
        <w:tab/>
        <w:t>Quant à l</w:t>
      </w:r>
      <w:r w:rsidR="0035332C">
        <w:rPr>
          <w:lang w:val="fr-FR"/>
        </w:rPr>
        <w:t>’</w:t>
      </w:r>
      <w:r w:rsidRPr="00310D49">
        <w:rPr>
          <w:lang w:val="fr-FR"/>
        </w:rPr>
        <w:t>avortement suite à une grossesse illicite (viol ou inceste), il est pratiqué de façon restreinte, à l</w:t>
      </w:r>
      <w:r w:rsidR="0035332C">
        <w:rPr>
          <w:lang w:val="fr-FR"/>
        </w:rPr>
        <w:t>’</w:t>
      </w:r>
      <w:r w:rsidRPr="00310D49">
        <w:rPr>
          <w:lang w:val="fr-FR"/>
        </w:rPr>
        <w:t xml:space="preserve">initiative du Bureau du Procureur général, qui obtient une </w:t>
      </w:r>
      <w:r w:rsidRPr="0057016D">
        <w:rPr>
          <w:i/>
          <w:iCs/>
          <w:lang w:val="fr-FR"/>
        </w:rPr>
        <w:t>fatwa</w:t>
      </w:r>
      <w:r w:rsidRPr="00310D49">
        <w:rPr>
          <w:lang w:val="fr-FR"/>
        </w:rPr>
        <w:t xml:space="preserve"> du Bureau du Grand Mufti palestinien pour qu</w:t>
      </w:r>
      <w:r w:rsidR="0035332C">
        <w:rPr>
          <w:lang w:val="fr-FR"/>
        </w:rPr>
        <w:t>’</w:t>
      </w:r>
      <w:r w:rsidRPr="00310D49">
        <w:rPr>
          <w:lang w:val="fr-FR"/>
        </w:rPr>
        <w:t>un avortement soit effectué à la suite d</w:t>
      </w:r>
      <w:r w:rsidR="0035332C">
        <w:rPr>
          <w:lang w:val="fr-FR"/>
        </w:rPr>
        <w:t>’</w:t>
      </w:r>
      <w:r w:rsidRPr="00310D49">
        <w:rPr>
          <w:lang w:val="fr-FR"/>
        </w:rPr>
        <w:t>une grossesse résultant d</w:t>
      </w:r>
      <w:r w:rsidR="0035332C">
        <w:rPr>
          <w:lang w:val="fr-FR"/>
        </w:rPr>
        <w:t>’</w:t>
      </w:r>
      <w:r w:rsidRPr="00310D49">
        <w:rPr>
          <w:lang w:val="fr-FR"/>
        </w:rPr>
        <w:t>un viol ou d</w:t>
      </w:r>
      <w:r w:rsidR="0035332C">
        <w:rPr>
          <w:lang w:val="fr-FR"/>
        </w:rPr>
        <w:t>’</w:t>
      </w:r>
      <w:r w:rsidRPr="00310D49">
        <w:rPr>
          <w:lang w:val="fr-FR"/>
        </w:rPr>
        <w:t>un inceste.</w:t>
      </w:r>
    </w:p>
    <w:p w14:paraId="2BB0B289" w14:textId="3F7EDA36" w:rsidR="00D005FA" w:rsidRPr="00310D49" w:rsidRDefault="00D005FA" w:rsidP="00FC19B1">
      <w:pPr>
        <w:pStyle w:val="SingleTxtG"/>
        <w:spacing w:before="120"/>
        <w:rPr>
          <w:lang w:val="fr-FR"/>
        </w:rPr>
      </w:pPr>
      <w:r w:rsidRPr="00310D49">
        <w:rPr>
          <w:lang w:val="fr-FR"/>
        </w:rPr>
        <w:t>139.</w:t>
      </w:r>
      <w:r w:rsidRPr="00310D49">
        <w:rPr>
          <w:lang w:val="fr-FR"/>
        </w:rPr>
        <w:tab/>
        <w:t>Le Direction générale de la santé et de la promotion de la femme et le Département de la santé communautaire du Ministère de la santé veillent à ce que des services intégrés de santé procréative soient assurés dans toutes les zones, y compris les zones défavorisées. À</w:t>
      </w:r>
      <w:r w:rsidR="0057016D">
        <w:rPr>
          <w:lang w:val="fr-FR"/>
        </w:rPr>
        <w:t> </w:t>
      </w:r>
      <w:r w:rsidRPr="00310D49">
        <w:rPr>
          <w:lang w:val="fr-FR"/>
        </w:rPr>
        <w:t>cet égard, les contraceptifs ont été inclus dans la liste des médicaments essentiels établie par le Ministère, des services de planification familiale accessibles à un prix symbolique ont été introduits dans les centres de soins de santé primaires, le protocole de la planification familiale a été mis à jour suivant les normes de l</w:t>
      </w:r>
      <w:r w:rsidR="0035332C">
        <w:rPr>
          <w:lang w:val="fr-FR"/>
        </w:rPr>
        <w:t>’</w:t>
      </w:r>
      <w:r w:rsidRPr="00310D49">
        <w:rPr>
          <w:lang w:val="fr-FR"/>
        </w:rPr>
        <w:t xml:space="preserve">Organisation mondiale de la Santé et les équipes médicales ont reçu une formation à ce sujet afin de réduire le pourcentage des grossesses non souhaitées. </w:t>
      </w:r>
    </w:p>
    <w:p w14:paraId="34BE0E75" w14:textId="32001439" w:rsidR="00D005FA" w:rsidRPr="00310D49" w:rsidRDefault="00D005FA" w:rsidP="00FC19B1">
      <w:pPr>
        <w:pStyle w:val="H23G"/>
        <w:rPr>
          <w:lang w:val="fr-FR"/>
        </w:rPr>
      </w:pPr>
      <w:r w:rsidRPr="00310D49">
        <w:rPr>
          <w:lang w:val="fr-FR"/>
        </w:rPr>
        <w:lastRenderedPageBreak/>
        <w:tab/>
      </w:r>
      <w:r w:rsidRPr="00310D49">
        <w:rPr>
          <w:lang w:val="fr-FR"/>
        </w:rPr>
        <w:tab/>
        <w:t>Efforts législatifs visant à réduire le nombre de crimes dits «</w:t>
      </w:r>
      <w:r w:rsidR="0057016D">
        <w:rPr>
          <w:lang w:val="fr-FR"/>
        </w:rPr>
        <w:t> </w:t>
      </w:r>
      <w:r w:rsidRPr="00310D49">
        <w:rPr>
          <w:lang w:val="fr-FR"/>
        </w:rPr>
        <w:t>d</w:t>
      </w:r>
      <w:r w:rsidR="0035332C">
        <w:rPr>
          <w:lang w:val="fr-FR"/>
        </w:rPr>
        <w:t>’</w:t>
      </w:r>
      <w:r w:rsidRPr="00310D49">
        <w:rPr>
          <w:lang w:val="fr-FR"/>
        </w:rPr>
        <w:t>honneur</w:t>
      </w:r>
      <w:r w:rsidR="0057016D">
        <w:rPr>
          <w:lang w:val="fr-FR"/>
        </w:rPr>
        <w:t> </w:t>
      </w:r>
      <w:r w:rsidRPr="00310D49">
        <w:rPr>
          <w:lang w:val="fr-FR"/>
        </w:rPr>
        <w:t xml:space="preserve">» </w:t>
      </w:r>
      <w:r w:rsidR="006573C2">
        <w:rPr>
          <w:lang w:val="fr-FR"/>
        </w:rPr>
        <w:br/>
      </w:r>
      <w:r w:rsidRPr="00310D49">
        <w:rPr>
          <w:lang w:val="fr-FR"/>
        </w:rPr>
        <w:t>contre les femmes</w:t>
      </w:r>
    </w:p>
    <w:p w14:paraId="7A3D6C6D" w14:textId="3AE90122" w:rsidR="00D005FA" w:rsidRPr="00310D49" w:rsidRDefault="00D005FA" w:rsidP="00FC19B1">
      <w:pPr>
        <w:pStyle w:val="SingleTxtG"/>
        <w:spacing w:before="120"/>
        <w:rPr>
          <w:lang w:val="fr-FR"/>
        </w:rPr>
      </w:pPr>
      <w:r w:rsidRPr="00310D49">
        <w:rPr>
          <w:lang w:val="fr-FR"/>
        </w:rPr>
        <w:t>140.</w:t>
      </w:r>
      <w:r w:rsidRPr="00310D49">
        <w:rPr>
          <w:lang w:val="fr-FR"/>
        </w:rPr>
        <w:tab/>
        <w:t>La législation en vigueur (article 340 du Code pénal de 1960 et article 18 du Code pénal du Mandat britannique) accordait dans le passé des excuses qui permettaient à un homme qui commettait contre une femme un des crimes dits «</w:t>
      </w:r>
      <w:r w:rsidR="0057016D">
        <w:rPr>
          <w:lang w:val="fr-FR"/>
        </w:rPr>
        <w:t> </w:t>
      </w:r>
      <w:r w:rsidRPr="00310D49">
        <w:rPr>
          <w:lang w:val="fr-FR"/>
        </w:rPr>
        <w:t>d</w:t>
      </w:r>
      <w:r w:rsidR="0035332C">
        <w:rPr>
          <w:lang w:val="fr-FR"/>
        </w:rPr>
        <w:t>’</w:t>
      </w:r>
      <w:r w:rsidRPr="00310D49">
        <w:rPr>
          <w:lang w:val="fr-FR"/>
        </w:rPr>
        <w:t>honneur</w:t>
      </w:r>
      <w:r w:rsidR="0057016D">
        <w:rPr>
          <w:lang w:val="fr-FR"/>
        </w:rPr>
        <w:t> </w:t>
      </w:r>
      <w:r w:rsidRPr="00310D49">
        <w:rPr>
          <w:lang w:val="fr-FR"/>
        </w:rPr>
        <w:t>» d</w:t>
      </w:r>
      <w:r w:rsidR="0035332C">
        <w:rPr>
          <w:lang w:val="fr-FR"/>
        </w:rPr>
        <w:t>’</w:t>
      </w:r>
      <w:r w:rsidRPr="00310D49">
        <w:rPr>
          <w:lang w:val="fr-FR"/>
        </w:rPr>
        <w:t>éviter la peine prévue ou de bénéficier de circonstances atténuantes rendant cette peine moins lourde. Ces</w:t>
      </w:r>
      <w:r w:rsidR="008A287A">
        <w:rPr>
          <w:lang w:val="fr-FR"/>
        </w:rPr>
        <w:t> </w:t>
      </w:r>
      <w:r w:rsidRPr="00310D49">
        <w:rPr>
          <w:lang w:val="fr-FR"/>
        </w:rPr>
        <w:t>excuses, qui permettaient d</w:t>
      </w:r>
      <w:r w:rsidR="0035332C">
        <w:rPr>
          <w:lang w:val="fr-FR"/>
        </w:rPr>
        <w:t>’</w:t>
      </w:r>
      <w:r w:rsidRPr="00310D49">
        <w:rPr>
          <w:lang w:val="fr-FR"/>
        </w:rPr>
        <w:t>échapper aux peines ou de les atténuer et qui sont prévues dans les articles susmentionnés relatifs aux crimes d</w:t>
      </w:r>
      <w:r w:rsidR="0035332C">
        <w:rPr>
          <w:lang w:val="fr-FR"/>
        </w:rPr>
        <w:t>’</w:t>
      </w:r>
      <w:r w:rsidRPr="00310D49">
        <w:rPr>
          <w:lang w:val="fr-FR"/>
        </w:rPr>
        <w:t>honneur, ont été supprimées avec la promulgation en mai 2011 du décret-loi n</w:t>
      </w:r>
      <w:r w:rsidR="008A287A" w:rsidRPr="008A287A">
        <w:rPr>
          <w:vertAlign w:val="superscript"/>
          <w:lang w:val="fr-FR"/>
        </w:rPr>
        <w:t>o</w:t>
      </w:r>
      <w:r w:rsidR="008A287A">
        <w:rPr>
          <w:lang w:val="fr-FR"/>
        </w:rPr>
        <w:t> </w:t>
      </w:r>
      <w:r w:rsidRPr="00310D49">
        <w:rPr>
          <w:lang w:val="fr-FR"/>
        </w:rPr>
        <w:t>7.</w:t>
      </w:r>
    </w:p>
    <w:p w14:paraId="21758E35" w14:textId="7EAA6007" w:rsidR="00D005FA" w:rsidRPr="00310D49" w:rsidRDefault="00D005FA" w:rsidP="006573C2">
      <w:pPr>
        <w:pStyle w:val="SingleTxtG"/>
        <w:spacing w:before="120"/>
        <w:rPr>
          <w:lang w:val="fr-FR"/>
        </w:rPr>
      </w:pPr>
      <w:r w:rsidRPr="00310D49">
        <w:rPr>
          <w:lang w:val="fr-FR"/>
        </w:rPr>
        <w:t>141.</w:t>
      </w:r>
      <w:r w:rsidRPr="00310D49">
        <w:rPr>
          <w:lang w:val="fr-FR"/>
        </w:rPr>
        <w:tab/>
        <w:t>Le décret-loi n</w:t>
      </w:r>
      <w:r w:rsidR="008A287A" w:rsidRPr="008A287A">
        <w:rPr>
          <w:vertAlign w:val="superscript"/>
          <w:lang w:val="fr-FR"/>
        </w:rPr>
        <w:t>o</w:t>
      </w:r>
      <w:r w:rsidR="008A287A">
        <w:rPr>
          <w:lang w:val="fr-FR"/>
        </w:rPr>
        <w:t> </w:t>
      </w:r>
      <w:r w:rsidRPr="00310D49">
        <w:rPr>
          <w:lang w:val="fr-FR"/>
        </w:rPr>
        <w:t>10 de 2014 est venu modifier l</w:t>
      </w:r>
      <w:r w:rsidR="0035332C">
        <w:rPr>
          <w:lang w:val="fr-FR"/>
        </w:rPr>
        <w:t>’</w:t>
      </w:r>
      <w:r w:rsidRPr="00310D49">
        <w:rPr>
          <w:lang w:val="fr-FR"/>
        </w:rPr>
        <w:t>article 98 du Code pénal de 1960 en prévoyant expressément que les auteurs de «</w:t>
      </w:r>
      <w:r w:rsidR="008A287A">
        <w:rPr>
          <w:lang w:val="fr-FR"/>
        </w:rPr>
        <w:t> </w:t>
      </w:r>
      <w:r w:rsidRPr="00310D49">
        <w:rPr>
          <w:lang w:val="fr-FR"/>
        </w:rPr>
        <w:t>crimes d</w:t>
      </w:r>
      <w:r w:rsidR="0035332C">
        <w:rPr>
          <w:lang w:val="fr-FR"/>
        </w:rPr>
        <w:t>’</w:t>
      </w:r>
      <w:r w:rsidRPr="00310D49">
        <w:rPr>
          <w:lang w:val="fr-FR"/>
        </w:rPr>
        <w:t>honneur</w:t>
      </w:r>
      <w:r w:rsidR="008A287A">
        <w:rPr>
          <w:lang w:val="fr-FR"/>
        </w:rPr>
        <w:t> </w:t>
      </w:r>
      <w:r w:rsidRPr="00310D49">
        <w:rPr>
          <w:lang w:val="fr-FR"/>
        </w:rPr>
        <w:t>» ne peuvent bénéficier des circonstances atténuantes qui y sont énoncées, tandis que le décret-loi n</w:t>
      </w:r>
      <w:r w:rsidR="008A287A" w:rsidRPr="008A287A">
        <w:rPr>
          <w:vertAlign w:val="superscript"/>
          <w:lang w:val="fr-FR"/>
        </w:rPr>
        <w:t>o</w:t>
      </w:r>
      <w:r w:rsidR="008A287A">
        <w:rPr>
          <w:lang w:val="fr-FR"/>
        </w:rPr>
        <w:t> </w:t>
      </w:r>
      <w:r w:rsidRPr="00310D49">
        <w:rPr>
          <w:lang w:val="fr-FR"/>
        </w:rPr>
        <w:t>5 de 2018 a abrogé l</w:t>
      </w:r>
      <w:r w:rsidR="0035332C">
        <w:rPr>
          <w:lang w:val="fr-FR"/>
        </w:rPr>
        <w:t>’</w:t>
      </w:r>
      <w:r w:rsidRPr="00310D49">
        <w:rPr>
          <w:lang w:val="fr-FR"/>
        </w:rPr>
        <w:t>article 99 dudit Code pénal relatif aux circonstances atténuantes applicables aux infractions pénales commises à l</w:t>
      </w:r>
      <w:r w:rsidR="0035332C">
        <w:rPr>
          <w:lang w:val="fr-FR"/>
        </w:rPr>
        <w:t>’</w:t>
      </w:r>
      <w:r w:rsidRPr="00310D49">
        <w:rPr>
          <w:lang w:val="fr-FR"/>
        </w:rPr>
        <w:t>encontre de femmes et d</w:t>
      </w:r>
      <w:r w:rsidR="0035332C">
        <w:rPr>
          <w:lang w:val="fr-FR"/>
        </w:rPr>
        <w:t>’</w:t>
      </w:r>
      <w:r w:rsidRPr="00310D49">
        <w:rPr>
          <w:lang w:val="fr-FR"/>
        </w:rPr>
        <w:t>enfants.</w:t>
      </w:r>
    </w:p>
    <w:p w14:paraId="35DD3D6E" w14:textId="06E58999" w:rsidR="00D005FA" w:rsidRPr="00310D49" w:rsidRDefault="00D005FA" w:rsidP="006573C2">
      <w:pPr>
        <w:pStyle w:val="H1G"/>
        <w:rPr>
          <w:lang w:val="fr-FR"/>
        </w:rPr>
      </w:pPr>
      <w:r w:rsidRPr="00310D49">
        <w:rPr>
          <w:lang w:val="fr-FR"/>
        </w:rPr>
        <w:tab/>
      </w:r>
      <w:r w:rsidRPr="00310D49">
        <w:rPr>
          <w:lang w:val="fr-FR"/>
        </w:rPr>
        <w:tab/>
        <w:t>Article 7</w:t>
      </w:r>
      <w:bookmarkStart w:id="7" w:name="_Toc80715496"/>
      <w:bookmarkEnd w:id="7"/>
    </w:p>
    <w:p w14:paraId="038A64F4" w14:textId="77777777" w:rsidR="00D005FA" w:rsidRPr="00310D49" w:rsidRDefault="00D005FA" w:rsidP="006573C2">
      <w:pPr>
        <w:pStyle w:val="H23G"/>
        <w:rPr>
          <w:lang w:val="fr-FR"/>
        </w:rPr>
      </w:pPr>
      <w:r w:rsidRPr="00310D49">
        <w:rPr>
          <w:lang w:val="fr-FR"/>
        </w:rPr>
        <w:tab/>
      </w:r>
      <w:r w:rsidRPr="00310D49">
        <w:rPr>
          <w:lang w:val="fr-FR"/>
        </w:rPr>
        <w:tab/>
        <w:t>Interdiction de la torture dans la législation en vigueur</w:t>
      </w:r>
    </w:p>
    <w:p w14:paraId="6F4F9CC2" w14:textId="2A67157B" w:rsidR="00D005FA" w:rsidRPr="00310D49" w:rsidRDefault="00D005FA" w:rsidP="006573C2">
      <w:pPr>
        <w:pStyle w:val="SingleTxtG"/>
        <w:spacing w:before="120"/>
        <w:rPr>
          <w:rFonts w:eastAsia="Simplified Arabic"/>
          <w:lang w:val="fr-FR"/>
        </w:rPr>
      </w:pPr>
      <w:r w:rsidRPr="00310D49">
        <w:rPr>
          <w:lang w:val="fr-FR"/>
        </w:rPr>
        <w:t>142.</w:t>
      </w:r>
      <w:r w:rsidRPr="00310D49">
        <w:rPr>
          <w:lang w:val="fr-FR"/>
        </w:rPr>
        <w:tab/>
        <w:t>La Loi fondamentale, telle que modifiée, interdit la torture et les traitements cruels en vertu de l</w:t>
      </w:r>
      <w:r w:rsidR="0035332C">
        <w:rPr>
          <w:lang w:val="fr-FR"/>
        </w:rPr>
        <w:t>’</w:t>
      </w:r>
      <w:r w:rsidRPr="00310D49">
        <w:rPr>
          <w:lang w:val="fr-FR"/>
        </w:rPr>
        <w:t>article</w:t>
      </w:r>
      <w:r w:rsidR="008A287A">
        <w:rPr>
          <w:lang w:val="fr-FR"/>
        </w:rPr>
        <w:t> </w:t>
      </w:r>
      <w:r w:rsidRPr="00310D49">
        <w:rPr>
          <w:lang w:val="fr-FR"/>
        </w:rPr>
        <w:t>13 selon lequel «</w:t>
      </w:r>
      <w:r w:rsidR="008A287A">
        <w:rPr>
          <w:lang w:val="fr-FR"/>
        </w:rPr>
        <w:t> </w:t>
      </w:r>
      <w:r w:rsidRPr="00310D49">
        <w:rPr>
          <w:lang w:val="fr-FR"/>
        </w:rPr>
        <w:t>1. Nul ne doit être soumis à la violence ni à la torture. Les</w:t>
      </w:r>
      <w:r w:rsidR="008A287A">
        <w:rPr>
          <w:lang w:val="fr-FR"/>
        </w:rPr>
        <w:t> </w:t>
      </w:r>
      <w:r w:rsidRPr="00310D49">
        <w:rPr>
          <w:lang w:val="fr-FR"/>
        </w:rPr>
        <w:t>personnes accusées ou privées de liberté doivent recevoir un traitement convenable. 2.</w:t>
      </w:r>
      <w:r w:rsidR="008A287A">
        <w:rPr>
          <w:lang w:val="fr-FR"/>
        </w:rPr>
        <w:t> </w:t>
      </w:r>
      <w:r w:rsidRPr="00310D49">
        <w:rPr>
          <w:lang w:val="fr-FR"/>
        </w:rPr>
        <w:t>Toute déclaration ou tout aveu obtenu en violation des dispositions de l</w:t>
      </w:r>
      <w:r w:rsidR="0035332C">
        <w:rPr>
          <w:lang w:val="fr-FR"/>
        </w:rPr>
        <w:t>’</w:t>
      </w:r>
      <w:r w:rsidRPr="00310D49">
        <w:rPr>
          <w:lang w:val="fr-FR"/>
        </w:rPr>
        <w:t>alinéa premier du présent article est considéré nul et non avenu</w:t>
      </w:r>
      <w:r w:rsidR="008A287A">
        <w:rPr>
          <w:lang w:val="fr-FR"/>
        </w:rPr>
        <w:t> </w:t>
      </w:r>
      <w:r w:rsidRPr="00310D49">
        <w:rPr>
          <w:lang w:val="fr-FR"/>
        </w:rPr>
        <w:t xml:space="preserve">». </w:t>
      </w:r>
    </w:p>
    <w:p w14:paraId="5C3DC08D" w14:textId="6979BB00" w:rsidR="00D005FA" w:rsidRPr="00310D49" w:rsidRDefault="00D005FA" w:rsidP="006573C2">
      <w:pPr>
        <w:pStyle w:val="SingleTxtG"/>
        <w:spacing w:before="120"/>
        <w:rPr>
          <w:rFonts w:eastAsia="Simplified Arabic"/>
          <w:lang w:val="fr-FR"/>
        </w:rPr>
      </w:pPr>
      <w:r w:rsidRPr="00310D49">
        <w:rPr>
          <w:lang w:val="fr-FR"/>
        </w:rPr>
        <w:t>143.</w:t>
      </w:r>
      <w:r w:rsidRPr="00310D49">
        <w:rPr>
          <w:lang w:val="fr-FR"/>
        </w:rPr>
        <w:tab/>
        <w:t>L</w:t>
      </w:r>
      <w:r w:rsidR="0035332C">
        <w:rPr>
          <w:lang w:val="fr-FR"/>
        </w:rPr>
        <w:t>’</w:t>
      </w:r>
      <w:r w:rsidRPr="00310D49">
        <w:rPr>
          <w:lang w:val="fr-FR"/>
        </w:rPr>
        <w:t>article 208 du Code pénal (loi n</w:t>
      </w:r>
      <w:r w:rsidR="008A287A" w:rsidRPr="008A287A">
        <w:rPr>
          <w:vertAlign w:val="superscript"/>
          <w:lang w:val="fr-FR"/>
        </w:rPr>
        <w:t>o</w:t>
      </w:r>
      <w:r w:rsidR="008A287A">
        <w:rPr>
          <w:lang w:val="fr-FR"/>
        </w:rPr>
        <w:t> </w:t>
      </w:r>
      <w:r w:rsidRPr="00310D49">
        <w:rPr>
          <w:lang w:val="fr-FR"/>
        </w:rPr>
        <w:t>16 de 1960) relatif à l</w:t>
      </w:r>
      <w:r w:rsidR="0035332C">
        <w:rPr>
          <w:lang w:val="fr-FR"/>
        </w:rPr>
        <w:t>’</w:t>
      </w:r>
      <w:r w:rsidRPr="00310D49">
        <w:rPr>
          <w:lang w:val="fr-FR"/>
        </w:rPr>
        <w:t>extorsion d</w:t>
      </w:r>
      <w:r w:rsidR="0035332C">
        <w:rPr>
          <w:lang w:val="fr-FR"/>
        </w:rPr>
        <w:t>’</w:t>
      </w:r>
      <w:r w:rsidRPr="00310D49">
        <w:rPr>
          <w:lang w:val="fr-FR"/>
        </w:rPr>
        <w:t>aveux et d</w:t>
      </w:r>
      <w:r w:rsidR="0035332C">
        <w:rPr>
          <w:lang w:val="fr-FR"/>
        </w:rPr>
        <w:t>’</w:t>
      </w:r>
      <w:r w:rsidRPr="00310D49">
        <w:rPr>
          <w:lang w:val="fr-FR"/>
        </w:rPr>
        <w:t>informations dispose que quiconque inflige à une personne des actes de torture interdits par la loi en vue d</w:t>
      </w:r>
      <w:r w:rsidR="0035332C">
        <w:rPr>
          <w:lang w:val="fr-FR"/>
        </w:rPr>
        <w:t>’</w:t>
      </w:r>
      <w:r w:rsidRPr="00310D49">
        <w:rPr>
          <w:lang w:val="fr-FR"/>
        </w:rPr>
        <w:t>obtenir l</w:t>
      </w:r>
      <w:r w:rsidR="0035332C">
        <w:rPr>
          <w:lang w:val="fr-FR"/>
        </w:rPr>
        <w:t>’</w:t>
      </w:r>
      <w:r w:rsidRPr="00310D49">
        <w:rPr>
          <w:lang w:val="fr-FR"/>
        </w:rPr>
        <w:t>aveu d</w:t>
      </w:r>
      <w:r w:rsidR="0035332C">
        <w:rPr>
          <w:lang w:val="fr-FR"/>
        </w:rPr>
        <w:t>’</w:t>
      </w:r>
      <w:r w:rsidRPr="00310D49">
        <w:rPr>
          <w:lang w:val="fr-FR"/>
        </w:rPr>
        <w:t>un crime ou des informations s</w:t>
      </w:r>
      <w:r w:rsidR="0035332C">
        <w:rPr>
          <w:lang w:val="fr-FR"/>
        </w:rPr>
        <w:t>’</w:t>
      </w:r>
      <w:r w:rsidRPr="00310D49">
        <w:rPr>
          <w:lang w:val="fr-FR"/>
        </w:rPr>
        <w:t>y rapportant est passible d</w:t>
      </w:r>
      <w:r w:rsidR="0035332C">
        <w:rPr>
          <w:lang w:val="fr-FR"/>
        </w:rPr>
        <w:t>’</w:t>
      </w:r>
      <w:r w:rsidRPr="00310D49">
        <w:rPr>
          <w:lang w:val="fr-FR"/>
        </w:rPr>
        <w:t>une peine d</w:t>
      </w:r>
      <w:r w:rsidR="0035332C">
        <w:rPr>
          <w:lang w:val="fr-FR"/>
        </w:rPr>
        <w:t>’</w:t>
      </w:r>
      <w:r w:rsidRPr="00310D49">
        <w:rPr>
          <w:lang w:val="fr-FR"/>
        </w:rPr>
        <w:t>emprisonnement de trois mois à trois ans, pour autant que ces actes ne tombent pas sous le coup d</w:t>
      </w:r>
      <w:r w:rsidR="0035332C">
        <w:rPr>
          <w:lang w:val="fr-FR"/>
        </w:rPr>
        <w:t>’</w:t>
      </w:r>
      <w:r w:rsidRPr="00310D49">
        <w:rPr>
          <w:lang w:val="fr-FR"/>
        </w:rPr>
        <w:t xml:space="preserve">une disposition prévoyant une peine plus sévère. </w:t>
      </w:r>
    </w:p>
    <w:p w14:paraId="4810C7A6" w14:textId="40963173" w:rsidR="00D005FA" w:rsidRPr="00310D49" w:rsidRDefault="00D005FA" w:rsidP="006573C2">
      <w:pPr>
        <w:pStyle w:val="SingleTxtG"/>
        <w:spacing w:before="120"/>
        <w:rPr>
          <w:rFonts w:eastAsia="Simplified Arabic"/>
          <w:spacing w:val="-4"/>
          <w:lang w:val="fr-FR"/>
        </w:rPr>
      </w:pPr>
      <w:r w:rsidRPr="00310D49">
        <w:rPr>
          <w:lang w:val="fr-FR"/>
        </w:rPr>
        <w:t>144.</w:t>
      </w:r>
      <w:r w:rsidRPr="00310D49">
        <w:rPr>
          <w:lang w:val="fr-FR"/>
        </w:rPr>
        <w:tab/>
        <w:t xml:space="preserve">En outre, le Code pénal du mandat britannique traite des actes de violence commis par un fonctionnaire </w:t>
      </w:r>
      <w:r w:rsidRPr="00AA2283">
        <w:rPr>
          <w:lang w:val="fr-FR"/>
        </w:rPr>
        <w:t>en son article 108, qui</w:t>
      </w:r>
      <w:r w:rsidRPr="00310D49">
        <w:rPr>
          <w:lang w:val="fr-FR"/>
        </w:rPr>
        <w:t xml:space="preserve"> se lit comme suit</w:t>
      </w:r>
      <w:r w:rsidR="00B02693">
        <w:rPr>
          <w:lang w:val="fr-FR"/>
        </w:rPr>
        <w:t> </w:t>
      </w:r>
      <w:r w:rsidRPr="00310D49">
        <w:rPr>
          <w:lang w:val="fr-FR"/>
        </w:rPr>
        <w:t>: «</w:t>
      </w:r>
      <w:r w:rsidR="00B02693">
        <w:rPr>
          <w:lang w:val="fr-FR"/>
        </w:rPr>
        <w:t> </w:t>
      </w:r>
      <w:r w:rsidRPr="00310D49">
        <w:rPr>
          <w:lang w:val="fr-FR"/>
        </w:rPr>
        <w:t>Est réputé avoir commis un délit tout fonctionnaire qui soumet ou ordonne de soumettre toute personne à la force ou à la violence afin de lui extorquer ou d</w:t>
      </w:r>
      <w:r w:rsidR="0035332C">
        <w:rPr>
          <w:lang w:val="fr-FR"/>
        </w:rPr>
        <w:t>’</w:t>
      </w:r>
      <w:r w:rsidRPr="00310D49">
        <w:rPr>
          <w:lang w:val="fr-FR"/>
        </w:rPr>
        <w:t>extorquer d</w:t>
      </w:r>
      <w:r w:rsidR="0035332C">
        <w:rPr>
          <w:lang w:val="fr-FR"/>
        </w:rPr>
        <w:t>’</w:t>
      </w:r>
      <w:r w:rsidRPr="00310D49">
        <w:rPr>
          <w:lang w:val="fr-FR"/>
        </w:rPr>
        <w:t>un proche l</w:t>
      </w:r>
      <w:r w:rsidR="0035332C">
        <w:rPr>
          <w:lang w:val="fr-FR"/>
        </w:rPr>
        <w:t>’</w:t>
      </w:r>
      <w:r w:rsidRPr="00310D49">
        <w:rPr>
          <w:lang w:val="fr-FR"/>
        </w:rPr>
        <w:t>aveu d</w:t>
      </w:r>
      <w:r w:rsidR="0035332C">
        <w:rPr>
          <w:lang w:val="fr-FR"/>
        </w:rPr>
        <w:t>’</w:t>
      </w:r>
      <w:r w:rsidRPr="00310D49">
        <w:rPr>
          <w:lang w:val="fr-FR"/>
        </w:rPr>
        <w:t>une infraction ou des informations s</w:t>
      </w:r>
      <w:r w:rsidR="0035332C">
        <w:rPr>
          <w:lang w:val="fr-FR"/>
        </w:rPr>
        <w:t>’</w:t>
      </w:r>
      <w:r w:rsidRPr="00310D49">
        <w:rPr>
          <w:lang w:val="fr-FR"/>
        </w:rPr>
        <w:t>y rapportant</w:t>
      </w:r>
      <w:r w:rsidR="008A287A">
        <w:rPr>
          <w:lang w:val="fr-FR"/>
        </w:rPr>
        <w:t>.</w:t>
      </w:r>
      <w:r w:rsidR="00B02693">
        <w:rPr>
          <w:lang w:val="fr-FR"/>
        </w:rPr>
        <w:t> </w:t>
      </w:r>
      <w:r w:rsidRPr="00310D49">
        <w:rPr>
          <w:lang w:val="fr-FR"/>
        </w:rPr>
        <w:t>».</w:t>
      </w:r>
    </w:p>
    <w:p w14:paraId="46C810C2" w14:textId="35930D24" w:rsidR="00D005FA" w:rsidRPr="00310D49" w:rsidRDefault="00D005FA" w:rsidP="006573C2">
      <w:pPr>
        <w:pStyle w:val="SingleTxtG"/>
        <w:spacing w:before="120"/>
        <w:rPr>
          <w:rFonts w:eastAsia="Simplified Arabic"/>
          <w:spacing w:val="-4"/>
          <w:lang w:val="fr-FR"/>
        </w:rPr>
      </w:pPr>
      <w:r w:rsidRPr="00310D49">
        <w:rPr>
          <w:lang w:val="fr-FR"/>
        </w:rPr>
        <w:t>145.</w:t>
      </w:r>
      <w:r w:rsidRPr="00310D49">
        <w:rPr>
          <w:lang w:val="fr-FR"/>
        </w:rPr>
        <w:tab/>
        <w:t>L</w:t>
      </w:r>
      <w:r w:rsidR="0035332C">
        <w:rPr>
          <w:lang w:val="fr-FR"/>
        </w:rPr>
        <w:t>’</w:t>
      </w:r>
      <w:r w:rsidRPr="00310D49">
        <w:rPr>
          <w:lang w:val="fr-FR"/>
        </w:rPr>
        <w:t>article 280 du Code pénal révolutionnaire de 1979 dispose que «</w:t>
      </w:r>
      <w:r w:rsidR="008A287A">
        <w:rPr>
          <w:lang w:val="fr-FR"/>
        </w:rPr>
        <w:t> </w:t>
      </w:r>
      <w:r w:rsidRPr="00310D49">
        <w:rPr>
          <w:lang w:val="fr-FR"/>
        </w:rPr>
        <w:t>[q]uiconque inflige à autrui des traitements violents et cruels interdits par la loi ou ordonne de le faire, dans le but d</w:t>
      </w:r>
      <w:r w:rsidR="0035332C">
        <w:rPr>
          <w:lang w:val="fr-FR"/>
        </w:rPr>
        <w:t>’</w:t>
      </w:r>
      <w:r w:rsidRPr="00310D49">
        <w:rPr>
          <w:lang w:val="fr-FR"/>
        </w:rPr>
        <w:t>obtenir des aveux ou des informations sur la commission d</w:t>
      </w:r>
      <w:r w:rsidR="0035332C">
        <w:rPr>
          <w:lang w:val="fr-FR"/>
        </w:rPr>
        <w:t>’</w:t>
      </w:r>
      <w:r w:rsidRPr="00310D49">
        <w:rPr>
          <w:lang w:val="fr-FR"/>
        </w:rPr>
        <w:t>une infraction est passible d</w:t>
      </w:r>
      <w:r w:rsidR="0035332C">
        <w:rPr>
          <w:lang w:val="fr-FR"/>
        </w:rPr>
        <w:t>’</w:t>
      </w:r>
      <w:r w:rsidRPr="00310D49">
        <w:rPr>
          <w:lang w:val="fr-FR"/>
        </w:rPr>
        <w:t>une peine d</w:t>
      </w:r>
      <w:r w:rsidR="0035332C">
        <w:rPr>
          <w:lang w:val="fr-FR"/>
        </w:rPr>
        <w:t>’</w:t>
      </w:r>
      <w:r w:rsidRPr="00310D49">
        <w:rPr>
          <w:lang w:val="fr-FR"/>
        </w:rPr>
        <w:t>emprisonnement de trois mois au minimum. Si ces actes de violence occasionnent à la victime une maladie ou des blessures, la peine d</w:t>
      </w:r>
      <w:r w:rsidR="0035332C">
        <w:rPr>
          <w:lang w:val="fr-FR"/>
        </w:rPr>
        <w:t>’</w:t>
      </w:r>
      <w:r w:rsidRPr="00310D49">
        <w:rPr>
          <w:lang w:val="fr-FR"/>
        </w:rPr>
        <w:t xml:space="preserve">emprisonnement est portée à six mois au minimum. Si les actes de torture </w:t>
      </w:r>
      <w:r w:rsidRPr="00EE5364">
        <w:rPr>
          <w:lang w:val="fr-FR"/>
        </w:rPr>
        <w:t>provoquent</w:t>
      </w:r>
      <w:r w:rsidRPr="00310D49">
        <w:rPr>
          <w:lang w:val="fr-FR"/>
        </w:rPr>
        <w:t xml:space="preserve"> la mort de la victime, la peine ne pourra être inférieure à cinq ans de travaux forcés</w:t>
      </w:r>
      <w:r w:rsidR="008A287A">
        <w:rPr>
          <w:lang w:val="fr-FR"/>
        </w:rPr>
        <w:t>. </w:t>
      </w:r>
      <w:r w:rsidRPr="00310D49">
        <w:rPr>
          <w:lang w:val="fr-FR"/>
        </w:rPr>
        <w:t>».</w:t>
      </w:r>
    </w:p>
    <w:p w14:paraId="0437BA12" w14:textId="77A0203C" w:rsidR="00D005FA" w:rsidRPr="00310D49" w:rsidRDefault="00D005FA" w:rsidP="006573C2">
      <w:pPr>
        <w:pStyle w:val="SingleTxtG"/>
        <w:spacing w:before="120"/>
        <w:rPr>
          <w:rFonts w:eastAsia="Simplified Arabic"/>
          <w:lang w:val="fr-FR"/>
        </w:rPr>
      </w:pPr>
      <w:r w:rsidRPr="00310D49">
        <w:rPr>
          <w:lang w:val="fr-FR"/>
        </w:rPr>
        <w:t>146.</w:t>
      </w:r>
      <w:r w:rsidRPr="00310D49">
        <w:rPr>
          <w:lang w:val="fr-FR"/>
        </w:rPr>
        <w:tab/>
        <w:t>Conformément à l</w:t>
      </w:r>
      <w:r w:rsidR="0035332C">
        <w:rPr>
          <w:lang w:val="fr-FR"/>
        </w:rPr>
        <w:t>’</w:t>
      </w:r>
      <w:r w:rsidRPr="00310D49">
        <w:rPr>
          <w:lang w:val="fr-FR"/>
        </w:rPr>
        <w:t>article</w:t>
      </w:r>
      <w:r w:rsidR="008A287A">
        <w:rPr>
          <w:lang w:val="fr-FR"/>
        </w:rPr>
        <w:t> </w:t>
      </w:r>
      <w:r w:rsidRPr="00310D49">
        <w:rPr>
          <w:lang w:val="fr-FR"/>
        </w:rPr>
        <w:t xml:space="preserve">37 de la loi sur les établissements pénitentiaires, il est interdit de soumettre un détenu ou un prisonnier à la torture ou à des traitements cruels et de tenir des propos obscènes ou méprisants à son égard. </w:t>
      </w:r>
    </w:p>
    <w:p w14:paraId="68EA04FA" w14:textId="36AD5F10" w:rsidR="00D005FA" w:rsidRPr="00310D49" w:rsidRDefault="00D005FA" w:rsidP="006573C2">
      <w:pPr>
        <w:pStyle w:val="SingleTxtG"/>
        <w:spacing w:before="120"/>
        <w:rPr>
          <w:rFonts w:eastAsia="Simplified Arabic"/>
          <w:lang w:val="fr-FR"/>
        </w:rPr>
      </w:pPr>
      <w:r w:rsidRPr="00310D49">
        <w:rPr>
          <w:lang w:val="fr-FR"/>
        </w:rPr>
        <w:t>147.</w:t>
      </w:r>
      <w:r w:rsidRPr="00310D49">
        <w:rPr>
          <w:lang w:val="fr-FR"/>
        </w:rPr>
        <w:tab/>
        <w:t>L</w:t>
      </w:r>
      <w:r w:rsidR="0035332C">
        <w:rPr>
          <w:lang w:val="fr-FR"/>
        </w:rPr>
        <w:t>’</w:t>
      </w:r>
      <w:r w:rsidRPr="00310D49">
        <w:rPr>
          <w:lang w:val="fr-FR"/>
        </w:rPr>
        <w:t>article 7 du décret-loi n</w:t>
      </w:r>
      <w:r w:rsidR="008A287A" w:rsidRPr="008A287A">
        <w:rPr>
          <w:vertAlign w:val="superscript"/>
          <w:lang w:val="fr-FR"/>
        </w:rPr>
        <w:t>o</w:t>
      </w:r>
      <w:r w:rsidR="008A287A">
        <w:rPr>
          <w:lang w:val="fr-FR"/>
        </w:rPr>
        <w:t> </w:t>
      </w:r>
      <w:r w:rsidRPr="00310D49">
        <w:rPr>
          <w:lang w:val="fr-FR"/>
        </w:rPr>
        <w:t>4 de 2016 sur la protection des mineurs interdit de soumettre un mineur à la torture physique ou morale, ou à des peines ou traitements cruels, dégradants ou portant atteinte à la dignité humaine.</w:t>
      </w:r>
    </w:p>
    <w:p w14:paraId="74CDCCC0" w14:textId="2122FB46" w:rsidR="00D005FA" w:rsidRPr="00310D49" w:rsidRDefault="00D005FA" w:rsidP="006573C2">
      <w:pPr>
        <w:pStyle w:val="SingleTxtG"/>
        <w:spacing w:before="120"/>
        <w:rPr>
          <w:rFonts w:eastAsia="Simplified Arabic"/>
          <w:spacing w:val="-4"/>
          <w:lang w:val="fr-FR"/>
        </w:rPr>
      </w:pPr>
      <w:r w:rsidRPr="00310D49">
        <w:rPr>
          <w:lang w:val="fr-FR"/>
        </w:rPr>
        <w:t>148.</w:t>
      </w:r>
      <w:r w:rsidRPr="00310D49">
        <w:rPr>
          <w:lang w:val="fr-FR"/>
        </w:rPr>
        <w:tab/>
        <w:t>Le terme «</w:t>
      </w:r>
      <w:r w:rsidR="008A287A">
        <w:rPr>
          <w:lang w:val="fr-FR"/>
        </w:rPr>
        <w:t> </w:t>
      </w:r>
      <w:r w:rsidRPr="00310D49">
        <w:rPr>
          <w:lang w:val="fr-FR"/>
        </w:rPr>
        <w:t>torture</w:t>
      </w:r>
      <w:r w:rsidR="008A287A">
        <w:rPr>
          <w:lang w:val="fr-FR"/>
        </w:rPr>
        <w:t> </w:t>
      </w:r>
      <w:r w:rsidRPr="00310D49">
        <w:rPr>
          <w:lang w:val="fr-FR"/>
        </w:rPr>
        <w:t>» tel que défini dans le projet de Code pénal palestinien est conforme aux dispositions de la Convention contre la torture et désigne «</w:t>
      </w:r>
      <w:r w:rsidR="008A287A">
        <w:rPr>
          <w:lang w:val="fr-FR"/>
        </w:rPr>
        <w:t> </w:t>
      </w:r>
      <w:r w:rsidRPr="00310D49">
        <w:rPr>
          <w:lang w:val="fr-FR"/>
        </w:rPr>
        <w:t>[t]out acte par lequel une douleur ou des souffrances aiguës, physiques ou mentales, sont intentionnellement infligées à une personne aux fins notamment d</w:t>
      </w:r>
      <w:r w:rsidR="0035332C">
        <w:rPr>
          <w:lang w:val="fr-FR"/>
        </w:rPr>
        <w:t>’</w:t>
      </w:r>
      <w:r w:rsidRPr="00310D49">
        <w:rPr>
          <w:lang w:val="fr-FR"/>
        </w:rPr>
        <w:t>obtenir d</w:t>
      </w:r>
      <w:r w:rsidR="0035332C">
        <w:rPr>
          <w:lang w:val="fr-FR"/>
        </w:rPr>
        <w:t>’</w:t>
      </w:r>
      <w:r w:rsidRPr="00310D49">
        <w:rPr>
          <w:lang w:val="fr-FR"/>
        </w:rPr>
        <w:t>elle ou d</w:t>
      </w:r>
      <w:r w:rsidR="0035332C">
        <w:rPr>
          <w:lang w:val="fr-FR"/>
        </w:rPr>
        <w:t>’</w:t>
      </w:r>
      <w:r w:rsidRPr="00310D49">
        <w:rPr>
          <w:lang w:val="fr-FR"/>
        </w:rPr>
        <w:t>une tierce personne des renseignements ou des aveux, de la punir d</w:t>
      </w:r>
      <w:r w:rsidR="0035332C">
        <w:rPr>
          <w:lang w:val="fr-FR"/>
        </w:rPr>
        <w:t>’</w:t>
      </w:r>
      <w:r w:rsidRPr="00310D49">
        <w:rPr>
          <w:lang w:val="fr-FR"/>
        </w:rPr>
        <w:t>un acte qu</w:t>
      </w:r>
      <w:r w:rsidR="0035332C">
        <w:rPr>
          <w:lang w:val="fr-FR"/>
        </w:rPr>
        <w:t>’</w:t>
      </w:r>
      <w:r w:rsidRPr="00310D49">
        <w:rPr>
          <w:lang w:val="fr-FR"/>
        </w:rPr>
        <w:t>elle ou une tierce personne a commis ou est soupçonnée d</w:t>
      </w:r>
      <w:r w:rsidR="0035332C">
        <w:rPr>
          <w:lang w:val="fr-FR"/>
        </w:rPr>
        <w:t>’</w:t>
      </w:r>
      <w:r w:rsidRPr="00310D49">
        <w:rPr>
          <w:lang w:val="fr-FR"/>
        </w:rPr>
        <w:t>avoir commis, de l</w:t>
      </w:r>
      <w:r w:rsidR="0035332C">
        <w:rPr>
          <w:lang w:val="fr-FR"/>
        </w:rPr>
        <w:t>’</w:t>
      </w:r>
      <w:r w:rsidRPr="00310D49">
        <w:rPr>
          <w:lang w:val="fr-FR"/>
        </w:rPr>
        <w:t>intimider ou de faire pression sur elle ou d</w:t>
      </w:r>
      <w:r w:rsidR="0035332C">
        <w:rPr>
          <w:lang w:val="fr-FR"/>
        </w:rPr>
        <w:t>’</w:t>
      </w:r>
      <w:r w:rsidRPr="00310D49">
        <w:rPr>
          <w:lang w:val="fr-FR"/>
        </w:rPr>
        <w:t>intimider ou de faire pression sur une tierce personne, ou pour tout autre motif fondé sur une forme de discrimination quelle qu</w:t>
      </w:r>
      <w:r w:rsidR="0035332C">
        <w:rPr>
          <w:lang w:val="fr-FR"/>
        </w:rPr>
        <w:t>’</w:t>
      </w:r>
      <w:r w:rsidRPr="00310D49">
        <w:rPr>
          <w:lang w:val="fr-FR"/>
        </w:rPr>
        <w:t>elle soit, lorsqu</w:t>
      </w:r>
      <w:r w:rsidR="0035332C">
        <w:rPr>
          <w:lang w:val="fr-FR"/>
        </w:rPr>
        <w:t>’</w:t>
      </w:r>
      <w:r w:rsidRPr="00310D49">
        <w:rPr>
          <w:lang w:val="fr-FR"/>
        </w:rPr>
        <w:t xml:space="preserve">une telle douleur ou de telles souffrances sont </w:t>
      </w:r>
      <w:r w:rsidRPr="00310D49">
        <w:rPr>
          <w:lang w:val="fr-FR"/>
        </w:rPr>
        <w:lastRenderedPageBreak/>
        <w:t>infligées par un agent de la fonction publique ou toute autre personne agissant à titre officiel ou à son instigation ou avec son consentement exprès ou tacite. Ce terme ne s</w:t>
      </w:r>
      <w:r w:rsidR="0035332C">
        <w:rPr>
          <w:lang w:val="fr-FR"/>
        </w:rPr>
        <w:t>’</w:t>
      </w:r>
      <w:r w:rsidRPr="00310D49">
        <w:rPr>
          <w:lang w:val="fr-FR"/>
        </w:rPr>
        <w:t>étend pas à la douleur ou aux souffrances résultant uniquement de sanctions légitimes, inhérentes à ces sanctions ou occasionnées par elles</w:t>
      </w:r>
      <w:r w:rsidR="008A287A">
        <w:rPr>
          <w:lang w:val="fr-FR"/>
        </w:rPr>
        <w:t>. </w:t>
      </w:r>
      <w:r w:rsidRPr="00310D49">
        <w:rPr>
          <w:lang w:val="fr-FR"/>
        </w:rPr>
        <w:t xml:space="preserve">». </w:t>
      </w:r>
    </w:p>
    <w:p w14:paraId="1634CB1A" w14:textId="018A8D0F" w:rsidR="00D005FA" w:rsidRPr="00310D49" w:rsidRDefault="00D005FA" w:rsidP="006573C2">
      <w:pPr>
        <w:pStyle w:val="H23G"/>
        <w:rPr>
          <w:lang w:val="fr-FR"/>
        </w:rPr>
      </w:pPr>
      <w:r w:rsidRPr="00310D49">
        <w:rPr>
          <w:lang w:val="fr-FR"/>
        </w:rPr>
        <w:tab/>
      </w:r>
      <w:r w:rsidRPr="00310D49">
        <w:rPr>
          <w:lang w:val="fr-FR"/>
        </w:rPr>
        <w:tab/>
        <w:t>Obligation faite aux responsables de l</w:t>
      </w:r>
      <w:r w:rsidR="0035332C">
        <w:rPr>
          <w:lang w:val="fr-FR"/>
        </w:rPr>
        <w:t>’</w:t>
      </w:r>
      <w:r w:rsidRPr="00310D49">
        <w:rPr>
          <w:lang w:val="fr-FR"/>
        </w:rPr>
        <w:t>application des lois de répondre de leurs actes</w:t>
      </w:r>
    </w:p>
    <w:p w14:paraId="026066E9" w14:textId="31B99076" w:rsidR="00D005FA" w:rsidRPr="00310D49" w:rsidRDefault="00D005FA" w:rsidP="006573C2">
      <w:pPr>
        <w:pStyle w:val="SingleTxtG"/>
        <w:spacing w:before="120"/>
        <w:rPr>
          <w:lang w:val="fr-FR"/>
        </w:rPr>
      </w:pPr>
      <w:r w:rsidRPr="00310D49">
        <w:rPr>
          <w:lang w:val="fr-FR"/>
        </w:rPr>
        <w:t>149.</w:t>
      </w:r>
      <w:r w:rsidRPr="00310D49">
        <w:rPr>
          <w:lang w:val="fr-FR"/>
        </w:rPr>
        <w:tab/>
        <w:t>En ce qui concerne les sanctions disciplinaires, la loi sur les forces de sécurité dispose que tout officier qui contrevient aux devoirs inhérents à sa fonction est passible de sanction. L</w:t>
      </w:r>
      <w:r w:rsidR="0035332C">
        <w:rPr>
          <w:lang w:val="fr-FR"/>
        </w:rPr>
        <w:t>’</w:t>
      </w:r>
      <w:r w:rsidRPr="00310D49">
        <w:rPr>
          <w:lang w:val="fr-FR"/>
        </w:rPr>
        <w:t>arrêté du Ministre de l</w:t>
      </w:r>
      <w:r w:rsidR="0035332C">
        <w:rPr>
          <w:lang w:val="fr-FR"/>
        </w:rPr>
        <w:t>’</w:t>
      </w:r>
      <w:r w:rsidRPr="00310D49">
        <w:rPr>
          <w:lang w:val="fr-FR"/>
        </w:rPr>
        <w:t>intérieur n</w:t>
      </w:r>
      <w:r w:rsidR="008A287A" w:rsidRPr="008A287A">
        <w:rPr>
          <w:vertAlign w:val="superscript"/>
          <w:lang w:val="fr-FR"/>
        </w:rPr>
        <w:t>o</w:t>
      </w:r>
      <w:r w:rsidR="008A287A">
        <w:rPr>
          <w:lang w:val="fr-FR"/>
        </w:rPr>
        <w:t> </w:t>
      </w:r>
      <w:r w:rsidRPr="00310D49">
        <w:rPr>
          <w:lang w:val="fr-FR"/>
        </w:rPr>
        <w:t>192 de 2009 souligne la nécessité de faire en sorte que les responsables de l</w:t>
      </w:r>
      <w:r w:rsidR="0035332C">
        <w:rPr>
          <w:lang w:val="fr-FR"/>
        </w:rPr>
        <w:t>’</w:t>
      </w:r>
      <w:r w:rsidRPr="00310D49">
        <w:rPr>
          <w:lang w:val="fr-FR"/>
        </w:rPr>
        <w:t>application des lois responsables soient amenés à répondre de leur manquement aux règles de discipline. En conséquence, le Guide des infractions disciplinaires à l</w:t>
      </w:r>
      <w:r w:rsidR="0035332C">
        <w:rPr>
          <w:lang w:val="fr-FR"/>
        </w:rPr>
        <w:t>’</w:t>
      </w:r>
      <w:r w:rsidRPr="00310D49">
        <w:rPr>
          <w:lang w:val="fr-FR"/>
        </w:rPr>
        <w:t>intention des membres des forces de sécurité palestiniennes considère que les dommages causés à quiconque du fait d</w:t>
      </w:r>
      <w:r w:rsidR="0035332C">
        <w:rPr>
          <w:lang w:val="fr-FR"/>
        </w:rPr>
        <w:t>’</w:t>
      </w:r>
      <w:r w:rsidRPr="00310D49">
        <w:rPr>
          <w:lang w:val="fr-FR"/>
        </w:rPr>
        <w:t>actes de torture ou de mauvais traitements sont constitutifs d</w:t>
      </w:r>
      <w:r w:rsidR="0035332C">
        <w:rPr>
          <w:lang w:val="fr-FR"/>
        </w:rPr>
        <w:t>’</w:t>
      </w:r>
      <w:r w:rsidRPr="00310D49">
        <w:rPr>
          <w:lang w:val="fr-FR"/>
        </w:rPr>
        <w:t>une faute de premier degré passible d</w:t>
      </w:r>
      <w:r w:rsidR="0035332C">
        <w:rPr>
          <w:lang w:val="fr-FR"/>
        </w:rPr>
        <w:t>’</w:t>
      </w:r>
      <w:r w:rsidRPr="00310D49">
        <w:rPr>
          <w:lang w:val="fr-FR"/>
        </w:rPr>
        <w:t>une sanction administrative pouvant aller jusqu</w:t>
      </w:r>
      <w:r w:rsidR="0035332C">
        <w:rPr>
          <w:lang w:val="fr-FR"/>
        </w:rPr>
        <w:t>’</w:t>
      </w:r>
      <w:r w:rsidRPr="00310D49">
        <w:rPr>
          <w:lang w:val="fr-FR"/>
        </w:rPr>
        <w:t>au licenciement. Le Procureur général, en sa qualité de superviseur du travail des officiers de police judiciaire, a pleine compétence pour prendre les mesures disciplinaires appropriées.</w:t>
      </w:r>
      <w:bookmarkStart w:id="8" w:name="A13854_21"/>
      <w:bookmarkStart w:id="9" w:name="A13854_22"/>
      <w:bookmarkEnd w:id="8"/>
      <w:bookmarkEnd w:id="9"/>
    </w:p>
    <w:p w14:paraId="4758B08A" w14:textId="09584724" w:rsidR="00D005FA" w:rsidRPr="00310D49" w:rsidRDefault="00D005FA" w:rsidP="006573C2">
      <w:pPr>
        <w:pStyle w:val="SingleTxtG"/>
        <w:spacing w:before="120"/>
        <w:rPr>
          <w:lang w:val="fr-FR"/>
        </w:rPr>
      </w:pPr>
      <w:r w:rsidRPr="00310D49">
        <w:rPr>
          <w:lang w:val="fr-FR"/>
        </w:rPr>
        <w:t>150.</w:t>
      </w:r>
      <w:r w:rsidRPr="00310D49">
        <w:rPr>
          <w:lang w:val="fr-FR"/>
        </w:rPr>
        <w:tab/>
        <w:t>En ce qui concerne les sanctions pénales, le Ministère public et le Ministère public militaire sont chargés de recueillir les éléments de preuve, d</w:t>
      </w:r>
      <w:r w:rsidR="0035332C">
        <w:rPr>
          <w:lang w:val="fr-FR"/>
        </w:rPr>
        <w:t>’</w:t>
      </w:r>
      <w:r w:rsidRPr="00310D49">
        <w:rPr>
          <w:lang w:val="fr-FR"/>
        </w:rPr>
        <w:t>enquêter, de dresser l</w:t>
      </w:r>
      <w:r w:rsidR="0035332C">
        <w:rPr>
          <w:lang w:val="fr-FR"/>
        </w:rPr>
        <w:t>’</w:t>
      </w:r>
      <w:r w:rsidRPr="00310D49">
        <w:rPr>
          <w:lang w:val="fr-FR"/>
        </w:rPr>
        <w:t>acte d</w:t>
      </w:r>
      <w:r w:rsidR="0035332C">
        <w:rPr>
          <w:lang w:val="fr-FR"/>
        </w:rPr>
        <w:t>’</w:t>
      </w:r>
      <w:r w:rsidRPr="00310D49">
        <w:rPr>
          <w:lang w:val="fr-FR"/>
        </w:rPr>
        <w:t>accusation et de défendre l</w:t>
      </w:r>
      <w:r w:rsidR="0035332C">
        <w:rPr>
          <w:lang w:val="fr-FR"/>
        </w:rPr>
        <w:t>’</w:t>
      </w:r>
      <w:r w:rsidRPr="00310D49">
        <w:rPr>
          <w:lang w:val="fr-FR"/>
        </w:rPr>
        <w:t>accusation dans le cadre de l</w:t>
      </w:r>
      <w:r w:rsidR="0035332C">
        <w:rPr>
          <w:lang w:val="fr-FR"/>
        </w:rPr>
        <w:t>’</w:t>
      </w:r>
      <w:r w:rsidRPr="00310D49">
        <w:rPr>
          <w:lang w:val="fr-FR"/>
        </w:rPr>
        <w:t>exercice de l</w:t>
      </w:r>
      <w:r w:rsidR="0035332C">
        <w:rPr>
          <w:lang w:val="fr-FR"/>
        </w:rPr>
        <w:t>’</w:t>
      </w:r>
      <w:r w:rsidRPr="00310D49">
        <w:rPr>
          <w:lang w:val="fr-FR"/>
        </w:rPr>
        <w:t>action publique, conformément aux lois susmentionnées relatives à la torture et aux mauvais traitements.</w:t>
      </w:r>
    </w:p>
    <w:p w14:paraId="30798B4F" w14:textId="7EDD62A2" w:rsidR="00D005FA" w:rsidRPr="00310D49" w:rsidRDefault="00D005FA" w:rsidP="006573C2">
      <w:pPr>
        <w:pStyle w:val="SingleTxtG"/>
        <w:spacing w:before="120"/>
        <w:rPr>
          <w:lang w:val="fr-FR"/>
        </w:rPr>
      </w:pPr>
      <w:r w:rsidRPr="00310D49">
        <w:rPr>
          <w:lang w:val="fr-FR"/>
        </w:rPr>
        <w:t>151.</w:t>
      </w:r>
      <w:r w:rsidRPr="00310D49">
        <w:rPr>
          <w:lang w:val="fr-FR"/>
        </w:rPr>
        <w:tab/>
        <w:t>En ce qui concerne les sanctions civiles, les tribunaux civils examinent les affaires d</w:t>
      </w:r>
      <w:r w:rsidR="0035332C">
        <w:rPr>
          <w:lang w:val="fr-FR"/>
        </w:rPr>
        <w:t>’</w:t>
      </w:r>
      <w:r w:rsidRPr="00310D49">
        <w:rPr>
          <w:lang w:val="fr-FR"/>
        </w:rPr>
        <w:t>indemnisation conformément aux principes et règles généraux énoncés dans le Code de procédure civile (loi n</w:t>
      </w:r>
      <w:r w:rsidR="002547A5" w:rsidRPr="002547A5">
        <w:rPr>
          <w:vertAlign w:val="superscript"/>
          <w:lang w:val="fr-FR"/>
        </w:rPr>
        <w:t>o</w:t>
      </w:r>
      <w:r w:rsidR="002547A5">
        <w:rPr>
          <w:lang w:val="fr-FR"/>
        </w:rPr>
        <w:t> </w:t>
      </w:r>
      <w:r w:rsidRPr="00310D49">
        <w:rPr>
          <w:lang w:val="fr-FR"/>
        </w:rPr>
        <w:t>36 de 1944) et le demandeur à l</w:t>
      </w:r>
      <w:r w:rsidR="0035332C">
        <w:rPr>
          <w:lang w:val="fr-FR"/>
        </w:rPr>
        <w:t>’</w:t>
      </w:r>
      <w:r w:rsidRPr="00310D49">
        <w:rPr>
          <w:lang w:val="fr-FR"/>
        </w:rPr>
        <w:t>action civile a le droit de se constituer partie civile à la procédure pénale pour que les deux affaires, civile et pénale, soient examinées ensemble devant le tribunal pénal.</w:t>
      </w:r>
    </w:p>
    <w:p w14:paraId="41E212C4" w14:textId="77777777" w:rsidR="00D005FA" w:rsidRPr="00310D49" w:rsidRDefault="00D005FA" w:rsidP="006573C2">
      <w:pPr>
        <w:pStyle w:val="H23G"/>
        <w:rPr>
          <w:lang w:val="fr-FR"/>
        </w:rPr>
      </w:pPr>
      <w:r w:rsidRPr="00310D49">
        <w:rPr>
          <w:lang w:val="fr-FR"/>
        </w:rPr>
        <w:tab/>
      </w:r>
      <w:r w:rsidRPr="00310D49">
        <w:rPr>
          <w:lang w:val="fr-FR"/>
        </w:rPr>
        <w:tab/>
        <w:t>Irrecevabilité des aveux obtenus par la torture</w:t>
      </w:r>
    </w:p>
    <w:p w14:paraId="18F6C478" w14:textId="380D9433" w:rsidR="00D005FA" w:rsidRPr="00310D49" w:rsidRDefault="00D005FA" w:rsidP="006573C2">
      <w:pPr>
        <w:pStyle w:val="SingleTxtG"/>
        <w:spacing w:before="120"/>
        <w:rPr>
          <w:lang w:val="fr-FR"/>
        </w:rPr>
      </w:pPr>
      <w:r w:rsidRPr="00310D49">
        <w:rPr>
          <w:lang w:val="fr-FR"/>
        </w:rPr>
        <w:t>152.</w:t>
      </w:r>
      <w:r w:rsidRPr="00310D49">
        <w:rPr>
          <w:lang w:val="fr-FR"/>
        </w:rPr>
        <w:tab/>
        <w:t>L</w:t>
      </w:r>
      <w:r w:rsidR="0035332C">
        <w:rPr>
          <w:lang w:val="fr-FR"/>
        </w:rPr>
        <w:t>’</w:t>
      </w:r>
      <w:r w:rsidRPr="00310D49">
        <w:rPr>
          <w:lang w:val="fr-FR"/>
        </w:rPr>
        <w:t>article</w:t>
      </w:r>
      <w:r w:rsidR="002547A5">
        <w:rPr>
          <w:lang w:val="fr-FR"/>
        </w:rPr>
        <w:t> </w:t>
      </w:r>
      <w:r w:rsidRPr="00310D49">
        <w:rPr>
          <w:lang w:val="fr-FR"/>
        </w:rPr>
        <w:t>13 de la Loi fondamentale, telle que modifiée, prévoit que toute déclaration ou tout aveu obtenu par la contrainte ou la torture est considéré nul et non avenu, tandis que l</w:t>
      </w:r>
      <w:r w:rsidR="0035332C">
        <w:rPr>
          <w:lang w:val="fr-FR"/>
        </w:rPr>
        <w:t>’</w:t>
      </w:r>
      <w:r w:rsidRPr="00310D49">
        <w:rPr>
          <w:lang w:val="fr-FR"/>
        </w:rPr>
        <w:t>article</w:t>
      </w:r>
      <w:r w:rsidR="002547A5">
        <w:rPr>
          <w:lang w:val="fr-FR"/>
        </w:rPr>
        <w:t> </w:t>
      </w:r>
      <w:r w:rsidRPr="00310D49">
        <w:rPr>
          <w:lang w:val="fr-FR"/>
        </w:rPr>
        <w:t>214 du Code de procédure pénale dispose que, pour être recevable, l</w:t>
      </w:r>
      <w:r w:rsidR="0035332C">
        <w:rPr>
          <w:lang w:val="fr-FR"/>
        </w:rPr>
        <w:t>’</w:t>
      </w:r>
      <w:r w:rsidRPr="00310D49">
        <w:rPr>
          <w:lang w:val="fr-FR"/>
        </w:rPr>
        <w:t>aveu doit remplir les conditions suivantes</w:t>
      </w:r>
      <w:r w:rsidR="00B02693">
        <w:rPr>
          <w:lang w:val="fr-FR"/>
        </w:rPr>
        <w:t> </w:t>
      </w:r>
      <w:r w:rsidRPr="00310D49">
        <w:rPr>
          <w:lang w:val="fr-FR"/>
        </w:rPr>
        <w:t>: il doit être fait volontairement et en toute liberté, sans pression ou contrainte physique ou morale, ni promesse ou menace</w:t>
      </w:r>
      <w:r w:rsidR="00B02693">
        <w:rPr>
          <w:lang w:val="fr-FR"/>
        </w:rPr>
        <w:t> </w:t>
      </w:r>
      <w:r w:rsidRPr="00310D49">
        <w:rPr>
          <w:lang w:val="fr-FR"/>
        </w:rPr>
        <w:t>; il doit correspondre aux circonstances de l</w:t>
      </w:r>
      <w:r w:rsidR="0035332C">
        <w:rPr>
          <w:lang w:val="fr-FR"/>
        </w:rPr>
        <w:t>’</w:t>
      </w:r>
      <w:r w:rsidRPr="00310D49">
        <w:rPr>
          <w:lang w:val="fr-FR"/>
        </w:rPr>
        <w:t>incident</w:t>
      </w:r>
      <w:r w:rsidR="00B02693">
        <w:rPr>
          <w:lang w:val="fr-FR"/>
        </w:rPr>
        <w:t> </w:t>
      </w:r>
      <w:r w:rsidRPr="00310D49">
        <w:rPr>
          <w:lang w:val="fr-FR"/>
        </w:rPr>
        <w:t>; et il doit s</w:t>
      </w:r>
      <w:r w:rsidR="0035332C">
        <w:rPr>
          <w:lang w:val="fr-FR"/>
        </w:rPr>
        <w:t>’</w:t>
      </w:r>
      <w:r w:rsidRPr="00310D49">
        <w:rPr>
          <w:lang w:val="fr-FR"/>
        </w:rPr>
        <w:t>agir d</w:t>
      </w:r>
      <w:r w:rsidR="0035332C">
        <w:rPr>
          <w:lang w:val="fr-FR"/>
        </w:rPr>
        <w:t>’</w:t>
      </w:r>
      <w:r w:rsidRPr="00310D49">
        <w:rPr>
          <w:lang w:val="fr-FR"/>
        </w:rPr>
        <w:t>une reconnaissance explicite et probante par l</w:t>
      </w:r>
      <w:r w:rsidR="0035332C">
        <w:rPr>
          <w:lang w:val="fr-FR"/>
        </w:rPr>
        <w:t>’</w:t>
      </w:r>
      <w:r w:rsidRPr="00310D49">
        <w:rPr>
          <w:lang w:val="fr-FR"/>
        </w:rPr>
        <w:t>accusé qu</w:t>
      </w:r>
      <w:r w:rsidR="0035332C">
        <w:rPr>
          <w:lang w:val="fr-FR"/>
        </w:rPr>
        <w:t>’</w:t>
      </w:r>
      <w:r w:rsidRPr="00310D49">
        <w:rPr>
          <w:lang w:val="fr-FR"/>
        </w:rPr>
        <w:t>il a commis l</w:t>
      </w:r>
      <w:r w:rsidR="0035332C">
        <w:rPr>
          <w:lang w:val="fr-FR"/>
        </w:rPr>
        <w:t>’</w:t>
      </w:r>
      <w:r w:rsidRPr="00310D49">
        <w:rPr>
          <w:lang w:val="fr-FR"/>
        </w:rPr>
        <w:t>infraction.</w:t>
      </w:r>
    </w:p>
    <w:p w14:paraId="4DDBEC36" w14:textId="77777777" w:rsidR="00D005FA" w:rsidRPr="00310D49" w:rsidRDefault="00D005FA" w:rsidP="006573C2">
      <w:pPr>
        <w:pStyle w:val="H23G"/>
        <w:rPr>
          <w:lang w:val="fr-FR"/>
        </w:rPr>
      </w:pPr>
      <w:r w:rsidRPr="00310D49">
        <w:rPr>
          <w:lang w:val="fr-FR"/>
        </w:rPr>
        <w:tab/>
      </w:r>
      <w:r w:rsidRPr="00310D49">
        <w:rPr>
          <w:lang w:val="fr-FR"/>
        </w:rPr>
        <w:tab/>
        <w:t>Mécanismes de contrôle et de plainte</w:t>
      </w:r>
    </w:p>
    <w:p w14:paraId="0901AB70" w14:textId="24F0DB13" w:rsidR="00D005FA" w:rsidRPr="00310D49" w:rsidRDefault="00D005FA" w:rsidP="006573C2">
      <w:pPr>
        <w:pStyle w:val="SingleTxtG"/>
        <w:spacing w:before="120"/>
        <w:rPr>
          <w:spacing w:val="-2"/>
          <w:lang w:val="fr-FR"/>
        </w:rPr>
      </w:pPr>
      <w:r w:rsidRPr="00310D49">
        <w:rPr>
          <w:lang w:val="fr-FR"/>
        </w:rPr>
        <w:t>153.</w:t>
      </w:r>
      <w:r w:rsidRPr="00310D49">
        <w:rPr>
          <w:lang w:val="fr-FR"/>
        </w:rPr>
        <w:tab/>
        <w:t>S</w:t>
      </w:r>
      <w:r w:rsidR="0035332C">
        <w:rPr>
          <w:lang w:val="fr-FR"/>
        </w:rPr>
        <w:t>’</w:t>
      </w:r>
      <w:r w:rsidRPr="00310D49">
        <w:rPr>
          <w:lang w:val="fr-FR"/>
        </w:rPr>
        <w:t>agissant des mécanismes de contrôle, l</w:t>
      </w:r>
      <w:r w:rsidR="0035332C">
        <w:rPr>
          <w:lang w:val="fr-FR"/>
        </w:rPr>
        <w:t>’</w:t>
      </w:r>
      <w:r w:rsidRPr="00310D49">
        <w:rPr>
          <w:lang w:val="fr-FR"/>
        </w:rPr>
        <w:t>article 128 du Code de procédure pénale fait obligation à quiconque sait qu</w:t>
      </w:r>
      <w:r w:rsidR="0035332C">
        <w:rPr>
          <w:lang w:val="fr-FR"/>
        </w:rPr>
        <w:t>’</w:t>
      </w:r>
      <w:r w:rsidRPr="00310D49">
        <w:rPr>
          <w:lang w:val="fr-FR"/>
        </w:rPr>
        <w:t>une personne est détenue illégalement de le signaler. En outre, l</w:t>
      </w:r>
      <w:r w:rsidR="0035332C">
        <w:rPr>
          <w:lang w:val="fr-FR"/>
        </w:rPr>
        <w:t>’</w:t>
      </w:r>
      <w:r w:rsidRPr="00310D49">
        <w:rPr>
          <w:lang w:val="fr-FR"/>
        </w:rPr>
        <w:t>article</w:t>
      </w:r>
      <w:r w:rsidR="002547A5">
        <w:rPr>
          <w:lang w:val="fr-FR"/>
        </w:rPr>
        <w:t> </w:t>
      </w:r>
      <w:r w:rsidRPr="00310D49">
        <w:rPr>
          <w:lang w:val="fr-FR"/>
        </w:rPr>
        <w:t>6 de la loi sur les établissements pénitentiaires prévoit que nul ne peut être placé en détention ou remis en liberté sans un mandat judiciaire. À cet effet, les articles 10, 11 et 12 de ladite loi confèrent aux Ministres de la justice et de l</w:t>
      </w:r>
      <w:r w:rsidR="0035332C">
        <w:rPr>
          <w:lang w:val="fr-FR"/>
        </w:rPr>
        <w:t>’</w:t>
      </w:r>
      <w:r w:rsidRPr="00310D49">
        <w:rPr>
          <w:lang w:val="fr-FR"/>
        </w:rPr>
        <w:t>intérieur ou à leurs délégués, aux gouverneurs, au procureur général et aux procureurs, aux juges de la Cour suprême et aux tribunaux de district le pouvoir d</w:t>
      </w:r>
      <w:r w:rsidR="0035332C">
        <w:rPr>
          <w:lang w:val="fr-FR"/>
        </w:rPr>
        <w:t>’</w:t>
      </w:r>
      <w:r w:rsidRPr="00310D49">
        <w:rPr>
          <w:lang w:val="fr-FR"/>
        </w:rPr>
        <w:t>inspecter les établissements pénitentiaires relevant de leur juridiction. Ces articles font également obligation au directeur général des établissements pénitentiaires d</w:t>
      </w:r>
      <w:r w:rsidR="0035332C">
        <w:rPr>
          <w:lang w:val="fr-FR"/>
        </w:rPr>
        <w:t>’</w:t>
      </w:r>
      <w:r w:rsidRPr="00310D49">
        <w:rPr>
          <w:lang w:val="fr-FR"/>
        </w:rPr>
        <w:t>effectuer des visites d</w:t>
      </w:r>
      <w:r w:rsidR="0035332C">
        <w:rPr>
          <w:lang w:val="fr-FR"/>
        </w:rPr>
        <w:t>’</w:t>
      </w:r>
      <w:r w:rsidRPr="00310D49">
        <w:rPr>
          <w:lang w:val="fr-FR"/>
        </w:rPr>
        <w:t>inspection périodiques dans tous les établissements pénitentiaires. La Commission indépendante pour les droits de l</w:t>
      </w:r>
      <w:r w:rsidR="0035332C">
        <w:rPr>
          <w:lang w:val="fr-FR"/>
        </w:rPr>
        <w:t>’</w:t>
      </w:r>
      <w:r w:rsidRPr="00310D49">
        <w:rPr>
          <w:lang w:val="fr-FR"/>
        </w:rPr>
        <w:t>homme et les organisations internationales et nationales de la société civile assurent l</w:t>
      </w:r>
      <w:r w:rsidR="0035332C">
        <w:rPr>
          <w:lang w:val="fr-FR"/>
        </w:rPr>
        <w:t>’</w:t>
      </w:r>
      <w:r w:rsidRPr="00310D49">
        <w:rPr>
          <w:lang w:val="fr-FR"/>
        </w:rPr>
        <w:t>effectivité du contrôle en effectuant des visites ou en recueillant et en assurant le suivi des plaintes.</w:t>
      </w:r>
    </w:p>
    <w:p w14:paraId="201A96AB" w14:textId="28DE72A7" w:rsidR="00D005FA" w:rsidRPr="00310D49" w:rsidRDefault="00D005FA" w:rsidP="006573C2">
      <w:pPr>
        <w:pStyle w:val="SingleTxtG"/>
        <w:spacing w:before="120"/>
        <w:rPr>
          <w:spacing w:val="-4"/>
          <w:lang w:val="fr-FR"/>
        </w:rPr>
      </w:pPr>
      <w:r w:rsidRPr="00310D49">
        <w:rPr>
          <w:lang w:val="fr-FR"/>
        </w:rPr>
        <w:t>154.</w:t>
      </w:r>
      <w:r w:rsidRPr="00310D49">
        <w:rPr>
          <w:lang w:val="fr-FR"/>
        </w:rPr>
        <w:tab/>
        <w:t>Suite à l</w:t>
      </w:r>
      <w:r w:rsidR="0035332C">
        <w:rPr>
          <w:lang w:val="fr-FR"/>
        </w:rPr>
        <w:t>’</w:t>
      </w:r>
      <w:r w:rsidRPr="00310D49">
        <w:rPr>
          <w:lang w:val="fr-FR"/>
        </w:rPr>
        <w:t>adhésion de l</w:t>
      </w:r>
      <w:r w:rsidR="0035332C">
        <w:rPr>
          <w:lang w:val="fr-FR"/>
        </w:rPr>
        <w:t>’</w:t>
      </w:r>
      <w:r w:rsidRPr="00310D49">
        <w:rPr>
          <w:lang w:val="fr-FR"/>
        </w:rPr>
        <w:t>État de Palestine au Protocole facultatif à la Convention contre la torture, les autorités compétentes se sont employées à mettre en place un mécanisme national de prévention de la torture. En avril 2019, le Sous-Comité des Nations Unies pour la prévention de la torture devait se rendre dans l</w:t>
      </w:r>
      <w:r w:rsidR="0035332C">
        <w:rPr>
          <w:lang w:val="fr-FR"/>
        </w:rPr>
        <w:t>’</w:t>
      </w:r>
      <w:r w:rsidRPr="00310D49">
        <w:rPr>
          <w:lang w:val="fr-FR"/>
        </w:rPr>
        <w:t>État de Palestine pour y effectuer une visite, dont s</w:t>
      </w:r>
      <w:r w:rsidR="0035332C">
        <w:rPr>
          <w:lang w:val="fr-FR"/>
        </w:rPr>
        <w:t>’</w:t>
      </w:r>
      <w:r w:rsidRPr="00310D49">
        <w:rPr>
          <w:lang w:val="fr-FR"/>
        </w:rPr>
        <w:t>est félicité le Gouvernement. Ce dernier a fourni au Sous-comité une liste d</w:t>
      </w:r>
      <w:r w:rsidR="0035332C">
        <w:rPr>
          <w:lang w:val="fr-FR"/>
        </w:rPr>
        <w:t>’</w:t>
      </w:r>
      <w:r w:rsidRPr="00310D49">
        <w:rPr>
          <w:lang w:val="fr-FR"/>
        </w:rPr>
        <w:t>informations afin de lui faciliter la visite, mais Israël, Puissance occupante, a refusé d</w:t>
      </w:r>
      <w:r w:rsidR="0035332C">
        <w:rPr>
          <w:lang w:val="fr-FR"/>
        </w:rPr>
        <w:t>’</w:t>
      </w:r>
      <w:r w:rsidRPr="00310D49">
        <w:rPr>
          <w:lang w:val="fr-FR"/>
        </w:rPr>
        <w:t>accorder des visas d</w:t>
      </w:r>
      <w:r w:rsidR="0035332C">
        <w:rPr>
          <w:lang w:val="fr-FR"/>
        </w:rPr>
        <w:t>’</w:t>
      </w:r>
      <w:r w:rsidRPr="00310D49">
        <w:rPr>
          <w:lang w:val="fr-FR"/>
        </w:rPr>
        <w:t>entrée aux membres du Comité, ce qui les a empêchés de se rendre en Palestine.</w:t>
      </w:r>
    </w:p>
    <w:p w14:paraId="3712F3B1" w14:textId="19E2A4E2" w:rsidR="00D005FA" w:rsidRPr="00310D49" w:rsidRDefault="00D005FA" w:rsidP="006573C2">
      <w:pPr>
        <w:pStyle w:val="SingleTxtG"/>
        <w:spacing w:before="120"/>
        <w:rPr>
          <w:lang w:val="fr-FR"/>
        </w:rPr>
      </w:pPr>
      <w:r w:rsidRPr="00310D49">
        <w:rPr>
          <w:lang w:val="fr-FR"/>
        </w:rPr>
        <w:lastRenderedPageBreak/>
        <w:t>155.</w:t>
      </w:r>
      <w:r w:rsidRPr="00310D49">
        <w:rPr>
          <w:lang w:val="fr-FR"/>
        </w:rPr>
        <w:tab/>
        <w:t>En ce qui concerne les plaintes, l</w:t>
      </w:r>
      <w:r w:rsidR="0035332C">
        <w:rPr>
          <w:lang w:val="fr-FR"/>
        </w:rPr>
        <w:t>’</w:t>
      </w:r>
      <w:r w:rsidRPr="00310D49">
        <w:rPr>
          <w:lang w:val="fr-FR"/>
        </w:rPr>
        <w:t>article 127 du Code de procédure pénale et l</w:t>
      </w:r>
      <w:r w:rsidR="0035332C">
        <w:rPr>
          <w:lang w:val="fr-FR"/>
        </w:rPr>
        <w:t>’</w:t>
      </w:r>
      <w:r w:rsidRPr="00310D49">
        <w:rPr>
          <w:lang w:val="fr-FR"/>
        </w:rPr>
        <w:t>article</w:t>
      </w:r>
      <w:r w:rsidR="002547A5">
        <w:rPr>
          <w:lang w:val="fr-FR"/>
        </w:rPr>
        <w:t> </w:t>
      </w:r>
      <w:r w:rsidRPr="00310D49">
        <w:rPr>
          <w:lang w:val="fr-FR"/>
        </w:rPr>
        <w:t>18 de la loi sur les établissements pénitentiaires prévoient que tout détenu ou prisonnier a le droit de déposer une plainte qui doit être consignée dans un registre spécial afin d</w:t>
      </w:r>
      <w:r w:rsidR="0035332C">
        <w:rPr>
          <w:lang w:val="fr-FR"/>
        </w:rPr>
        <w:t>’</w:t>
      </w:r>
      <w:r w:rsidRPr="00310D49">
        <w:rPr>
          <w:lang w:val="fr-FR"/>
        </w:rPr>
        <w:t>en assurer le suivi et le traitement.</w:t>
      </w:r>
    </w:p>
    <w:p w14:paraId="6D1B9168" w14:textId="7C05FCE8" w:rsidR="00D005FA" w:rsidRPr="00310D49" w:rsidRDefault="00D005FA" w:rsidP="00A53B5A">
      <w:pPr>
        <w:pStyle w:val="SingleTxtG"/>
        <w:keepNext/>
        <w:keepLines/>
        <w:spacing w:before="120"/>
        <w:rPr>
          <w:lang w:val="fr-FR"/>
        </w:rPr>
      </w:pPr>
      <w:r w:rsidRPr="00310D49">
        <w:rPr>
          <w:lang w:val="fr-FR"/>
        </w:rPr>
        <w:t>156.</w:t>
      </w:r>
      <w:r w:rsidRPr="00310D49">
        <w:rPr>
          <w:lang w:val="fr-FR"/>
        </w:rPr>
        <w:tab/>
        <w:t>La structure des institutions de maintien de l</w:t>
      </w:r>
      <w:r w:rsidR="0035332C">
        <w:rPr>
          <w:lang w:val="fr-FR"/>
        </w:rPr>
        <w:t>’</w:t>
      </w:r>
      <w:r w:rsidRPr="00310D49">
        <w:rPr>
          <w:lang w:val="fr-FR"/>
        </w:rPr>
        <w:t>ordre comprend également des services spéciaux chargés de traiter les plaintes des détenus en fonction de leurs compétences respectives. Il s</w:t>
      </w:r>
      <w:r w:rsidR="0035332C">
        <w:rPr>
          <w:lang w:val="fr-FR"/>
        </w:rPr>
        <w:t>’</w:t>
      </w:r>
      <w:r w:rsidRPr="00310D49">
        <w:rPr>
          <w:lang w:val="fr-FR"/>
        </w:rPr>
        <w:t>agit notamment du Groupe des droits de l</w:t>
      </w:r>
      <w:r w:rsidR="0035332C">
        <w:rPr>
          <w:lang w:val="fr-FR"/>
        </w:rPr>
        <w:t>’</w:t>
      </w:r>
      <w:r w:rsidRPr="00310D49">
        <w:rPr>
          <w:lang w:val="fr-FR"/>
        </w:rPr>
        <w:t>homme du ministère public et du ministère public militaire qui, pour veiller à ce que la plainte soit correctement examinée, prend plusieurs mesures dont les suivantes</w:t>
      </w:r>
      <w:r w:rsidR="00B02693">
        <w:rPr>
          <w:lang w:val="fr-FR"/>
        </w:rPr>
        <w:t> </w:t>
      </w:r>
      <w:r w:rsidRPr="00310D49">
        <w:rPr>
          <w:lang w:val="fr-FR"/>
        </w:rPr>
        <w:t xml:space="preserve">: </w:t>
      </w:r>
    </w:p>
    <w:p w14:paraId="55A64741" w14:textId="63B7C68D" w:rsidR="00D005FA" w:rsidRPr="00310D49" w:rsidRDefault="002547A5" w:rsidP="00A53B5A">
      <w:pPr>
        <w:pStyle w:val="Bullet1G"/>
        <w:keepNext/>
        <w:keepLines/>
        <w:rPr>
          <w:lang w:val="fr-FR"/>
        </w:rPr>
      </w:pPr>
      <w:r w:rsidRPr="00310D49">
        <w:rPr>
          <w:lang w:val="fr-FR"/>
        </w:rPr>
        <w:t xml:space="preserve">Faire </w:t>
      </w:r>
      <w:r w:rsidR="00D005FA" w:rsidRPr="00310D49">
        <w:rPr>
          <w:lang w:val="fr-FR"/>
        </w:rPr>
        <w:t>examiner la victime par les services de médecine légale et obtenir un rapport médical sur les lésions corporelles et la durée de l</w:t>
      </w:r>
      <w:r w:rsidR="0035332C">
        <w:rPr>
          <w:lang w:val="fr-FR"/>
        </w:rPr>
        <w:t>’</w:t>
      </w:r>
      <w:r w:rsidR="00D005FA" w:rsidRPr="00310D49">
        <w:rPr>
          <w:lang w:val="fr-FR"/>
        </w:rPr>
        <w:t>incapacité</w:t>
      </w:r>
      <w:r w:rsidR="00B02693">
        <w:rPr>
          <w:lang w:val="fr-FR"/>
        </w:rPr>
        <w:t> </w:t>
      </w:r>
      <w:r w:rsidR="00D005FA" w:rsidRPr="00310D49">
        <w:rPr>
          <w:lang w:val="fr-FR"/>
        </w:rPr>
        <w:t>;</w:t>
      </w:r>
    </w:p>
    <w:p w14:paraId="670867D8" w14:textId="3B887AF7" w:rsidR="00D005FA" w:rsidRPr="00310D49" w:rsidRDefault="002547A5" w:rsidP="003B02B1">
      <w:pPr>
        <w:pStyle w:val="Bullet1G"/>
        <w:rPr>
          <w:lang w:val="fr-FR"/>
        </w:rPr>
      </w:pPr>
      <w:r w:rsidRPr="00310D49">
        <w:rPr>
          <w:lang w:val="fr-FR"/>
        </w:rPr>
        <w:t xml:space="preserve">Faire </w:t>
      </w:r>
      <w:r w:rsidR="00D005FA" w:rsidRPr="00310D49">
        <w:rPr>
          <w:lang w:val="fr-FR"/>
        </w:rPr>
        <w:t>des rapports de relevé d</w:t>
      </w:r>
      <w:r w:rsidR="0035332C">
        <w:rPr>
          <w:lang w:val="fr-FR"/>
        </w:rPr>
        <w:t>’</w:t>
      </w:r>
      <w:r w:rsidR="00D005FA" w:rsidRPr="00310D49">
        <w:rPr>
          <w:lang w:val="fr-FR"/>
        </w:rPr>
        <w:t>indices et d</w:t>
      </w:r>
      <w:r w:rsidR="0035332C">
        <w:rPr>
          <w:lang w:val="fr-FR"/>
        </w:rPr>
        <w:t>’</w:t>
      </w:r>
      <w:r w:rsidR="00D005FA" w:rsidRPr="00310D49">
        <w:rPr>
          <w:lang w:val="fr-FR"/>
        </w:rPr>
        <w:t>inspection sur la scène de l</w:t>
      </w:r>
      <w:r w:rsidR="0035332C">
        <w:rPr>
          <w:lang w:val="fr-FR"/>
        </w:rPr>
        <w:t>’</w:t>
      </w:r>
      <w:r w:rsidR="00D005FA" w:rsidRPr="00310D49">
        <w:rPr>
          <w:lang w:val="fr-FR"/>
        </w:rPr>
        <w:t>infraction</w:t>
      </w:r>
      <w:r w:rsidR="00B02693">
        <w:rPr>
          <w:lang w:val="fr-FR"/>
        </w:rPr>
        <w:t> </w:t>
      </w:r>
      <w:r w:rsidR="00D005FA" w:rsidRPr="00310D49">
        <w:rPr>
          <w:lang w:val="fr-FR"/>
        </w:rPr>
        <w:t>;</w:t>
      </w:r>
    </w:p>
    <w:p w14:paraId="4884C480" w14:textId="7D9203EC" w:rsidR="00D005FA" w:rsidRPr="00310D49" w:rsidRDefault="002547A5" w:rsidP="003B02B1">
      <w:pPr>
        <w:pStyle w:val="Bullet1G"/>
        <w:rPr>
          <w:lang w:val="fr-FR"/>
        </w:rPr>
      </w:pPr>
      <w:r w:rsidRPr="00310D49">
        <w:rPr>
          <w:lang w:val="fr-FR"/>
        </w:rPr>
        <w:t xml:space="preserve">Éloigner </w:t>
      </w:r>
      <w:r w:rsidR="00D005FA" w:rsidRPr="00310D49">
        <w:rPr>
          <w:lang w:val="fr-FR"/>
        </w:rPr>
        <w:t>la personne visée par la plainte du quartier où se trouve le détenu afin de s</w:t>
      </w:r>
      <w:r w:rsidR="0035332C">
        <w:rPr>
          <w:lang w:val="fr-FR"/>
        </w:rPr>
        <w:t>’</w:t>
      </w:r>
      <w:r w:rsidR="00D005FA" w:rsidRPr="00310D49">
        <w:rPr>
          <w:lang w:val="fr-FR"/>
        </w:rPr>
        <w:t>assurer qu</w:t>
      </w:r>
      <w:r w:rsidR="0035332C">
        <w:rPr>
          <w:lang w:val="fr-FR"/>
        </w:rPr>
        <w:t>’</w:t>
      </w:r>
      <w:r w:rsidR="00D005FA" w:rsidRPr="00310D49">
        <w:rPr>
          <w:lang w:val="fr-FR"/>
        </w:rPr>
        <w:t>il est protégé, la phase initiale de l</w:t>
      </w:r>
      <w:r w:rsidR="0035332C">
        <w:rPr>
          <w:lang w:val="fr-FR"/>
        </w:rPr>
        <w:t>’</w:t>
      </w:r>
      <w:r w:rsidR="00D005FA" w:rsidRPr="00310D49">
        <w:rPr>
          <w:lang w:val="fr-FR"/>
        </w:rPr>
        <w:t>enquête étant confidentielle</w:t>
      </w:r>
      <w:r w:rsidR="00B02693">
        <w:rPr>
          <w:lang w:val="fr-FR"/>
        </w:rPr>
        <w:t> </w:t>
      </w:r>
      <w:r w:rsidR="00D005FA" w:rsidRPr="00310D49">
        <w:rPr>
          <w:lang w:val="fr-FR"/>
        </w:rPr>
        <w:t>;</w:t>
      </w:r>
    </w:p>
    <w:p w14:paraId="28734615" w14:textId="49329B1B" w:rsidR="00D005FA" w:rsidRPr="00310D49" w:rsidRDefault="002547A5" w:rsidP="003B02B1">
      <w:pPr>
        <w:pStyle w:val="Bullet1G"/>
        <w:rPr>
          <w:spacing w:val="-4"/>
          <w:lang w:val="fr-FR"/>
        </w:rPr>
      </w:pPr>
      <w:r w:rsidRPr="00310D49">
        <w:rPr>
          <w:lang w:val="fr-FR"/>
        </w:rPr>
        <w:t xml:space="preserve">Le </w:t>
      </w:r>
      <w:r w:rsidR="00D005FA" w:rsidRPr="00310D49">
        <w:rPr>
          <w:lang w:val="fr-FR"/>
        </w:rPr>
        <w:t>parquet militaire renvoie l</w:t>
      </w:r>
      <w:r w:rsidR="0035332C">
        <w:rPr>
          <w:lang w:val="fr-FR"/>
        </w:rPr>
        <w:t>’</w:t>
      </w:r>
      <w:r w:rsidR="00D005FA" w:rsidRPr="00310D49">
        <w:rPr>
          <w:lang w:val="fr-FR"/>
        </w:rPr>
        <w:t>affaire au tribunal compétent pour juger la personne accusée de faits de torture.</w:t>
      </w:r>
    </w:p>
    <w:p w14:paraId="69545676" w14:textId="125BFE8F" w:rsidR="00D005FA" w:rsidRPr="00310D49" w:rsidRDefault="00D005FA" w:rsidP="009D7432">
      <w:pPr>
        <w:pStyle w:val="H23G"/>
        <w:rPr>
          <w:lang w:val="fr-FR"/>
        </w:rPr>
      </w:pPr>
      <w:r w:rsidRPr="00310D49">
        <w:rPr>
          <w:lang w:val="fr-FR"/>
        </w:rPr>
        <w:tab/>
      </w:r>
      <w:r w:rsidRPr="00310D49">
        <w:rPr>
          <w:lang w:val="fr-FR"/>
        </w:rPr>
        <w:tab/>
        <w:t xml:space="preserve">Liste des cas de torture et de traitements inhumains </w:t>
      </w:r>
      <w:r w:rsidR="009D7432">
        <w:rPr>
          <w:lang w:val="fr-FR"/>
        </w:rPr>
        <w:br/>
      </w:r>
      <w:r w:rsidRPr="00310D49">
        <w:rPr>
          <w:lang w:val="fr-FR"/>
        </w:rPr>
        <w:t>recensés en 2014, 2015, 2016 et 2017</w:t>
      </w:r>
    </w:p>
    <w:tbl>
      <w:tblPr>
        <w:tblW w:w="9639" w:type="dxa"/>
        <w:tblLayout w:type="fixed"/>
        <w:tblCellMar>
          <w:left w:w="0" w:type="dxa"/>
          <w:right w:w="0" w:type="dxa"/>
        </w:tblCellMar>
        <w:tblLook w:val="04A0" w:firstRow="1" w:lastRow="0" w:firstColumn="1" w:lastColumn="0" w:noHBand="0" w:noVBand="1"/>
      </w:tblPr>
      <w:tblGrid>
        <w:gridCol w:w="1715"/>
        <w:gridCol w:w="836"/>
        <w:gridCol w:w="945"/>
        <w:gridCol w:w="1039"/>
        <w:gridCol w:w="1259"/>
        <w:gridCol w:w="868"/>
        <w:gridCol w:w="993"/>
        <w:gridCol w:w="850"/>
        <w:gridCol w:w="1134"/>
      </w:tblGrid>
      <w:tr w:rsidR="009D7432" w:rsidRPr="009D7432" w14:paraId="7BD8D101" w14:textId="77777777" w:rsidTr="002547A5">
        <w:trPr>
          <w:tblHeader/>
        </w:trPr>
        <w:tc>
          <w:tcPr>
            <w:tcW w:w="890" w:type="pct"/>
            <w:vMerge w:val="restart"/>
            <w:tcBorders>
              <w:top w:val="single" w:sz="4" w:space="0" w:color="auto"/>
              <w:bottom w:val="single" w:sz="12" w:space="0" w:color="auto"/>
            </w:tcBorders>
            <w:shd w:val="clear" w:color="auto" w:fill="auto"/>
            <w:vAlign w:val="bottom"/>
          </w:tcPr>
          <w:p w14:paraId="24071BA9" w14:textId="6CCAB1F7" w:rsidR="00D005FA" w:rsidRPr="009D7432" w:rsidRDefault="00D005FA" w:rsidP="009D7432">
            <w:pPr>
              <w:spacing w:before="80" w:after="80" w:line="200" w:lineRule="exact"/>
              <w:ind w:right="113"/>
              <w:rPr>
                <w:i/>
                <w:sz w:val="16"/>
                <w:lang w:val="fr-FR"/>
              </w:rPr>
            </w:pPr>
            <w:r w:rsidRPr="009D7432">
              <w:rPr>
                <w:i/>
                <w:sz w:val="16"/>
                <w:lang w:val="fr-FR"/>
              </w:rPr>
              <w:t>Type d</w:t>
            </w:r>
            <w:r w:rsidR="0035332C">
              <w:rPr>
                <w:i/>
                <w:sz w:val="16"/>
                <w:lang w:val="fr-FR"/>
              </w:rPr>
              <w:t>’</w:t>
            </w:r>
            <w:r w:rsidRPr="009D7432">
              <w:rPr>
                <w:i/>
                <w:sz w:val="16"/>
                <w:lang w:val="fr-FR"/>
              </w:rPr>
              <w:t>infraction</w:t>
            </w:r>
          </w:p>
        </w:tc>
        <w:tc>
          <w:tcPr>
            <w:tcW w:w="924" w:type="pct"/>
            <w:gridSpan w:val="2"/>
            <w:tcBorders>
              <w:top w:val="single" w:sz="4" w:space="0" w:color="auto"/>
              <w:bottom w:val="single" w:sz="4" w:space="0" w:color="auto"/>
            </w:tcBorders>
            <w:shd w:val="clear" w:color="auto" w:fill="auto"/>
            <w:vAlign w:val="bottom"/>
          </w:tcPr>
          <w:p w14:paraId="3FBCF0B2" w14:textId="77777777" w:rsidR="00D005FA" w:rsidRPr="009D7432" w:rsidRDefault="00D005FA" w:rsidP="009D7432">
            <w:pPr>
              <w:spacing w:before="80" w:after="80" w:line="200" w:lineRule="exact"/>
              <w:ind w:right="113"/>
              <w:jc w:val="center"/>
              <w:rPr>
                <w:i/>
                <w:sz w:val="16"/>
                <w:lang w:val="fr-FR"/>
              </w:rPr>
            </w:pPr>
            <w:r w:rsidRPr="009D7432">
              <w:rPr>
                <w:i/>
                <w:sz w:val="16"/>
                <w:lang w:val="fr-FR"/>
              </w:rPr>
              <w:t>2014</w:t>
            </w:r>
          </w:p>
        </w:tc>
        <w:tc>
          <w:tcPr>
            <w:tcW w:w="1192" w:type="pct"/>
            <w:gridSpan w:val="2"/>
            <w:tcBorders>
              <w:top w:val="single" w:sz="4" w:space="0" w:color="auto"/>
              <w:bottom w:val="single" w:sz="4" w:space="0" w:color="auto"/>
            </w:tcBorders>
            <w:shd w:val="clear" w:color="auto" w:fill="auto"/>
            <w:vAlign w:val="bottom"/>
          </w:tcPr>
          <w:p w14:paraId="4E6AAF62" w14:textId="77777777" w:rsidR="00D005FA" w:rsidRPr="009D7432" w:rsidRDefault="00D005FA" w:rsidP="009D7432">
            <w:pPr>
              <w:spacing w:before="80" w:after="80" w:line="200" w:lineRule="exact"/>
              <w:ind w:right="113"/>
              <w:jc w:val="center"/>
              <w:rPr>
                <w:i/>
                <w:sz w:val="16"/>
                <w:lang w:val="fr-FR"/>
              </w:rPr>
            </w:pPr>
            <w:r w:rsidRPr="009D7432">
              <w:rPr>
                <w:i/>
                <w:sz w:val="16"/>
                <w:lang w:val="fr-FR"/>
              </w:rPr>
              <w:t>2015</w:t>
            </w:r>
          </w:p>
        </w:tc>
        <w:tc>
          <w:tcPr>
            <w:tcW w:w="965" w:type="pct"/>
            <w:gridSpan w:val="2"/>
            <w:tcBorders>
              <w:top w:val="single" w:sz="4" w:space="0" w:color="auto"/>
              <w:bottom w:val="single" w:sz="4" w:space="0" w:color="auto"/>
            </w:tcBorders>
            <w:shd w:val="clear" w:color="auto" w:fill="auto"/>
            <w:vAlign w:val="bottom"/>
          </w:tcPr>
          <w:p w14:paraId="6DD730D2" w14:textId="77777777" w:rsidR="00D005FA" w:rsidRPr="009D7432" w:rsidRDefault="00D005FA" w:rsidP="009D7432">
            <w:pPr>
              <w:spacing w:before="80" w:after="80" w:line="200" w:lineRule="exact"/>
              <w:ind w:right="113"/>
              <w:jc w:val="center"/>
              <w:rPr>
                <w:i/>
                <w:sz w:val="16"/>
                <w:lang w:val="fr-FR"/>
              </w:rPr>
            </w:pPr>
            <w:r w:rsidRPr="009D7432">
              <w:rPr>
                <w:i/>
                <w:sz w:val="16"/>
                <w:lang w:val="fr-FR"/>
              </w:rPr>
              <w:t>2016</w:t>
            </w:r>
          </w:p>
        </w:tc>
        <w:tc>
          <w:tcPr>
            <w:tcW w:w="1029" w:type="pct"/>
            <w:gridSpan w:val="2"/>
            <w:tcBorders>
              <w:top w:val="single" w:sz="4" w:space="0" w:color="auto"/>
              <w:bottom w:val="single" w:sz="4" w:space="0" w:color="auto"/>
            </w:tcBorders>
            <w:shd w:val="clear" w:color="auto" w:fill="auto"/>
            <w:vAlign w:val="bottom"/>
          </w:tcPr>
          <w:p w14:paraId="7378C98B" w14:textId="77777777" w:rsidR="00D005FA" w:rsidRPr="009D7432" w:rsidRDefault="00D005FA" w:rsidP="009D7432">
            <w:pPr>
              <w:spacing w:before="80" w:after="80" w:line="200" w:lineRule="exact"/>
              <w:ind w:right="113"/>
              <w:jc w:val="center"/>
              <w:rPr>
                <w:i/>
                <w:sz w:val="16"/>
                <w:lang w:val="fr-FR"/>
              </w:rPr>
            </w:pPr>
            <w:r w:rsidRPr="009D7432">
              <w:rPr>
                <w:i/>
                <w:sz w:val="16"/>
                <w:lang w:val="fr-FR"/>
              </w:rPr>
              <w:t>2017</w:t>
            </w:r>
          </w:p>
        </w:tc>
      </w:tr>
      <w:tr w:rsidR="009D7432" w:rsidRPr="009D7432" w14:paraId="22650A18" w14:textId="77777777" w:rsidTr="002547A5">
        <w:trPr>
          <w:trHeight w:hRule="exact" w:val="113"/>
          <w:tblHeader/>
        </w:trPr>
        <w:tc>
          <w:tcPr>
            <w:tcW w:w="890" w:type="pct"/>
            <w:vMerge/>
            <w:tcBorders>
              <w:top w:val="single" w:sz="12" w:space="0" w:color="auto"/>
              <w:bottom w:val="single" w:sz="12" w:space="0" w:color="auto"/>
            </w:tcBorders>
            <w:shd w:val="clear" w:color="auto" w:fill="auto"/>
          </w:tcPr>
          <w:p w14:paraId="3DD960DB" w14:textId="77777777" w:rsidR="009D7432" w:rsidRPr="009D7432" w:rsidRDefault="009D7432" w:rsidP="009D7432">
            <w:pPr>
              <w:spacing w:before="40" w:after="120"/>
              <w:ind w:right="113"/>
              <w:rPr>
                <w:rtl/>
                <w:lang w:val="fr-FR"/>
              </w:rPr>
            </w:pPr>
          </w:p>
        </w:tc>
        <w:tc>
          <w:tcPr>
            <w:tcW w:w="924" w:type="pct"/>
            <w:gridSpan w:val="2"/>
            <w:tcBorders>
              <w:top w:val="single" w:sz="4" w:space="0" w:color="auto"/>
            </w:tcBorders>
            <w:shd w:val="clear" w:color="auto" w:fill="auto"/>
          </w:tcPr>
          <w:p w14:paraId="57657BD0" w14:textId="77777777" w:rsidR="009D7432" w:rsidRPr="009D7432" w:rsidRDefault="009D7432" w:rsidP="009D7432">
            <w:pPr>
              <w:spacing w:before="40" w:after="120"/>
              <w:ind w:right="113"/>
              <w:rPr>
                <w:lang w:val="fr-FR"/>
              </w:rPr>
            </w:pPr>
          </w:p>
        </w:tc>
        <w:tc>
          <w:tcPr>
            <w:tcW w:w="1192" w:type="pct"/>
            <w:gridSpan w:val="2"/>
            <w:tcBorders>
              <w:top w:val="single" w:sz="4" w:space="0" w:color="auto"/>
            </w:tcBorders>
            <w:shd w:val="clear" w:color="auto" w:fill="auto"/>
          </w:tcPr>
          <w:p w14:paraId="6B4BB4A0" w14:textId="77777777" w:rsidR="009D7432" w:rsidRPr="009D7432" w:rsidRDefault="009D7432" w:rsidP="009D7432">
            <w:pPr>
              <w:spacing w:before="40" w:after="120"/>
              <w:ind w:right="113"/>
              <w:rPr>
                <w:lang w:val="fr-FR"/>
              </w:rPr>
            </w:pPr>
          </w:p>
        </w:tc>
        <w:tc>
          <w:tcPr>
            <w:tcW w:w="965" w:type="pct"/>
            <w:gridSpan w:val="2"/>
            <w:tcBorders>
              <w:top w:val="single" w:sz="4" w:space="0" w:color="auto"/>
            </w:tcBorders>
            <w:shd w:val="clear" w:color="auto" w:fill="auto"/>
          </w:tcPr>
          <w:p w14:paraId="525D44B3" w14:textId="77777777" w:rsidR="009D7432" w:rsidRPr="009D7432" w:rsidRDefault="009D7432" w:rsidP="009D7432">
            <w:pPr>
              <w:spacing w:before="40" w:after="120"/>
              <w:ind w:right="113"/>
              <w:rPr>
                <w:lang w:val="fr-FR"/>
              </w:rPr>
            </w:pPr>
          </w:p>
        </w:tc>
        <w:tc>
          <w:tcPr>
            <w:tcW w:w="1029" w:type="pct"/>
            <w:gridSpan w:val="2"/>
            <w:tcBorders>
              <w:top w:val="single" w:sz="4" w:space="0" w:color="auto"/>
            </w:tcBorders>
            <w:shd w:val="clear" w:color="auto" w:fill="auto"/>
          </w:tcPr>
          <w:p w14:paraId="5F217A7E" w14:textId="77777777" w:rsidR="009D7432" w:rsidRPr="009D7432" w:rsidRDefault="009D7432" w:rsidP="009D7432">
            <w:pPr>
              <w:spacing w:before="40" w:after="120"/>
              <w:ind w:right="113"/>
              <w:rPr>
                <w:lang w:val="fr-FR"/>
              </w:rPr>
            </w:pPr>
          </w:p>
        </w:tc>
      </w:tr>
      <w:tr w:rsidR="009D7432" w:rsidRPr="009D7432" w14:paraId="77DC1EB8" w14:textId="77777777" w:rsidTr="002547A5">
        <w:trPr>
          <w:tblHeader/>
        </w:trPr>
        <w:tc>
          <w:tcPr>
            <w:tcW w:w="890" w:type="pct"/>
            <w:vMerge/>
            <w:tcBorders>
              <w:bottom w:val="single" w:sz="12" w:space="0" w:color="auto"/>
            </w:tcBorders>
            <w:shd w:val="clear" w:color="auto" w:fill="auto"/>
          </w:tcPr>
          <w:p w14:paraId="47D708C7" w14:textId="77777777" w:rsidR="00D005FA" w:rsidRPr="009D7432" w:rsidRDefault="00D005FA" w:rsidP="009D7432">
            <w:pPr>
              <w:spacing w:before="40" w:after="120"/>
              <w:ind w:right="113"/>
              <w:rPr>
                <w:rtl/>
                <w:lang w:val="fr-FR"/>
              </w:rPr>
            </w:pPr>
          </w:p>
        </w:tc>
        <w:tc>
          <w:tcPr>
            <w:tcW w:w="434" w:type="pct"/>
            <w:tcBorders>
              <w:bottom w:val="single" w:sz="12" w:space="0" w:color="auto"/>
            </w:tcBorders>
            <w:shd w:val="clear" w:color="auto" w:fill="auto"/>
          </w:tcPr>
          <w:p w14:paraId="1F78860C" w14:textId="05A8A922" w:rsidR="00D005FA" w:rsidRPr="009D7432" w:rsidRDefault="00D005FA" w:rsidP="009D7432">
            <w:pPr>
              <w:spacing w:before="80" w:after="80" w:line="200" w:lineRule="exact"/>
              <w:ind w:right="113"/>
              <w:rPr>
                <w:lang w:val="fr-FR"/>
              </w:rPr>
            </w:pPr>
            <w:r w:rsidRPr="009D7432">
              <w:rPr>
                <w:i/>
                <w:sz w:val="16"/>
                <w:lang w:val="fr-FR"/>
              </w:rPr>
              <w:t>Nombre d</w:t>
            </w:r>
            <w:r w:rsidR="0035332C">
              <w:rPr>
                <w:i/>
                <w:sz w:val="16"/>
                <w:lang w:val="fr-FR"/>
              </w:rPr>
              <w:t>’</w:t>
            </w:r>
            <w:r w:rsidRPr="009D7432">
              <w:rPr>
                <w:i/>
                <w:sz w:val="16"/>
                <w:lang w:val="fr-FR"/>
              </w:rPr>
              <w:t>affaires</w:t>
            </w:r>
          </w:p>
        </w:tc>
        <w:tc>
          <w:tcPr>
            <w:tcW w:w="490" w:type="pct"/>
            <w:tcBorders>
              <w:bottom w:val="single" w:sz="12" w:space="0" w:color="auto"/>
            </w:tcBorders>
            <w:shd w:val="clear" w:color="auto" w:fill="auto"/>
          </w:tcPr>
          <w:p w14:paraId="6DBB4656" w14:textId="77777777" w:rsidR="00D005FA" w:rsidRPr="009D7432" w:rsidRDefault="00D005FA" w:rsidP="009D7432">
            <w:pPr>
              <w:spacing w:before="80" w:after="80" w:line="200" w:lineRule="exact"/>
              <w:ind w:right="113"/>
              <w:rPr>
                <w:lang w:val="fr-FR"/>
              </w:rPr>
            </w:pPr>
            <w:r w:rsidRPr="009D7432">
              <w:rPr>
                <w:i/>
                <w:sz w:val="16"/>
                <w:lang w:val="fr-FR"/>
              </w:rPr>
              <w:t>Jugement</w:t>
            </w:r>
          </w:p>
        </w:tc>
        <w:tc>
          <w:tcPr>
            <w:tcW w:w="539" w:type="pct"/>
            <w:tcBorders>
              <w:bottom w:val="single" w:sz="12" w:space="0" w:color="auto"/>
            </w:tcBorders>
            <w:shd w:val="clear" w:color="auto" w:fill="auto"/>
          </w:tcPr>
          <w:p w14:paraId="44863220" w14:textId="20BDB4C9" w:rsidR="00D005FA" w:rsidRPr="009D7432" w:rsidRDefault="00D005FA" w:rsidP="009D7432">
            <w:pPr>
              <w:spacing w:before="80" w:after="80" w:line="200" w:lineRule="exact"/>
              <w:ind w:right="113"/>
              <w:rPr>
                <w:lang w:val="fr-FR"/>
              </w:rPr>
            </w:pPr>
            <w:r w:rsidRPr="009D7432">
              <w:rPr>
                <w:i/>
                <w:sz w:val="16"/>
                <w:lang w:val="fr-FR"/>
              </w:rPr>
              <w:t>Nombre d</w:t>
            </w:r>
            <w:r w:rsidR="0035332C">
              <w:rPr>
                <w:i/>
                <w:sz w:val="16"/>
                <w:lang w:val="fr-FR"/>
              </w:rPr>
              <w:t>’</w:t>
            </w:r>
            <w:r w:rsidRPr="009D7432">
              <w:rPr>
                <w:i/>
                <w:sz w:val="16"/>
                <w:lang w:val="fr-FR"/>
              </w:rPr>
              <w:t>affaires</w:t>
            </w:r>
          </w:p>
        </w:tc>
        <w:tc>
          <w:tcPr>
            <w:tcW w:w="653" w:type="pct"/>
            <w:tcBorders>
              <w:bottom w:val="single" w:sz="12" w:space="0" w:color="auto"/>
            </w:tcBorders>
            <w:shd w:val="clear" w:color="auto" w:fill="auto"/>
          </w:tcPr>
          <w:p w14:paraId="6B3DCA37" w14:textId="77777777" w:rsidR="00D005FA" w:rsidRPr="009D7432" w:rsidRDefault="00D005FA" w:rsidP="009D7432">
            <w:pPr>
              <w:spacing w:before="80" w:after="80" w:line="200" w:lineRule="exact"/>
              <w:ind w:right="113"/>
              <w:rPr>
                <w:lang w:val="fr-FR"/>
              </w:rPr>
            </w:pPr>
            <w:r w:rsidRPr="009D7432">
              <w:rPr>
                <w:i/>
                <w:sz w:val="16"/>
                <w:lang w:val="fr-FR"/>
              </w:rPr>
              <w:t>Décision de justice</w:t>
            </w:r>
          </w:p>
        </w:tc>
        <w:tc>
          <w:tcPr>
            <w:tcW w:w="450" w:type="pct"/>
            <w:tcBorders>
              <w:bottom w:val="single" w:sz="12" w:space="0" w:color="auto"/>
            </w:tcBorders>
            <w:shd w:val="clear" w:color="auto" w:fill="auto"/>
          </w:tcPr>
          <w:p w14:paraId="3C83A2F5" w14:textId="67B2A9A3" w:rsidR="00D005FA" w:rsidRPr="009D7432" w:rsidRDefault="00D005FA" w:rsidP="009D7432">
            <w:pPr>
              <w:spacing w:before="80" w:after="80" w:line="200" w:lineRule="exact"/>
              <w:ind w:right="113"/>
              <w:rPr>
                <w:lang w:val="fr-FR"/>
              </w:rPr>
            </w:pPr>
            <w:r w:rsidRPr="009D7432">
              <w:rPr>
                <w:i/>
                <w:sz w:val="16"/>
                <w:lang w:val="fr-FR"/>
              </w:rPr>
              <w:t>Nombre d</w:t>
            </w:r>
            <w:r w:rsidR="0035332C">
              <w:rPr>
                <w:i/>
                <w:sz w:val="16"/>
                <w:lang w:val="fr-FR"/>
              </w:rPr>
              <w:t>’</w:t>
            </w:r>
            <w:r w:rsidRPr="009D7432">
              <w:rPr>
                <w:i/>
                <w:sz w:val="16"/>
                <w:lang w:val="fr-FR"/>
              </w:rPr>
              <w:t>affaires</w:t>
            </w:r>
          </w:p>
        </w:tc>
        <w:tc>
          <w:tcPr>
            <w:tcW w:w="515" w:type="pct"/>
            <w:tcBorders>
              <w:bottom w:val="single" w:sz="12" w:space="0" w:color="auto"/>
            </w:tcBorders>
            <w:shd w:val="clear" w:color="auto" w:fill="auto"/>
          </w:tcPr>
          <w:p w14:paraId="210F57F7" w14:textId="77777777" w:rsidR="00D005FA" w:rsidRPr="009D7432" w:rsidRDefault="00D005FA" w:rsidP="009D7432">
            <w:pPr>
              <w:spacing w:before="80" w:after="80" w:line="200" w:lineRule="exact"/>
              <w:ind w:right="113"/>
              <w:rPr>
                <w:lang w:val="fr-FR"/>
              </w:rPr>
            </w:pPr>
            <w:r w:rsidRPr="009D7432">
              <w:rPr>
                <w:i/>
                <w:sz w:val="16"/>
                <w:lang w:val="fr-FR"/>
              </w:rPr>
              <w:t>Décision de justice</w:t>
            </w:r>
            <w:r w:rsidRPr="009D7432">
              <w:rPr>
                <w:lang w:val="fr-FR"/>
              </w:rPr>
              <w:t xml:space="preserve"> </w:t>
            </w:r>
          </w:p>
        </w:tc>
        <w:tc>
          <w:tcPr>
            <w:tcW w:w="441" w:type="pct"/>
            <w:tcBorders>
              <w:bottom w:val="single" w:sz="12" w:space="0" w:color="auto"/>
            </w:tcBorders>
            <w:shd w:val="clear" w:color="auto" w:fill="auto"/>
          </w:tcPr>
          <w:p w14:paraId="64AE52BB" w14:textId="6CDB5C77" w:rsidR="00D005FA" w:rsidRPr="009D7432" w:rsidRDefault="00D005FA" w:rsidP="002547A5">
            <w:pPr>
              <w:spacing w:before="80" w:after="80" w:line="200" w:lineRule="exact"/>
              <w:ind w:right="113"/>
              <w:rPr>
                <w:lang w:val="fr-FR"/>
              </w:rPr>
            </w:pPr>
            <w:r w:rsidRPr="009D7432">
              <w:rPr>
                <w:i/>
                <w:sz w:val="16"/>
                <w:lang w:val="fr-FR"/>
              </w:rPr>
              <w:t>Nombre d</w:t>
            </w:r>
            <w:r w:rsidR="0035332C">
              <w:rPr>
                <w:i/>
                <w:sz w:val="16"/>
                <w:lang w:val="fr-FR"/>
              </w:rPr>
              <w:t>’</w:t>
            </w:r>
            <w:r w:rsidRPr="009D7432">
              <w:rPr>
                <w:i/>
                <w:sz w:val="16"/>
                <w:lang w:val="fr-FR"/>
              </w:rPr>
              <w:t>affaires</w:t>
            </w:r>
          </w:p>
        </w:tc>
        <w:tc>
          <w:tcPr>
            <w:tcW w:w="588" w:type="pct"/>
            <w:tcBorders>
              <w:bottom w:val="single" w:sz="12" w:space="0" w:color="auto"/>
            </w:tcBorders>
            <w:shd w:val="clear" w:color="auto" w:fill="auto"/>
          </w:tcPr>
          <w:p w14:paraId="0EA8AC06" w14:textId="77777777" w:rsidR="00D005FA" w:rsidRPr="009D7432" w:rsidRDefault="00D005FA" w:rsidP="009D7432">
            <w:pPr>
              <w:spacing w:before="80" w:after="80" w:line="200" w:lineRule="exact"/>
              <w:ind w:right="113"/>
              <w:rPr>
                <w:lang w:val="fr-FR"/>
              </w:rPr>
            </w:pPr>
            <w:r w:rsidRPr="009D7432">
              <w:rPr>
                <w:i/>
                <w:sz w:val="16"/>
                <w:lang w:val="fr-FR"/>
              </w:rPr>
              <w:t>Décision de justice</w:t>
            </w:r>
            <w:r w:rsidRPr="009D7432">
              <w:rPr>
                <w:lang w:val="fr-FR"/>
              </w:rPr>
              <w:t xml:space="preserve"> </w:t>
            </w:r>
          </w:p>
        </w:tc>
      </w:tr>
      <w:tr w:rsidR="009D7432" w:rsidRPr="009D7432" w14:paraId="78021CBD" w14:textId="77777777" w:rsidTr="002547A5">
        <w:tc>
          <w:tcPr>
            <w:tcW w:w="890" w:type="pct"/>
            <w:tcBorders>
              <w:top w:val="single" w:sz="12" w:space="0" w:color="auto"/>
            </w:tcBorders>
            <w:shd w:val="clear" w:color="auto" w:fill="auto"/>
          </w:tcPr>
          <w:p w14:paraId="5293700E" w14:textId="77777777" w:rsidR="00D005FA" w:rsidRPr="009D7432" w:rsidRDefault="00D005FA" w:rsidP="009D7432">
            <w:pPr>
              <w:spacing w:before="40" w:after="120"/>
              <w:ind w:right="113"/>
              <w:rPr>
                <w:lang w:val="fr-FR"/>
              </w:rPr>
            </w:pPr>
            <w:r w:rsidRPr="009D7432">
              <w:rPr>
                <w:lang w:val="fr-FR"/>
              </w:rPr>
              <w:t>Homicide</w:t>
            </w:r>
          </w:p>
        </w:tc>
        <w:tc>
          <w:tcPr>
            <w:tcW w:w="434" w:type="pct"/>
            <w:tcBorders>
              <w:top w:val="single" w:sz="12" w:space="0" w:color="auto"/>
            </w:tcBorders>
            <w:shd w:val="clear" w:color="auto" w:fill="auto"/>
          </w:tcPr>
          <w:p w14:paraId="7D3EA29F" w14:textId="77777777" w:rsidR="00D005FA" w:rsidRPr="009D7432" w:rsidRDefault="00D005FA" w:rsidP="009D7432">
            <w:pPr>
              <w:spacing w:before="40" w:after="120"/>
              <w:ind w:right="113"/>
              <w:rPr>
                <w:rtl/>
                <w:lang w:val="fr-FR"/>
              </w:rPr>
            </w:pPr>
            <w:r w:rsidRPr="009D7432">
              <w:rPr>
                <w:lang w:val="fr-FR"/>
              </w:rPr>
              <w:t>2</w:t>
            </w:r>
          </w:p>
        </w:tc>
        <w:tc>
          <w:tcPr>
            <w:tcW w:w="490" w:type="pct"/>
            <w:tcBorders>
              <w:top w:val="single" w:sz="12" w:space="0" w:color="auto"/>
            </w:tcBorders>
            <w:shd w:val="clear" w:color="auto" w:fill="auto"/>
          </w:tcPr>
          <w:p w14:paraId="66F1B049" w14:textId="49F2FC5F" w:rsidR="00D005FA" w:rsidRPr="009D7432" w:rsidRDefault="00D005FA" w:rsidP="009D7432">
            <w:pPr>
              <w:spacing w:before="40" w:after="120"/>
              <w:ind w:right="113"/>
              <w:rPr>
                <w:lang w:val="fr-FR"/>
              </w:rPr>
            </w:pPr>
            <w:r w:rsidRPr="009D7432">
              <w:rPr>
                <w:lang w:val="fr-FR"/>
              </w:rPr>
              <w:t>Deux affaires ayant fait l</w:t>
            </w:r>
            <w:r w:rsidR="0035332C">
              <w:rPr>
                <w:lang w:val="fr-FR"/>
              </w:rPr>
              <w:t>’</w:t>
            </w:r>
            <w:r w:rsidRPr="009D7432">
              <w:rPr>
                <w:lang w:val="fr-FR"/>
              </w:rPr>
              <w:t>objet d</w:t>
            </w:r>
            <w:r w:rsidR="0035332C">
              <w:rPr>
                <w:lang w:val="fr-FR"/>
              </w:rPr>
              <w:t>’</w:t>
            </w:r>
            <w:r w:rsidRPr="009D7432">
              <w:rPr>
                <w:lang w:val="fr-FR"/>
              </w:rPr>
              <w:t>une décision de justice</w:t>
            </w:r>
          </w:p>
        </w:tc>
        <w:tc>
          <w:tcPr>
            <w:tcW w:w="539" w:type="pct"/>
            <w:tcBorders>
              <w:top w:val="single" w:sz="12" w:space="0" w:color="auto"/>
            </w:tcBorders>
            <w:shd w:val="clear" w:color="auto" w:fill="auto"/>
          </w:tcPr>
          <w:p w14:paraId="6104CA8B" w14:textId="77777777" w:rsidR="00D005FA" w:rsidRPr="009D7432" w:rsidRDefault="00D005FA" w:rsidP="009D7432">
            <w:pPr>
              <w:spacing w:before="40" w:after="120"/>
              <w:ind w:right="113"/>
              <w:rPr>
                <w:rtl/>
                <w:lang w:val="fr-FR"/>
              </w:rPr>
            </w:pPr>
            <w:r w:rsidRPr="009D7432">
              <w:rPr>
                <w:lang w:val="fr-FR"/>
              </w:rPr>
              <w:t>10</w:t>
            </w:r>
          </w:p>
        </w:tc>
        <w:tc>
          <w:tcPr>
            <w:tcW w:w="653" w:type="pct"/>
            <w:tcBorders>
              <w:top w:val="single" w:sz="12" w:space="0" w:color="auto"/>
            </w:tcBorders>
            <w:shd w:val="clear" w:color="auto" w:fill="auto"/>
          </w:tcPr>
          <w:p w14:paraId="0FDB112A" w14:textId="4C10D71F" w:rsidR="00D005FA" w:rsidRPr="009D7432" w:rsidRDefault="00D005FA" w:rsidP="009D7432">
            <w:pPr>
              <w:spacing w:before="40" w:after="120"/>
              <w:ind w:right="113"/>
              <w:rPr>
                <w:lang w:val="fr-FR"/>
              </w:rPr>
            </w:pPr>
            <w:r w:rsidRPr="009D7432">
              <w:rPr>
                <w:lang w:val="fr-FR"/>
              </w:rPr>
              <w:t>Sept affaires ayant fait l</w:t>
            </w:r>
            <w:r w:rsidR="0035332C">
              <w:rPr>
                <w:lang w:val="fr-FR"/>
              </w:rPr>
              <w:t>’</w:t>
            </w:r>
            <w:r w:rsidRPr="009D7432">
              <w:rPr>
                <w:lang w:val="fr-FR"/>
              </w:rPr>
              <w:t>objet d</w:t>
            </w:r>
            <w:r w:rsidR="0035332C">
              <w:rPr>
                <w:lang w:val="fr-FR"/>
              </w:rPr>
              <w:t>’</w:t>
            </w:r>
            <w:r w:rsidRPr="009D7432">
              <w:rPr>
                <w:lang w:val="fr-FR"/>
              </w:rPr>
              <w:t>une décision de justice et trois affaires en instance devant les tribunaux militaires</w:t>
            </w:r>
          </w:p>
        </w:tc>
        <w:tc>
          <w:tcPr>
            <w:tcW w:w="450" w:type="pct"/>
            <w:tcBorders>
              <w:top w:val="single" w:sz="12" w:space="0" w:color="auto"/>
            </w:tcBorders>
            <w:shd w:val="clear" w:color="auto" w:fill="auto"/>
          </w:tcPr>
          <w:p w14:paraId="622E237D" w14:textId="77777777" w:rsidR="00D005FA" w:rsidRPr="009D7432" w:rsidRDefault="00D005FA" w:rsidP="009D7432">
            <w:pPr>
              <w:spacing w:before="40" w:after="120"/>
              <w:ind w:right="113"/>
              <w:rPr>
                <w:rtl/>
                <w:lang w:val="fr-FR"/>
              </w:rPr>
            </w:pPr>
            <w:r w:rsidRPr="009D7432">
              <w:rPr>
                <w:lang w:val="fr-FR"/>
              </w:rPr>
              <w:t>7</w:t>
            </w:r>
          </w:p>
        </w:tc>
        <w:tc>
          <w:tcPr>
            <w:tcW w:w="515" w:type="pct"/>
            <w:tcBorders>
              <w:top w:val="single" w:sz="12" w:space="0" w:color="auto"/>
            </w:tcBorders>
            <w:shd w:val="clear" w:color="auto" w:fill="auto"/>
          </w:tcPr>
          <w:p w14:paraId="1F146B32" w14:textId="77777777" w:rsidR="00D005FA" w:rsidRPr="009D7432" w:rsidRDefault="00D005FA" w:rsidP="009D7432">
            <w:pPr>
              <w:spacing w:before="40" w:after="120"/>
              <w:ind w:right="113"/>
              <w:rPr>
                <w:lang w:val="fr-FR"/>
              </w:rPr>
            </w:pPr>
            <w:r w:rsidRPr="009D7432">
              <w:rPr>
                <w:lang w:val="fr-FR"/>
              </w:rPr>
              <w:t>En instance devant les tribunaux militaires</w:t>
            </w:r>
          </w:p>
        </w:tc>
        <w:tc>
          <w:tcPr>
            <w:tcW w:w="441" w:type="pct"/>
            <w:tcBorders>
              <w:top w:val="single" w:sz="12" w:space="0" w:color="auto"/>
            </w:tcBorders>
            <w:shd w:val="clear" w:color="auto" w:fill="auto"/>
          </w:tcPr>
          <w:p w14:paraId="6D612F82" w14:textId="77777777" w:rsidR="00D005FA" w:rsidRPr="009D7432" w:rsidRDefault="00D005FA" w:rsidP="002547A5">
            <w:pPr>
              <w:spacing w:before="40" w:after="120"/>
              <w:ind w:right="113"/>
              <w:rPr>
                <w:rtl/>
                <w:lang w:val="fr-FR"/>
              </w:rPr>
            </w:pPr>
            <w:r w:rsidRPr="009D7432">
              <w:rPr>
                <w:lang w:val="fr-FR"/>
              </w:rPr>
              <w:t>1</w:t>
            </w:r>
          </w:p>
        </w:tc>
        <w:tc>
          <w:tcPr>
            <w:tcW w:w="588" w:type="pct"/>
            <w:tcBorders>
              <w:top w:val="single" w:sz="12" w:space="0" w:color="auto"/>
            </w:tcBorders>
            <w:shd w:val="clear" w:color="auto" w:fill="auto"/>
          </w:tcPr>
          <w:p w14:paraId="44687FF8" w14:textId="77777777" w:rsidR="00D005FA" w:rsidRPr="009D7432" w:rsidRDefault="00D005FA" w:rsidP="009D7432">
            <w:pPr>
              <w:spacing w:before="40" w:after="120"/>
              <w:ind w:right="113"/>
              <w:rPr>
                <w:lang w:val="fr-FR"/>
              </w:rPr>
            </w:pPr>
            <w:r w:rsidRPr="009D7432">
              <w:rPr>
                <w:lang w:val="fr-FR"/>
              </w:rPr>
              <w:t>Instruction</w:t>
            </w:r>
          </w:p>
        </w:tc>
      </w:tr>
      <w:tr w:rsidR="009D7432" w:rsidRPr="009D7432" w14:paraId="51617668" w14:textId="77777777" w:rsidTr="002547A5">
        <w:tc>
          <w:tcPr>
            <w:tcW w:w="890" w:type="pct"/>
            <w:shd w:val="clear" w:color="auto" w:fill="auto"/>
          </w:tcPr>
          <w:p w14:paraId="04158217" w14:textId="77777777" w:rsidR="00D005FA" w:rsidRPr="009D7432" w:rsidRDefault="00D005FA" w:rsidP="009D7432">
            <w:pPr>
              <w:spacing w:before="40" w:after="120"/>
              <w:ind w:right="113"/>
              <w:rPr>
                <w:lang w:val="fr-FR"/>
              </w:rPr>
            </w:pPr>
            <w:r w:rsidRPr="009D7432">
              <w:rPr>
                <w:lang w:val="fr-FR"/>
              </w:rPr>
              <w:t>Privation de liberté</w:t>
            </w:r>
          </w:p>
        </w:tc>
        <w:tc>
          <w:tcPr>
            <w:tcW w:w="434" w:type="pct"/>
            <w:shd w:val="clear" w:color="auto" w:fill="auto"/>
          </w:tcPr>
          <w:p w14:paraId="482C508C" w14:textId="77777777" w:rsidR="00D005FA" w:rsidRPr="009D7432" w:rsidRDefault="00D005FA" w:rsidP="009D7432">
            <w:pPr>
              <w:spacing w:before="40" w:after="120"/>
              <w:ind w:right="113"/>
              <w:rPr>
                <w:rtl/>
                <w:lang w:val="fr-FR"/>
              </w:rPr>
            </w:pPr>
          </w:p>
        </w:tc>
        <w:tc>
          <w:tcPr>
            <w:tcW w:w="490" w:type="pct"/>
            <w:shd w:val="clear" w:color="auto" w:fill="auto"/>
          </w:tcPr>
          <w:p w14:paraId="671ADA6E" w14:textId="77777777" w:rsidR="00D005FA" w:rsidRPr="009D7432" w:rsidRDefault="00D005FA" w:rsidP="009D7432">
            <w:pPr>
              <w:spacing w:before="40" w:after="120"/>
              <w:ind w:right="113"/>
              <w:rPr>
                <w:rtl/>
                <w:lang w:val="fr-FR"/>
              </w:rPr>
            </w:pPr>
          </w:p>
        </w:tc>
        <w:tc>
          <w:tcPr>
            <w:tcW w:w="539" w:type="pct"/>
            <w:shd w:val="clear" w:color="auto" w:fill="auto"/>
          </w:tcPr>
          <w:p w14:paraId="0C3AAA6C" w14:textId="77777777" w:rsidR="00D005FA" w:rsidRPr="009D7432" w:rsidRDefault="00D005FA" w:rsidP="009D7432">
            <w:pPr>
              <w:spacing w:before="40" w:after="120"/>
              <w:ind w:right="113"/>
              <w:rPr>
                <w:rtl/>
                <w:lang w:val="fr-FR"/>
              </w:rPr>
            </w:pPr>
            <w:r w:rsidRPr="009D7432">
              <w:rPr>
                <w:lang w:val="fr-FR"/>
              </w:rPr>
              <w:t>3</w:t>
            </w:r>
          </w:p>
        </w:tc>
        <w:tc>
          <w:tcPr>
            <w:tcW w:w="653" w:type="pct"/>
            <w:shd w:val="clear" w:color="auto" w:fill="auto"/>
          </w:tcPr>
          <w:p w14:paraId="41A89965" w14:textId="4977F69B" w:rsidR="00D005FA" w:rsidRPr="009D7432" w:rsidRDefault="00D005FA" w:rsidP="009D7432">
            <w:pPr>
              <w:spacing w:before="40" w:after="120"/>
              <w:ind w:right="113"/>
              <w:rPr>
                <w:lang w:val="fr-FR"/>
              </w:rPr>
            </w:pPr>
            <w:r w:rsidRPr="009D7432">
              <w:rPr>
                <w:lang w:val="fr-FR"/>
              </w:rPr>
              <w:t>Trois affaires ayant fait l</w:t>
            </w:r>
            <w:r w:rsidR="0035332C">
              <w:rPr>
                <w:lang w:val="fr-FR"/>
              </w:rPr>
              <w:t>’</w:t>
            </w:r>
            <w:r w:rsidRPr="009D7432">
              <w:rPr>
                <w:lang w:val="fr-FR"/>
              </w:rPr>
              <w:t>objet d</w:t>
            </w:r>
            <w:r w:rsidR="0035332C">
              <w:rPr>
                <w:lang w:val="fr-FR"/>
              </w:rPr>
              <w:t>’</w:t>
            </w:r>
            <w:r w:rsidRPr="009D7432">
              <w:rPr>
                <w:lang w:val="fr-FR"/>
              </w:rPr>
              <w:t>une décision de justice</w:t>
            </w:r>
          </w:p>
        </w:tc>
        <w:tc>
          <w:tcPr>
            <w:tcW w:w="450" w:type="pct"/>
            <w:shd w:val="clear" w:color="auto" w:fill="auto"/>
          </w:tcPr>
          <w:p w14:paraId="7C119F50" w14:textId="77777777" w:rsidR="00D005FA" w:rsidRPr="009D7432" w:rsidRDefault="00D005FA" w:rsidP="009D7432">
            <w:pPr>
              <w:spacing w:before="40" w:after="120"/>
              <w:ind w:right="113"/>
              <w:rPr>
                <w:rtl/>
                <w:lang w:val="fr-FR"/>
              </w:rPr>
            </w:pPr>
            <w:r w:rsidRPr="009D7432">
              <w:rPr>
                <w:lang w:val="fr-FR"/>
              </w:rPr>
              <w:t>13</w:t>
            </w:r>
          </w:p>
        </w:tc>
        <w:tc>
          <w:tcPr>
            <w:tcW w:w="515" w:type="pct"/>
            <w:shd w:val="clear" w:color="auto" w:fill="auto"/>
          </w:tcPr>
          <w:p w14:paraId="4B19C848" w14:textId="1FD57F23" w:rsidR="00D005FA" w:rsidRPr="002547A5" w:rsidRDefault="00D005FA" w:rsidP="002547A5">
            <w:pPr>
              <w:spacing w:before="40" w:after="120"/>
              <w:rPr>
                <w:spacing w:val="-2"/>
                <w:lang w:val="fr-FR"/>
              </w:rPr>
            </w:pPr>
            <w:r w:rsidRPr="002547A5">
              <w:rPr>
                <w:spacing w:val="-2"/>
                <w:lang w:val="fr-FR"/>
              </w:rPr>
              <w:t xml:space="preserve">Sept </w:t>
            </w:r>
            <w:r w:rsidR="002547A5">
              <w:rPr>
                <w:spacing w:val="-2"/>
                <w:lang w:val="fr-FR"/>
              </w:rPr>
              <w:br/>
            </w:r>
            <w:r w:rsidRPr="002547A5">
              <w:rPr>
                <w:spacing w:val="-2"/>
                <w:lang w:val="fr-FR"/>
              </w:rPr>
              <w:t>affaires classées pour insuffisance de preuves et six affaires en instance devant les tribunaux militaires</w:t>
            </w:r>
          </w:p>
        </w:tc>
        <w:tc>
          <w:tcPr>
            <w:tcW w:w="441" w:type="pct"/>
            <w:shd w:val="clear" w:color="auto" w:fill="auto"/>
          </w:tcPr>
          <w:p w14:paraId="372554B0" w14:textId="77777777" w:rsidR="00D005FA" w:rsidRPr="009D7432" w:rsidRDefault="00D005FA" w:rsidP="002547A5">
            <w:pPr>
              <w:spacing w:before="40" w:after="120"/>
              <w:ind w:right="113"/>
              <w:rPr>
                <w:rtl/>
                <w:lang w:val="fr-FR"/>
              </w:rPr>
            </w:pPr>
            <w:r w:rsidRPr="009D7432">
              <w:rPr>
                <w:lang w:val="fr-FR"/>
              </w:rPr>
              <w:t>8</w:t>
            </w:r>
          </w:p>
        </w:tc>
        <w:tc>
          <w:tcPr>
            <w:tcW w:w="588" w:type="pct"/>
            <w:shd w:val="clear" w:color="auto" w:fill="auto"/>
          </w:tcPr>
          <w:p w14:paraId="2E2EB84F" w14:textId="1C1F0B8A" w:rsidR="00D005FA" w:rsidRPr="009D7432" w:rsidRDefault="00D005FA" w:rsidP="009D7432">
            <w:pPr>
              <w:spacing w:before="40" w:after="120"/>
              <w:ind w:right="113"/>
              <w:rPr>
                <w:lang w:val="fr-FR"/>
              </w:rPr>
            </w:pPr>
            <w:r w:rsidRPr="009D7432">
              <w:rPr>
                <w:lang w:val="fr-FR"/>
              </w:rPr>
              <w:t>Deux affaires classées pour insuffisance de preuves, cinq affaires au stade de l</w:t>
            </w:r>
            <w:r w:rsidR="0035332C">
              <w:rPr>
                <w:lang w:val="fr-FR"/>
              </w:rPr>
              <w:t>’</w:t>
            </w:r>
            <w:r w:rsidRPr="009D7432">
              <w:rPr>
                <w:lang w:val="fr-FR"/>
              </w:rPr>
              <w:t>instruction et une affaire en instance devant les tribunaux militaires</w:t>
            </w:r>
          </w:p>
        </w:tc>
      </w:tr>
      <w:tr w:rsidR="009D7432" w:rsidRPr="009D7432" w14:paraId="5831F9BB" w14:textId="77777777" w:rsidTr="002547A5">
        <w:tc>
          <w:tcPr>
            <w:tcW w:w="890" w:type="pct"/>
            <w:shd w:val="clear" w:color="auto" w:fill="auto"/>
          </w:tcPr>
          <w:p w14:paraId="2308471B" w14:textId="77777777" w:rsidR="00D005FA" w:rsidRPr="009D7432" w:rsidRDefault="00D005FA" w:rsidP="009D7432">
            <w:pPr>
              <w:spacing w:before="40" w:after="120"/>
              <w:ind w:right="113"/>
              <w:rPr>
                <w:lang w:val="fr-FR"/>
              </w:rPr>
            </w:pPr>
            <w:r w:rsidRPr="009D7432">
              <w:rPr>
                <w:lang w:val="fr-FR"/>
              </w:rPr>
              <w:t>Torture</w:t>
            </w:r>
          </w:p>
        </w:tc>
        <w:tc>
          <w:tcPr>
            <w:tcW w:w="434" w:type="pct"/>
            <w:shd w:val="clear" w:color="auto" w:fill="auto"/>
          </w:tcPr>
          <w:p w14:paraId="0F9C89B0" w14:textId="77777777" w:rsidR="00D005FA" w:rsidRPr="009D7432" w:rsidRDefault="00D005FA" w:rsidP="009D7432">
            <w:pPr>
              <w:spacing w:before="40" w:after="120"/>
              <w:ind w:right="113"/>
              <w:rPr>
                <w:rtl/>
                <w:lang w:val="fr-FR"/>
              </w:rPr>
            </w:pPr>
          </w:p>
        </w:tc>
        <w:tc>
          <w:tcPr>
            <w:tcW w:w="490" w:type="pct"/>
            <w:shd w:val="clear" w:color="auto" w:fill="auto"/>
          </w:tcPr>
          <w:p w14:paraId="035AE53B" w14:textId="77777777" w:rsidR="00D005FA" w:rsidRPr="009D7432" w:rsidRDefault="00D005FA" w:rsidP="009D7432">
            <w:pPr>
              <w:spacing w:before="40" w:after="120"/>
              <w:ind w:right="113"/>
              <w:rPr>
                <w:rtl/>
                <w:lang w:val="fr-FR"/>
              </w:rPr>
            </w:pPr>
          </w:p>
        </w:tc>
        <w:tc>
          <w:tcPr>
            <w:tcW w:w="539" w:type="pct"/>
            <w:shd w:val="clear" w:color="auto" w:fill="auto"/>
          </w:tcPr>
          <w:p w14:paraId="5118B610" w14:textId="77777777" w:rsidR="00D005FA" w:rsidRPr="009D7432" w:rsidRDefault="00D005FA" w:rsidP="009D7432">
            <w:pPr>
              <w:spacing w:before="40" w:after="120"/>
              <w:ind w:right="113"/>
              <w:rPr>
                <w:rtl/>
                <w:lang w:val="fr-FR"/>
              </w:rPr>
            </w:pPr>
          </w:p>
        </w:tc>
        <w:tc>
          <w:tcPr>
            <w:tcW w:w="653" w:type="pct"/>
            <w:shd w:val="clear" w:color="auto" w:fill="auto"/>
          </w:tcPr>
          <w:p w14:paraId="3C0D7568" w14:textId="77777777" w:rsidR="00D005FA" w:rsidRPr="009D7432" w:rsidRDefault="00D005FA" w:rsidP="009D7432">
            <w:pPr>
              <w:spacing w:before="40" w:after="120"/>
              <w:ind w:right="113"/>
              <w:rPr>
                <w:rtl/>
                <w:lang w:val="fr-FR"/>
              </w:rPr>
            </w:pPr>
          </w:p>
        </w:tc>
        <w:tc>
          <w:tcPr>
            <w:tcW w:w="450" w:type="pct"/>
            <w:shd w:val="clear" w:color="auto" w:fill="auto"/>
          </w:tcPr>
          <w:p w14:paraId="6B5DD857" w14:textId="77777777" w:rsidR="00D005FA" w:rsidRPr="009D7432" w:rsidRDefault="00D005FA" w:rsidP="009D7432">
            <w:pPr>
              <w:spacing w:before="40" w:after="120"/>
              <w:ind w:right="113"/>
              <w:rPr>
                <w:rtl/>
                <w:lang w:val="fr-FR"/>
              </w:rPr>
            </w:pPr>
          </w:p>
        </w:tc>
        <w:tc>
          <w:tcPr>
            <w:tcW w:w="515" w:type="pct"/>
            <w:shd w:val="clear" w:color="auto" w:fill="auto"/>
          </w:tcPr>
          <w:p w14:paraId="0A417F57" w14:textId="77777777" w:rsidR="00D005FA" w:rsidRPr="009D7432" w:rsidRDefault="00D005FA" w:rsidP="009D7432">
            <w:pPr>
              <w:spacing w:before="40" w:after="120"/>
              <w:ind w:right="113"/>
              <w:rPr>
                <w:rtl/>
                <w:lang w:val="fr-FR"/>
              </w:rPr>
            </w:pPr>
          </w:p>
        </w:tc>
        <w:tc>
          <w:tcPr>
            <w:tcW w:w="441" w:type="pct"/>
            <w:shd w:val="clear" w:color="auto" w:fill="auto"/>
          </w:tcPr>
          <w:p w14:paraId="0DBED84B" w14:textId="77777777" w:rsidR="00D005FA" w:rsidRPr="009D7432" w:rsidRDefault="00D005FA" w:rsidP="002547A5">
            <w:pPr>
              <w:spacing w:before="40" w:after="120"/>
              <w:ind w:right="113"/>
              <w:rPr>
                <w:rtl/>
                <w:lang w:val="fr-FR"/>
              </w:rPr>
            </w:pPr>
            <w:r w:rsidRPr="009D7432">
              <w:rPr>
                <w:lang w:val="fr-FR"/>
              </w:rPr>
              <w:t>2</w:t>
            </w:r>
          </w:p>
        </w:tc>
        <w:tc>
          <w:tcPr>
            <w:tcW w:w="588" w:type="pct"/>
            <w:shd w:val="clear" w:color="auto" w:fill="auto"/>
          </w:tcPr>
          <w:p w14:paraId="6D7C64C0" w14:textId="77777777" w:rsidR="00D005FA" w:rsidRPr="009D7432" w:rsidRDefault="00D005FA" w:rsidP="009D7432">
            <w:pPr>
              <w:spacing w:before="40" w:after="120"/>
              <w:ind w:right="113"/>
              <w:rPr>
                <w:lang w:val="fr-FR"/>
              </w:rPr>
            </w:pPr>
            <w:r w:rsidRPr="009D7432">
              <w:rPr>
                <w:lang w:val="fr-FR"/>
              </w:rPr>
              <w:t>Instruction</w:t>
            </w:r>
          </w:p>
        </w:tc>
      </w:tr>
      <w:tr w:rsidR="009D7432" w:rsidRPr="009D7432" w14:paraId="7BC9DACF" w14:textId="77777777" w:rsidTr="002547A5">
        <w:tc>
          <w:tcPr>
            <w:tcW w:w="890" w:type="pct"/>
            <w:shd w:val="clear" w:color="auto" w:fill="auto"/>
          </w:tcPr>
          <w:p w14:paraId="10466F00" w14:textId="77777777" w:rsidR="00D005FA" w:rsidRPr="009D7432" w:rsidRDefault="00D005FA" w:rsidP="002547A5">
            <w:pPr>
              <w:keepNext/>
              <w:spacing w:before="40" w:after="120"/>
              <w:ind w:right="113"/>
              <w:rPr>
                <w:lang w:val="fr-FR"/>
              </w:rPr>
            </w:pPr>
            <w:r w:rsidRPr="009D7432">
              <w:rPr>
                <w:lang w:val="fr-FR"/>
              </w:rPr>
              <w:lastRenderedPageBreak/>
              <w:t>Enlèvement</w:t>
            </w:r>
          </w:p>
        </w:tc>
        <w:tc>
          <w:tcPr>
            <w:tcW w:w="434" w:type="pct"/>
            <w:shd w:val="clear" w:color="auto" w:fill="auto"/>
          </w:tcPr>
          <w:p w14:paraId="791D1456" w14:textId="77777777" w:rsidR="00D005FA" w:rsidRPr="009D7432" w:rsidRDefault="00D005FA" w:rsidP="002547A5">
            <w:pPr>
              <w:keepNext/>
              <w:spacing w:before="40" w:after="120"/>
              <w:ind w:right="113"/>
              <w:rPr>
                <w:rtl/>
                <w:lang w:val="fr-FR"/>
              </w:rPr>
            </w:pPr>
          </w:p>
        </w:tc>
        <w:tc>
          <w:tcPr>
            <w:tcW w:w="490" w:type="pct"/>
            <w:shd w:val="clear" w:color="auto" w:fill="auto"/>
          </w:tcPr>
          <w:p w14:paraId="6BA21011" w14:textId="77777777" w:rsidR="00D005FA" w:rsidRPr="009D7432" w:rsidRDefault="00D005FA" w:rsidP="002547A5">
            <w:pPr>
              <w:keepNext/>
              <w:spacing w:before="40" w:after="120"/>
              <w:ind w:right="113"/>
              <w:rPr>
                <w:rtl/>
                <w:lang w:val="fr-FR"/>
              </w:rPr>
            </w:pPr>
          </w:p>
        </w:tc>
        <w:tc>
          <w:tcPr>
            <w:tcW w:w="539" w:type="pct"/>
            <w:shd w:val="clear" w:color="auto" w:fill="auto"/>
          </w:tcPr>
          <w:p w14:paraId="434F3A83" w14:textId="77777777" w:rsidR="00D005FA" w:rsidRPr="009D7432" w:rsidRDefault="00D005FA" w:rsidP="002547A5">
            <w:pPr>
              <w:keepNext/>
              <w:spacing w:before="40" w:after="120"/>
              <w:ind w:right="113"/>
              <w:rPr>
                <w:rtl/>
                <w:lang w:val="fr-FR"/>
              </w:rPr>
            </w:pPr>
            <w:r w:rsidRPr="009D7432">
              <w:rPr>
                <w:lang w:val="fr-FR"/>
              </w:rPr>
              <w:t>1</w:t>
            </w:r>
          </w:p>
        </w:tc>
        <w:tc>
          <w:tcPr>
            <w:tcW w:w="653" w:type="pct"/>
            <w:shd w:val="clear" w:color="auto" w:fill="auto"/>
          </w:tcPr>
          <w:p w14:paraId="51848171" w14:textId="77777777" w:rsidR="00D005FA" w:rsidRPr="009D7432" w:rsidRDefault="00D005FA" w:rsidP="002547A5">
            <w:pPr>
              <w:keepNext/>
              <w:spacing w:before="40" w:after="120"/>
              <w:ind w:right="113"/>
              <w:rPr>
                <w:lang w:val="fr-FR"/>
              </w:rPr>
            </w:pPr>
            <w:r w:rsidRPr="009D7432">
              <w:rPr>
                <w:lang w:val="fr-FR"/>
              </w:rPr>
              <w:t>Une décision de justice</w:t>
            </w:r>
          </w:p>
        </w:tc>
        <w:tc>
          <w:tcPr>
            <w:tcW w:w="450" w:type="pct"/>
            <w:shd w:val="clear" w:color="auto" w:fill="auto"/>
          </w:tcPr>
          <w:p w14:paraId="63669B53" w14:textId="77777777" w:rsidR="00D005FA" w:rsidRPr="009D7432" w:rsidRDefault="00D005FA" w:rsidP="002547A5">
            <w:pPr>
              <w:keepNext/>
              <w:spacing w:before="40" w:after="120"/>
              <w:ind w:right="113"/>
              <w:rPr>
                <w:rtl/>
                <w:lang w:val="fr-FR"/>
              </w:rPr>
            </w:pPr>
            <w:r w:rsidRPr="009D7432">
              <w:rPr>
                <w:lang w:val="fr-FR"/>
              </w:rPr>
              <w:t>3</w:t>
            </w:r>
          </w:p>
        </w:tc>
        <w:tc>
          <w:tcPr>
            <w:tcW w:w="515" w:type="pct"/>
            <w:shd w:val="clear" w:color="auto" w:fill="auto"/>
          </w:tcPr>
          <w:p w14:paraId="72619FBB" w14:textId="77777777" w:rsidR="00D005FA" w:rsidRPr="009D7432" w:rsidRDefault="00D005FA" w:rsidP="002547A5">
            <w:pPr>
              <w:keepNext/>
              <w:spacing w:before="40" w:after="120"/>
              <w:ind w:right="113"/>
              <w:rPr>
                <w:lang w:val="fr-FR"/>
              </w:rPr>
            </w:pPr>
            <w:r w:rsidRPr="009D7432">
              <w:rPr>
                <w:lang w:val="fr-FR"/>
              </w:rPr>
              <w:t>Une décision de justice</w:t>
            </w:r>
          </w:p>
        </w:tc>
        <w:tc>
          <w:tcPr>
            <w:tcW w:w="441" w:type="pct"/>
            <w:shd w:val="clear" w:color="auto" w:fill="auto"/>
          </w:tcPr>
          <w:p w14:paraId="2639CE4F" w14:textId="77777777" w:rsidR="00D005FA" w:rsidRPr="009D7432" w:rsidRDefault="00D005FA" w:rsidP="002547A5">
            <w:pPr>
              <w:keepNext/>
              <w:spacing w:before="40" w:after="120"/>
              <w:ind w:right="113"/>
              <w:rPr>
                <w:rtl/>
                <w:lang w:val="fr-FR"/>
              </w:rPr>
            </w:pPr>
            <w:r w:rsidRPr="009D7432">
              <w:rPr>
                <w:lang w:val="fr-FR"/>
              </w:rPr>
              <w:t>1</w:t>
            </w:r>
          </w:p>
        </w:tc>
        <w:tc>
          <w:tcPr>
            <w:tcW w:w="588" w:type="pct"/>
            <w:shd w:val="clear" w:color="auto" w:fill="auto"/>
          </w:tcPr>
          <w:p w14:paraId="12AC6C77" w14:textId="2153D963" w:rsidR="00D005FA" w:rsidRPr="009D7432" w:rsidRDefault="00D005FA" w:rsidP="002547A5">
            <w:pPr>
              <w:keepNext/>
              <w:spacing w:before="40" w:after="120"/>
              <w:ind w:right="113"/>
              <w:rPr>
                <w:lang w:val="fr-FR"/>
              </w:rPr>
            </w:pPr>
            <w:r w:rsidRPr="009D7432">
              <w:rPr>
                <w:lang w:val="fr-FR"/>
              </w:rPr>
              <w:t>Classement de l</w:t>
            </w:r>
            <w:r w:rsidR="0035332C">
              <w:rPr>
                <w:lang w:val="fr-FR"/>
              </w:rPr>
              <w:t>’</w:t>
            </w:r>
            <w:r w:rsidRPr="009D7432">
              <w:rPr>
                <w:lang w:val="fr-FR"/>
              </w:rPr>
              <w:t>affaire pour insuffisance de preuves</w:t>
            </w:r>
          </w:p>
        </w:tc>
      </w:tr>
      <w:tr w:rsidR="002547A5" w:rsidRPr="009D7432" w14:paraId="6ED48766" w14:textId="77777777" w:rsidTr="002547A5">
        <w:tc>
          <w:tcPr>
            <w:tcW w:w="890" w:type="pct"/>
            <w:shd w:val="clear" w:color="auto" w:fill="auto"/>
          </w:tcPr>
          <w:p w14:paraId="7508552F" w14:textId="04FA55A8" w:rsidR="002547A5" w:rsidRPr="009D7432" w:rsidRDefault="002547A5" w:rsidP="002547A5">
            <w:pPr>
              <w:spacing w:before="40" w:after="120"/>
              <w:ind w:right="113"/>
              <w:rPr>
                <w:lang w:val="fr-FR"/>
              </w:rPr>
            </w:pPr>
            <w:r w:rsidRPr="009D7432">
              <w:rPr>
                <w:lang w:val="fr-FR"/>
              </w:rPr>
              <w:t>Plaintes émanant d</w:t>
            </w:r>
            <w:r w:rsidR="0035332C">
              <w:rPr>
                <w:lang w:val="fr-FR"/>
              </w:rPr>
              <w:t>’</w:t>
            </w:r>
            <w:r w:rsidRPr="009D7432">
              <w:rPr>
                <w:lang w:val="fr-FR"/>
              </w:rPr>
              <w:t>organisations de la société civile</w:t>
            </w:r>
          </w:p>
        </w:tc>
        <w:tc>
          <w:tcPr>
            <w:tcW w:w="434" w:type="pct"/>
            <w:shd w:val="clear" w:color="auto" w:fill="auto"/>
          </w:tcPr>
          <w:p w14:paraId="5BB8F32B" w14:textId="77777777" w:rsidR="002547A5" w:rsidRPr="009D7432" w:rsidRDefault="002547A5" w:rsidP="002547A5">
            <w:pPr>
              <w:keepNext/>
              <w:spacing w:before="40" w:after="120"/>
              <w:ind w:right="113"/>
              <w:rPr>
                <w:rtl/>
                <w:lang w:val="fr-FR"/>
              </w:rPr>
            </w:pPr>
          </w:p>
        </w:tc>
        <w:tc>
          <w:tcPr>
            <w:tcW w:w="490" w:type="pct"/>
            <w:shd w:val="clear" w:color="auto" w:fill="auto"/>
          </w:tcPr>
          <w:p w14:paraId="6155A5A4" w14:textId="77777777" w:rsidR="002547A5" w:rsidRPr="009D7432" w:rsidRDefault="002547A5" w:rsidP="002547A5">
            <w:pPr>
              <w:keepNext/>
              <w:spacing w:before="40" w:after="120"/>
              <w:ind w:right="113"/>
              <w:rPr>
                <w:rtl/>
                <w:lang w:val="fr-FR"/>
              </w:rPr>
            </w:pPr>
          </w:p>
        </w:tc>
        <w:tc>
          <w:tcPr>
            <w:tcW w:w="539" w:type="pct"/>
            <w:shd w:val="clear" w:color="auto" w:fill="auto"/>
          </w:tcPr>
          <w:p w14:paraId="2DC0696F" w14:textId="77777777" w:rsidR="002547A5" w:rsidRPr="009D7432" w:rsidRDefault="002547A5" w:rsidP="002547A5">
            <w:pPr>
              <w:keepNext/>
              <w:spacing w:before="40" w:after="120"/>
              <w:ind w:right="113"/>
              <w:rPr>
                <w:lang w:val="fr-FR"/>
              </w:rPr>
            </w:pPr>
          </w:p>
        </w:tc>
        <w:tc>
          <w:tcPr>
            <w:tcW w:w="653" w:type="pct"/>
            <w:shd w:val="clear" w:color="auto" w:fill="auto"/>
          </w:tcPr>
          <w:p w14:paraId="49998D88" w14:textId="77777777" w:rsidR="002547A5" w:rsidRPr="009D7432" w:rsidRDefault="002547A5" w:rsidP="002547A5">
            <w:pPr>
              <w:keepNext/>
              <w:spacing w:before="40" w:after="120"/>
              <w:ind w:right="113"/>
              <w:rPr>
                <w:lang w:val="fr-FR"/>
              </w:rPr>
            </w:pPr>
          </w:p>
        </w:tc>
        <w:tc>
          <w:tcPr>
            <w:tcW w:w="450" w:type="pct"/>
            <w:shd w:val="clear" w:color="auto" w:fill="auto"/>
          </w:tcPr>
          <w:p w14:paraId="22D77BD1" w14:textId="77777777" w:rsidR="002547A5" w:rsidRPr="009D7432" w:rsidRDefault="002547A5" w:rsidP="002547A5">
            <w:pPr>
              <w:keepNext/>
              <w:spacing w:before="40" w:after="120"/>
              <w:ind w:right="113"/>
              <w:rPr>
                <w:lang w:val="fr-FR"/>
              </w:rPr>
            </w:pPr>
          </w:p>
        </w:tc>
        <w:tc>
          <w:tcPr>
            <w:tcW w:w="515" w:type="pct"/>
            <w:shd w:val="clear" w:color="auto" w:fill="auto"/>
          </w:tcPr>
          <w:p w14:paraId="3FB5B97F" w14:textId="77777777" w:rsidR="002547A5" w:rsidRPr="009D7432" w:rsidRDefault="002547A5" w:rsidP="002547A5">
            <w:pPr>
              <w:keepNext/>
              <w:spacing w:before="40" w:after="120"/>
              <w:ind w:right="113"/>
              <w:rPr>
                <w:lang w:val="fr-FR"/>
              </w:rPr>
            </w:pPr>
          </w:p>
        </w:tc>
        <w:tc>
          <w:tcPr>
            <w:tcW w:w="441" w:type="pct"/>
            <w:shd w:val="clear" w:color="auto" w:fill="auto"/>
          </w:tcPr>
          <w:p w14:paraId="399A1C4C" w14:textId="77777777" w:rsidR="002547A5" w:rsidRPr="009D7432" w:rsidRDefault="002547A5" w:rsidP="002547A5">
            <w:pPr>
              <w:keepNext/>
              <w:spacing w:before="40" w:after="120"/>
              <w:ind w:right="113"/>
              <w:rPr>
                <w:lang w:val="fr-FR"/>
              </w:rPr>
            </w:pPr>
          </w:p>
        </w:tc>
        <w:tc>
          <w:tcPr>
            <w:tcW w:w="588" w:type="pct"/>
            <w:shd w:val="clear" w:color="auto" w:fill="auto"/>
          </w:tcPr>
          <w:p w14:paraId="683C5D4F" w14:textId="77777777" w:rsidR="002547A5" w:rsidRPr="009D7432" w:rsidRDefault="002547A5" w:rsidP="002547A5">
            <w:pPr>
              <w:keepNext/>
              <w:spacing w:before="40" w:after="120"/>
              <w:ind w:right="113"/>
              <w:rPr>
                <w:lang w:val="fr-FR"/>
              </w:rPr>
            </w:pPr>
          </w:p>
        </w:tc>
      </w:tr>
      <w:tr w:rsidR="002547A5" w:rsidRPr="009D7432" w14:paraId="33328AD3" w14:textId="77777777" w:rsidTr="002547A5">
        <w:tc>
          <w:tcPr>
            <w:tcW w:w="890" w:type="pct"/>
            <w:shd w:val="clear" w:color="auto" w:fill="auto"/>
          </w:tcPr>
          <w:p w14:paraId="727628E2" w14:textId="5624C805" w:rsidR="002547A5" w:rsidRPr="009D7432" w:rsidRDefault="002547A5" w:rsidP="002547A5">
            <w:pPr>
              <w:spacing w:before="40" w:after="120"/>
              <w:ind w:right="113"/>
              <w:rPr>
                <w:lang w:val="fr-FR"/>
              </w:rPr>
            </w:pPr>
            <w:r>
              <w:rPr>
                <w:lang w:val="fr-FR"/>
              </w:rPr>
              <w:t>−</w:t>
            </w:r>
            <w:r w:rsidRPr="009D7432">
              <w:rPr>
                <w:lang w:val="fr-FR"/>
              </w:rPr>
              <w:t xml:space="preserve"> Organisation Al</w:t>
            </w:r>
            <w:r>
              <w:rPr>
                <w:lang w:val="fr-FR"/>
              </w:rPr>
              <w:t> </w:t>
            </w:r>
            <w:r w:rsidRPr="009D7432">
              <w:rPr>
                <w:lang w:val="fr-FR"/>
              </w:rPr>
              <w:t>Haq</w:t>
            </w:r>
          </w:p>
        </w:tc>
        <w:tc>
          <w:tcPr>
            <w:tcW w:w="434" w:type="pct"/>
            <w:shd w:val="clear" w:color="auto" w:fill="auto"/>
          </w:tcPr>
          <w:p w14:paraId="3A0B5B97" w14:textId="77777777" w:rsidR="002547A5" w:rsidRPr="009D7432" w:rsidRDefault="002547A5" w:rsidP="002547A5">
            <w:pPr>
              <w:keepNext/>
              <w:spacing w:before="40" w:after="120"/>
              <w:ind w:right="113"/>
              <w:rPr>
                <w:rtl/>
                <w:lang w:val="fr-FR"/>
              </w:rPr>
            </w:pPr>
          </w:p>
        </w:tc>
        <w:tc>
          <w:tcPr>
            <w:tcW w:w="490" w:type="pct"/>
            <w:shd w:val="clear" w:color="auto" w:fill="auto"/>
          </w:tcPr>
          <w:p w14:paraId="60C58280" w14:textId="77777777" w:rsidR="002547A5" w:rsidRPr="009D7432" w:rsidRDefault="002547A5" w:rsidP="002547A5">
            <w:pPr>
              <w:keepNext/>
              <w:spacing w:before="40" w:after="120"/>
              <w:ind w:right="113"/>
              <w:rPr>
                <w:rtl/>
                <w:lang w:val="fr-FR"/>
              </w:rPr>
            </w:pPr>
          </w:p>
        </w:tc>
        <w:tc>
          <w:tcPr>
            <w:tcW w:w="539" w:type="pct"/>
            <w:shd w:val="clear" w:color="auto" w:fill="auto"/>
          </w:tcPr>
          <w:p w14:paraId="142C4FC1" w14:textId="77777777" w:rsidR="002547A5" w:rsidRPr="009D7432" w:rsidRDefault="002547A5" w:rsidP="002547A5">
            <w:pPr>
              <w:keepNext/>
              <w:spacing w:before="40" w:after="120"/>
              <w:ind w:right="113"/>
              <w:rPr>
                <w:lang w:val="fr-FR"/>
              </w:rPr>
            </w:pPr>
          </w:p>
        </w:tc>
        <w:tc>
          <w:tcPr>
            <w:tcW w:w="653" w:type="pct"/>
            <w:shd w:val="clear" w:color="auto" w:fill="auto"/>
          </w:tcPr>
          <w:p w14:paraId="02FC5E22" w14:textId="77777777" w:rsidR="002547A5" w:rsidRPr="009D7432" w:rsidRDefault="002547A5" w:rsidP="002547A5">
            <w:pPr>
              <w:keepNext/>
              <w:spacing w:before="40" w:after="120"/>
              <w:ind w:right="113"/>
              <w:rPr>
                <w:lang w:val="fr-FR"/>
              </w:rPr>
            </w:pPr>
          </w:p>
        </w:tc>
        <w:tc>
          <w:tcPr>
            <w:tcW w:w="450" w:type="pct"/>
            <w:shd w:val="clear" w:color="auto" w:fill="auto"/>
          </w:tcPr>
          <w:p w14:paraId="26B3E89D" w14:textId="77777777" w:rsidR="002547A5" w:rsidRPr="009D7432" w:rsidRDefault="002547A5" w:rsidP="002547A5">
            <w:pPr>
              <w:keepNext/>
              <w:spacing w:before="40" w:after="120"/>
              <w:ind w:right="113"/>
              <w:rPr>
                <w:lang w:val="fr-FR"/>
              </w:rPr>
            </w:pPr>
          </w:p>
        </w:tc>
        <w:tc>
          <w:tcPr>
            <w:tcW w:w="515" w:type="pct"/>
            <w:shd w:val="clear" w:color="auto" w:fill="auto"/>
          </w:tcPr>
          <w:p w14:paraId="5EEF9398" w14:textId="77777777" w:rsidR="002547A5" w:rsidRPr="009D7432" w:rsidRDefault="002547A5" w:rsidP="002547A5">
            <w:pPr>
              <w:keepNext/>
              <w:spacing w:before="40" w:after="120"/>
              <w:ind w:right="113"/>
              <w:rPr>
                <w:lang w:val="fr-FR"/>
              </w:rPr>
            </w:pPr>
          </w:p>
        </w:tc>
        <w:tc>
          <w:tcPr>
            <w:tcW w:w="441" w:type="pct"/>
            <w:shd w:val="clear" w:color="auto" w:fill="auto"/>
          </w:tcPr>
          <w:p w14:paraId="27FE26C8" w14:textId="4EC60C87" w:rsidR="002547A5" w:rsidRPr="009D7432" w:rsidRDefault="002547A5" w:rsidP="002547A5">
            <w:pPr>
              <w:spacing w:before="40" w:after="120"/>
              <w:ind w:right="113"/>
              <w:rPr>
                <w:lang w:val="fr-FR"/>
              </w:rPr>
            </w:pPr>
            <w:r w:rsidRPr="009D7432">
              <w:rPr>
                <w:lang w:val="fr-FR"/>
              </w:rPr>
              <w:t>2</w:t>
            </w:r>
          </w:p>
        </w:tc>
        <w:tc>
          <w:tcPr>
            <w:tcW w:w="588" w:type="pct"/>
            <w:shd w:val="clear" w:color="auto" w:fill="auto"/>
          </w:tcPr>
          <w:p w14:paraId="5C228419" w14:textId="2298E481" w:rsidR="002547A5" w:rsidRPr="009D7432" w:rsidRDefault="00BF58AC" w:rsidP="002547A5">
            <w:pPr>
              <w:keepNext/>
              <w:spacing w:before="40" w:after="120"/>
              <w:ind w:right="113"/>
              <w:rPr>
                <w:lang w:val="fr-FR"/>
              </w:rPr>
            </w:pPr>
            <w:r w:rsidRPr="009D7432">
              <w:rPr>
                <w:lang w:val="fr-FR"/>
              </w:rPr>
              <w:t>Instruction</w:t>
            </w:r>
          </w:p>
        </w:tc>
      </w:tr>
      <w:tr w:rsidR="009D7432" w:rsidRPr="009D7432" w14:paraId="6BC930C5" w14:textId="77777777" w:rsidTr="002547A5">
        <w:tc>
          <w:tcPr>
            <w:tcW w:w="890" w:type="pct"/>
            <w:tcBorders>
              <w:bottom w:val="single" w:sz="12" w:space="0" w:color="auto"/>
            </w:tcBorders>
            <w:shd w:val="clear" w:color="auto" w:fill="auto"/>
          </w:tcPr>
          <w:p w14:paraId="4CEDC6D2" w14:textId="3A56B693" w:rsidR="00D005FA" w:rsidRPr="009D7432" w:rsidRDefault="006C1783" w:rsidP="009D7432">
            <w:pPr>
              <w:spacing w:before="40" w:after="120"/>
              <w:ind w:right="113"/>
              <w:rPr>
                <w:lang w:val="fr-FR"/>
              </w:rPr>
            </w:pPr>
            <w:r>
              <w:rPr>
                <w:lang w:val="fr-FR"/>
              </w:rPr>
              <w:t>−</w:t>
            </w:r>
            <w:r w:rsidR="00D005FA" w:rsidRPr="009D7432">
              <w:rPr>
                <w:lang w:val="fr-FR"/>
              </w:rPr>
              <w:t xml:space="preserve"> Commission indépendante pour les droits de l</w:t>
            </w:r>
            <w:r w:rsidR="0035332C">
              <w:rPr>
                <w:lang w:val="fr-FR"/>
              </w:rPr>
              <w:t>’</w:t>
            </w:r>
            <w:r w:rsidR="00D005FA" w:rsidRPr="009D7432">
              <w:rPr>
                <w:lang w:val="fr-FR"/>
              </w:rPr>
              <w:t>homme</w:t>
            </w:r>
          </w:p>
        </w:tc>
        <w:tc>
          <w:tcPr>
            <w:tcW w:w="434" w:type="pct"/>
            <w:tcBorders>
              <w:bottom w:val="single" w:sz="12" w:space="0" w:color="auto"/>
            </w:tcBorders>
            <w:shd w:val="clear" w:color="auto" w:fill="auto"/>
          </w:tcPr>
          <w:p w14:paraId="58F15136" w14:textId="77777777" w:rsidR="00D005FA" w:rsidRPr="009D7432" w:rsidRDefault="00D005FA" w:rsidP="009D7432">
            <w:pPr>
              <w:spacing w:before="40" w:after="120"/>
              <w:ind w:right="113"/>
              <w:rPr>
                <w:rtl/>
                <w:lang w:val="fr-FR"/>
              </w:rPr>
            </w:pPr>
          </w:p>
        </w:tc>
        <w:tc>
          <w:tcPr>
            <w:tcW w:w="490" w:type="pct"/>
            <w:tcBorders>
              <w:bottom w:val="single" w:sz="12" w:space="0" w:color="auto"/>
            </w:tcBorders>
            <w:shd w:val="clear" w:color="auto" w:fill="auto"/>
          </w:tcPr>
          <w:p w14:paraId="3CC5662D" w14:textId="77777777" w:rsidR="00D005FA" w:rsidRPr="009D7432" w:rsidRDefault="00D005FA" w:rsidP="009D7432">
            <w:pPr>
              <w:spacing w:before="40" w:after="120"/>
              <w:ind w:right="113"/>
              <w:rPr>
                <w:rtl/>
                <w:lang w:val="fr-FR"/>
              </w:rPr>
            </w:pPr>
          </w:p>
        </w:tc>
        <w:tc>
          <w:tcPr>
            <w:tcW w:w="539" w:type="pct"/>
            <w:tcBorders>
              <w:bottom w:val="single" w:sz="12" w:space="0" w:color="auto"/>
            </w:tcBorders>
            <w:shd w:val="clear" w:color="auto" w:fill="auto"/>
          </w:tcPr>
          <w:p w14:paraId="7BED92DA" w14:textId="77777777" w:rsidR="00D005FA" w:rsidRPr="009D7432" w:rsidRDefault="00D005FA" w:rsidP="009D7432">
            <w:pPr>
              <w:spacing w:before="40" w:after="120"/>
              <w:ind w:right="113"/>
              <w:rPr>
                <w:rtl/>
                <w:lang w:val="fr-FR"/>
              </w:rPr>
            </w:pPr>
          </w:p>
        </w:tc>
        <w:tc>
          <w:tcPr>
            <w:tcW w:w="653" w:type="pct"/>
            <w:tcBorders>
              <w:bottom w:val="single" w:sz="12" w:space="0" w:color="auto"/>
            </w:tcBorders>
            <w:shd w:val="clear" w:color="auto" w:fill="auto"/>
          </w:tcPr>
          <w:p w14:paraId="6427B279" w14:textId="77777777" w:rsidR="00D005FA" w:rsidRPr="009D7432" w:rsidRDefault="00D005FA" w:rsidP="009D7432">
            <w:pPr>
              <w:spacing w:before="40" w:after="120"/>
              <w:ind w:right="113"/>
              <w:rPr>
                <w:rtl/>
                <w:lang w:val="fr-FR"/>
              </w:rPr>
            </w:pPr>
          </w:p>
        </w:tc>
        <w:tc>
          <w:tcPr>
            <w:tcW w:w="450" w:type="pct"/>
            <w:tcBorders>
              <w:bottom w:val="single" w:sz="12" w:space="0" w:color="auto"/>
            </w:tcBorders>
            <w:shd w:val="clear" w:color="auto" w:fill="auto"/>
          </w:tcPr>
          <w:p w14:paraId="61F6C0C5" w14:textId="77777777" w:rsidR="00D005FA" w:rsidRPr="009D7432" w:rsidRDefault="00D005FA" w:rsidP="009D7432">
            <w:pPr>
              <w:spacing w:before="40" w:after="120"/>
              <w:ind w:right="113"/>
              <w:rPr>
                <w:rtl/>
                <w:lang w:val="fr-FR"/>
              </w:rPr>
            </w:pPr>
          </w:p>
        </w:tc>
        <w:tc>
          <w:tcPr>
            <w:tcW w:w="515" w:type="pct"/>
            <w:tcBorders>
              <w:bottom w:val="single" w:sz="12" w:space="0" w:color="auto"/>
            </w:tcBorders>
            <w:shd w:val="clear" w:color="auto" w:fill="auto"/>
          </w:tcPr>
          <w:p w14:paraId="524E2639" w14:textId="77777777" w:rsidR="00D005FA" w:rsidRPr="009D7432" w:rsidRDefault="00D005FA" w:rsidP="009D7432">
            <w:pPr>
              <w:spacing w:before="40" w:after="120"/>
              <w:ind w:right="113"/>
              <w:rPr>
                <w:rtl/>
                <w:lang w:val="fr-FR"/>
              </w:rPr>
            </w:pPr>
          </w:p>
        </w:tc>
        <w:tc>
          <w:tcPr>
            <w:tcW w:w="441" w:type="pct"/>
            <w:tcBorders>
              <w:bottom w:val="single" w:sz="12" w:space="0" w:color="auto"/>
            </w:tcBorders>
            <w:shd w:val="clear" w:color="auto" w:fill="auto"/>
          </w:tcPr>
          <w:p w14:paraId="4BFAA194" w14:textId="77777777" w:rsidR="00D005FA" w:rsidRPr="009D7432" w:rsidRDefault="00D005FA" w:rsidP="002547A5">
            <w:pPr>
              <w:spacing w:before="40" w:after="120"/>
              <w:ind w:right="113"/>
              <w:rPr>
                <w:rtl/>
                <w:lang w:val="fr-FR"/>
              </w:rPr>
            </w:pPr>
            <w:r w:rsidRPr="009D7432">
              <w:rPr>
                <w:lang w:val="fr-FR"/>
              </w:rPr>
              <w:t>14</w:t>
            </w:r>
          </w:p>
        </w:tc>
        <w:tc>
          <w:tcPr>
            <w:tcW w:w="588" w:type="pct"/>
            <w:tcBorders>
              <w:bottom w:val="single" w:sz="12" w:space="0" w:color="auto"/>
            </w:tcBorders>
            <w:shd w:val="clear" w:color="auto" w:fill="auto"/>
          </w:tcPr>
          <w:p w14:paraId="7CEB592E" w14:textId="77777777" w:rsidR="00D005FA" w:rsidRPr="009D7432" w:rsidRDefault="00D005FA" w:rsidP="009D7432">
            <w:pPr>
              <w:spacing w:before="40" w:after="120"/>
              <w:ind w:right="113"/>
              <w:rPr>
                <w:lang w:val="fr-FR"/>
              </w:rPr>
            </w:pPr>
            <w:r w:rsidRPr="009D7432">
              <w:rPr>
                <w:lang w:val="fr-FR"/>
              </w:rPr>
              <w:t>Instruction</w:t>
            </w:r>
          </w:p>
        </w:tc>
      </w:tr>
    </w:tbl>
    <w:p w14:paraId="2060E789" w14:textId="3E04F587" w:rsidR="00D005FA" w:rsidRPr="00310D49" w:rsidRDefault="00D005FA" w:rsidP="006C1783">
      <w:pPr>
        <w:pStyle w:val="H23G"/>
        <w:rPr>
          <w:lang w:val="fr-FR"/>
        </w:rPr>
      </w:pPr>
      <w:r w:rsidRPr="00310D49">
        <w:rPr>
          <w:lang w:val="fr-FR"/>
        </w:rPr>
        <w:tab/>
      </w:r>
      <w:r w:rsidRPr="00310D49">
        <w:rPr>
          <w:lang w:val="fr-FR"/>
        </w:rPr>
        <w:tab/>
        <w:t>Statistiques relatives au nombre de personnes accusées de maltraitance de détenus ou d</w:t>
      </w:r>
      <w:r w:rsidR="0035332C">
        <w:rPr>
          <w:lang w:val="fr-FR"/>
        </w:rPr>
        <w:t>’</w:t>
      </w:r>
      <w:r w:rsidRPr="00310D49">
        <w:rPr>
          <w:lang w:val="fr-FR"/>
        </w:rPr>
        <w:t>extorsion d</w:t>
      </w:r>
      <w:r w:rsidR="0035332C">
        <w:rPr>
          <w:lang w:val="fr-FR"/>
        </w:rPr>
        <w:t>’</w:t>
      </w:r>
      <w:r w:rsidRPr="00310D49">
        <w:rPr>
          <w:lang w:val="fr-FR"/>
        </w:rPr>
        <w:t>aveux par la force (2016, 2017 et 2018)</w:t>
      </w:r>
    </w:p>
    <w:p w14:paraId="409F30E3" w14:textId="017AF89C" w:rsidR="00D005FA" w:rsidRPr="00310D49" w:rsidRDefault="00D005FA" w:rsidP="00DE14DA">
      <w:pPr>
        <w:pStyle w:val="H23G"/>
        <w:rPr>
          <w:lang w:val="fr-FR"/>
        </w:rPr>
      </w:pPr>
      <w:r w:rsidRPr="00310D49">
        <w:rPr>
          <w:lang w:val="fr-FR"/>
        </w:rPr>
        <w:tab/>
      </w:r>
      <w:r w:rsidRPr="00310D49">
        <w:rPr>
          <w:lang w:val="fr-FR"/>
        </w:rPr>
        <w:tab/>
        <w:t>Nombre d</w:t>
      </w:r>
      <w:r w:rsidR="0035332C">
        <w:rPr>
          <w:lang w:val="fr-FR"/>
        </w:rPr>
        <w:t>’</w:t>
      </w:r>
      <w:r w:rsidRPr="00310D49">
        <w:rPr>
          <w:lang w:val="fr-FR"/>
        </w:rPr>
        <w:t>accusés par service</w:t>
      </w:r>
    </w:p>
    <w:tbl>
      <w:tblPr>
        <w:tblW w:w="7370" w:type="dxa"/>
        <w:tblInd w:w="1134" w:type="dxa"/>
        <w:tblLayout w:type="fixed"/>
        <w:tblCellMar>
          <w:left w:w="0" w:type="dxa"/>
          <w:right w:w="0" w:type="dxa"/>
        </w:tblCellMar>
        <w:tblLook w:val="04A0" w:firstRow="1" w:lastRow="0" w:firstColumn="1" w:lastColumn="0" w:noHBand="0" w:noVBand="1"/>
      </w:tblPr>
      <w:tblGrid>
        <w:gridCol w:w="2208"/>
        <w:gridCol w:w="4140"/>
        <w:gridCol w:w="1022"/>
      </w:tblGrid>
      <w:tr w:rsidR="00D005FA" w:rsidRPr="00DE14DA" w14:paraId="673D5787" w14:textId="77777777" w:rsidTr="00DE14DA">
        <w:trPr>
          <w:tblHeader/>
        </w:trPr>
        <w:tc>
          <w:tcPr>
            <w:tcW w:w="2141" w:type="dxa"/>
            <w:tcBorders>
              <w:top w:val="single" w:sz="4" w:space="0" w:color="auto"/>
              <w:bottom w:val="single" w:sz="12" w:space="0" w:color="auto"/>
            </w:tcBorders>
            <w:shd w:val="clear" w:color="auto" w:fill="auto"/>
            <w:vAlign w:val="bottom"/>
          </w:tcPr>
          <w:p w14:paraId="36233E32" w14:textId="77777777" w:rsidR="00D005FA" w:rsidRPr="00DE14DA" w:rsidRDefault="00D005FA" w:rsidP="00DE14DA">
            <w:pPr>
              <w:spacing w:before="80" w:after="80" w:line="200" w:lineRule="exact"/>
              <w:ind w:right="113"/>
              <w:rPr>
                <w:i/>
                <w:sz w:val="16"/>
                <w:lang w:val="fr-FR"/>
              </w:rPr>
            </w:pPr>
            <w:r w:rsidRPr="00DE14DA">
              <w:rPr>
                <w:i/>
                <w:sz w:val="16"/>
                <w:lang w:val="fr-FR"/>
              </w:rPr>
              <w:t>N</w:t>
            </w:r>
            <w:r w:rsidRPr="00DE14DA">
              <w:rPr>
                <w:i/>
                <w:sz w:val="16"/>
                <w:vertAlign w:val="superscript"/>
                <w:lang w:val="fr-FR"/>
              </w:rPr>
              <w:t>o</w:t>
            </w:r>
          </w:p>
        </w:tc>
        <w:tc>
          <w:tcPr>
            <w:tcW w:w="4014" w:type="dxa"/>
            <w:tcBorders>
              <w:top w:val="single" w:sz="4" w:space="0" w:color="auto"/>
              <w:bottom w:val="single" w:sz="12" w:space="0" w:color="auto"/>
            </w:tcBorders>
            <w:shd w:val="clear" w:color="auto" w:fill="auto"/>
            <w:vAlign w:val="bottom"/>
          </w:tcPr>
          <w:p w14:paraId="0115D3D1" w14:textId="77777777" w:rsidR="00D005FA" w:rsidRPr="00DE14DA" w:rsidRDefault="00D005FA" w:rsidP="00DE14DA">
            <w:pPr>
              <w:spacing w:before="80" w:after="80" w:line="200" w:lineRule="exact"/>
              <w:ind w:right="113"/>
              <w:rPr>
                <w:i/>
                <w:sz w:val="16"/>
                <w:lang w:val="fr-FR"/>
              </w:rPr>
            </w:pPr>
            <w:r w:rsidRPr="00DE14DA">
              <w:rPr>
                <w:i/>
                <w:sz w:val="16"/>
                <w:lang w:val="fr-FR"/>
              </w:rPr>
              <w:t>Service</w:t>
            </w:r>
          </w:p>
        </w:tc>
        <w:tc>
          <w:tcPr>
            <w:tcW w:w="991" w:type="dxa"/>
            <w:tcBorders>
              <w:top w:val="single" w:sz="4" w:space="0" w:color="auto"/>
              <w:bottom w:val="single" w:sz="12" w:space="0" w:color="auto"/>
            </w:tcBorders>
            <w:shd w:val="clear" w:color="auto" w:fill="auto"/>
            <w:vAlign w:val="bottom"/>
          </w:tcPr>
          <w:p w14:paraId="3D6BAFA0" w14:textId="77777777" w:rsidR="00D005FA" w:rsidRPr="00DE14DA" w:rsidRDefault="00D005FA" w:rsidP="00DE14DA">
            <w:pPr>
              <w:spacing w:before="80" w:after="80" w:line="200" w:lineRule="exact"/>
              <w:ind w:right="113"/>
              <w:rPr>
                <w:i/>
                <w:sz w:val="16"/>
                <w:lang w:val="fr-FR"/>
              </w:rPr>
            </w:pPr>
            <w:r w:rsidRPr="00DE14DA">
              <w:rPr>
                <w:i/>
                <w:sz w:val="16"/>
                <w:lang w:val="fr-FR"/>
              </w:rPr>
              <w:t>Nombre</w:t>
            </w:r>
          </w:p>
        </w:tc>
      </w:tr>
      <w:tr w:rsidR="00DE14DA" w:rsidRPr="00DE14DA" w14:paraId="69A8FF90" w14:textId="77777777" w:rsidTr="00DE14DA">
        <w:trPr>
          <w:trHeight w:hRule="exact" w:val="113"/>
          <w:tblHeader/>
        </w:trPr>
        <w:tc>
          <w:tcPr>
            <w:tcW w:w="2141" w:type="dxa"/>
            <w:tcBorders>
              <w:top w:val="single" w:sz="12" w:space="0" w:color="auto"/>
            </w:tcBorders>
            <w:shd w:val="clear" w:color="auto" w:fill="auto"/>
          </w:tcPr>
          <w:p w14:paraId="6811A623" w14:textId="77777777" w:rsidR="00DE14DA" w:rsidRPr="00DE14DA" w:rsidRDefault="00DE14DA" w:rsidP="00DE14DA">
            <w:pPr>
              <w:spacing w:before="40" w:after="120"/>
              <w:ind w:right="113"/>
              <w:rPr>
                <w:lang w:val="fr-FR"/>
              </w:rPr>
            </w:pPr>
          </w:p>
        </w:tc>
        <w:tc>
          <w:tcPr>
            <w:tcW w:w="4014" w:type="dxa"/>
            <w:tcBorders>
              <w:top w:val="single" w:sz="12" w:space="0" w:color="auto"/>
            </w:tcBorders>
            <w:shd w:val="clear" w:color="auto" w:fill="auto"/>
          </w:tcPr>
          <w:p w14:paraId="081F7D09" w14:textId="77777777" w:rsidR="00DE14DA" w:rsidRPr="00DE14DA" w:rsidRDefault="00DE14DA" w:rsidP="00DE14DA">
            <w:pPr>
              <w:spacing w:before="40" w:after="120"/>
              <w:ind w:right="113"/>
              <w:rPr>
                <w:lang w:val="fr-FR"/>
              </w:rPr>
            </w:pPr>
          </w:p>
        </w:tc>
        <w:tc>
          <w:tcPr>
            <w:tcW w:w="991" w:type="dxa"/>
            <w:tcBorders>
              <w:top w:val="single" w:sz="12" w:space="0" w:color="auto"/>
            </w:tcBorders>
            <w:shd w:val="clear" w:color="auto" w:fill="auto"/>
          </w:tcPr>
          <w:p w14:paraId="3B0C8076" w14:textId="77777777" w:rsidR="00DE14DA" w:rsidRPr="00DE14DA" w:rsidRDefault="00DE14DA" w:rsidP="00DE14DA">
            <w:pPr>
              <w:spacing w:before="40" w:after="120"/>
              <w:ind w:right="113"/>
              <w:rPr>
                <w:lang w:val="fr-FR"/>
              </w:rPr>
            </w:pPr>
          </w:p>
        </w:tc>
      </w:tr>
      <w:tr w:rsidR="00D005FA" w:rsidRPr="00DE14DA" w14:paraId="4371605C" w14:textId="77777777" w:rsidTr="00DE14DA">
        <w:tc>
          <w:tcPr>
            <w:tcW w:w="2141" w:type="dxa"/>
            <w:shd w:val="clear" w:color="auto" w:fill="auto"/>
          </w:tcPr>
          <w:p w14:paraId="3753C982" w14:textId="77777777" w:rsidR="00D005FA" w:rsidRPr="00DE14DA" w:rsidRDefault="00D005FA" w:rsidP="00DE14DA">
            <w:pPr>
              <w:spacing w:before="40" w:after="120"/>
              <w:ind w:right="113"/>
              <w:rPr>
                <w:lang w:val="fr-FR"/>
              </w:rPr>
            </w:pPr>
            <w:r w:rsidRPr="00DE14DA">
              <w:rPr>
                <w:lang w:val="fr-FR"/>
              </w:rPr>
              <w:t>1</w:t>
            </w:r>
          </w:p>
        </w:tc>
        <w:tc>
          <w:tcPr>
            <w:tcW w:w="4014" w:type="dxa"/>
            <w:shd w:val="clear" w:color="auto" w:fill="auto"/>
          </w:tcPr>
          <w:p w14:paraId="2466568C" w14:textId="77777777" w:rsidR="00D005FA" w:rsidRPr="00DE14DA" w:rsidRDefault="00D005FA" w:rsidP="00DE14DA">
            <w:pPr>
              <w:spacing w:before="40" w:after="120"/>
              <w:ind w:right="113"/>
              <w:rPr>
                <w:lang w:val="fr-FR"/>
              </w:rPr>
            </w:pPr>
            <w:r w:rsidRPr="00DE14DA">
              <w:rPr>
                <w:lang w:val="fr-FR"/>
              </w:rPr>
              <w:t>Police</w:t>
            </w:r>
          </w:p>
        </w:tc>
        <w:tc>
          <w:tcPr>
            <w:tcW w:w="991" w:type="dxa"/>
            <w:shd w:val="clear" w:color="auto" w:fill="auto"/>
          </w:tcPr>
          <w:p w14:paraId="0512F5EE" w14:textId="77777777" w:rsidR="00D005FA" w:rsidRPr="00DE14DA" w:rsidRDefault="00D005FA" w:rsidP="00DE14DA">
            <w:pPr>
              <w:spacing w:before="40" w:after="120"/>
              <w:ind w:right="113"/>
              <w:rPr>
                <w:rtl/>
                <w:lang w:val="fr-FR"/>
              </w:rPr>
            </w:pPr>
            <w:r w:rsidRPr="00DE14DA">
              <w:rPr>
                <w:rtl/>
              </w:rPr>
              <w:t>137</w:t>
            </w:r>
          </w:p>
        </w:tc>
      </w:tr>
      <w:tr w:rsidR="00D005FA" w:rsidRPr="00DE14DA" w14:paraId="21055CA6" w14:textId="77777777" w:rsidTr="00DE14DA">
        <w:tc>
          <w:tcPr>
            <w:tcW w:w="2141" w:type="dxa"/>
            <w:shd w:val="clear" w:color="auto" w:fill="auto"/>
          </w:tcPr>
          <w:p w14:paraId="6F8A8C66" w14:textId="77777777" w:rsidR="00D005FA" w:rsidRPr="00DE14DA" w:rsidRDefault="00D005FA" w:rsidP="00DE14DA">
            <w:pPr>
              <w:spacing w:before="40" w:after="120"/>
              <w:ind w:right="113"/>
              <w:rPr>
                <w:lang w:val="fr-FR"/>
              </w:rPr>
            </w:pPr>
            <w:r w:rsidRPr="00DE14DA">
              <w:rPr>
                <w:lang w:val="fr-FR"/>
              </w:rPr>
              <w:t>2</w:t>
            </w:r>
          </w:p>
        </w:tc>
        <w:tc>
          <w:tcPr>
            <w:tcW w:w="4014" w:type="dxa"/>
            <w:shd w:val="clear" w:color="auto" w:fill="auto"/>
          </w:tcPr>
          <w:p w14:paraId="3139233C" w14:textId="77777777" w:rsidR="00D005FA" w:rsidRPr="00DE14DA" w:rsidRDefault="00D005FA" w:rsidP="00DE14DA">
            <w:pPr>
              <w:spacing w:before="40" w:after="120"/>
              <w:ind w:right="113"/>
              <w:rPr>
                <w:lang w:val="fr-FR"/>
              </w:rPr>
            </w:pPr>
            <w:r w:rsidRPr="00DE14DA">
              <w:rPr>
                <w:lang w:val="fr-FR"/>
              </w:rPr>
              <w:t>Service des renseignements généraux</w:t>
            </w:r>
          </w:p>
        </w:tc>
        <w:tc>
          <w:tcPr>
            <w:tcW w:w="991" w:type="dxa"/>
            <w:shd w:val="clear" w:color="auto" w:fill="auto"/>
          </w:tcPr>
          <w:p w14:paraId="78098A23" w14:textId="77777777" w:rsidR="00D005FA" w:rsidRPr="00DE14DA" w:rsidRDefault="00D005FA" w:rsidP="00DE14DA">
            <w:pPr>
              <w:spacing w:before="40" w:after="120"/>
              <w:ind w:right="113"/>
              <w:rPr>
                <w:rtl/>
                <w:lang w:val="fr-FR"/>
              </w:rPr>
            </w:pPr>
            <w:r w:rsidRPr="00DE14DA">
              <w:rPr>
                <w:rtl/>
              </w:rPr>
              <w:t>6</w:t>
            </w:r>
          </w:p>
        </w:tc>
      </w:tr>
      <w:tr w:rsidR="00D005FA" w:rsidRPr="00DE14DA" w14:paraId="675FA7ED" w14:textId="77777777" w:rsidTr="00DE14DA">
        <w:tc>
          <w:tcPr>
            <w:tcW w:w="2141" w:type="dxa"/>
            <w:shd w:val="clear" w:color="auto" w:fill="auto"/>
          </w:tcPr>
          <w:p w14:paraId="65C01090" w14:textId="77777777" w:rsidR="00D005FA" w:rsidRPr="00DE14DA" w:rsidRDefault="00D005FA" w:rsidP="00DE14DA">
            <w:pPr>
              <w:spacing w:before="40" w:after="120"/>
              <w:ind w:right="113"/>
              <w:rPr>
                <w:lang w:val="fr-FR"/>
              </w:rPr>
            </w:pPr>
            <w:r w:rsidRPr="00DE14DA">
              <w:rPr>
                <w:lang w:val="fr-FR"/>
              </w:rPr>
              <w:t>3</w:t>
            </w:r>
          </w:p>
        </w:tc>
        <w:tc>
          <w:tcPr>
            <w:tcW w:w="4014" w:type="dxa"/>
            <w:shd w:val="clear" w:color="auto" w:fill="auto"/>
          </w:tcPr>
          <w:p w14:paraId="1448505D" w14:textId="77777777" w:rsidR="00D005FA" w:rsidRPr="00DE14DA" w:rsidRDefault="00D005FA" w:rsidP="00DE14DA">
            <w:pPr>
              <w:spacing w:before="40" w:after="120"/>
              <w:ind w:right="113"/>
              <w:rPr>
                <w:lang w:val="fr-FR"/>
              </w:rPr>
            </w:pPr>
            <w:r w:rsidRPr="00DE14DA">
              <w:rPr>
                <w:lang w:val="fr-FR"/>
              </w:rPr>
              <w:t>Service de la sécurité préventive</w:t>
            </w:r>
          </w:p>
        </w:tc>
        <w:tc>
          <w:tcPr>
            <w:tcW w:w="991" w:type="dxa"/>
            <w:shd w:val="clear" w:color="auto" w:fill="auto"/>
          </w:tcPr>
          <w:p w14:paraId="353FB06A" w14:textId="77777777" w:rsidR="00D005FA" w:rsidRPr="00DE14DA" w:rsidRDefault="00D005FA" w:rsidP="00DE14DA">
            <w:pPr>
              <w:spacing w:before="40" w:after="120"/>
              <w:ind w:right="113"/>
              <w:rPr>
                <w:rtl/>
                <w:lang w:val="fr-FR"/>
              </w:rPr>
            </w:pPr>
            <w:r w:rsidRPr="00DE14DA">
              <w:rPr>
                <w:rtl/>
              </w:rPr>
              <w:t>5</w:t>
            </w:r>
          </w:p>
        </w:tc>
      </w:tr>
      <w:tr w:rsidR="00D005FA" w:rsidRPr="00DE14DA" w14:paraId="0C562F97" w14:textId="77777777" w:rsidTr="00DE14DA">
        <w:tc>
          <w:tcPr>
            <w:tcW w:w="2141" w:type="dxa"/>
            <w:shd w:val="clear" w:color="auto" w:fill="auto"/>
          </w:tcPr>
          <w:p w14:paraId="5BBA0BA2" w14:textId="77777777" w:rsidR="00D005FA" w:rsidRPr="00DE14DA" w:rsidRDefault="00D005FA" w:rsidP="00DE14DA">
            <w:pPr>
              <w:spacing w:before="40" w:after="120"/>
              <w:ind w:right="113"/>
              <w:rPr>
                <w:lang w:val="fr-FR"/>
              </w:rPr>
            </w:pPr>
            <w:r w:rsidRPr="00DE14DA">
              <w:rPr>
                <w:lang w:val="fr-FR"/>
              </w:rPr>
              <w:t>4</w:t>
            </w:r>
          </w:p>
        </w:tc>
        <w:tc>
          <w:tcPr>
            <w:tcW w:w="4014" w:type="dxa"/>
            <w:shd w:val="clear" w:color="auto" w:fill="auto"/>
          </w:tcPr>
          <w:p w14:paraId="0B5D2C35" w14:textId="77777777" w:rsidR="00D005FA" w:rsidRPr="00DE14DA" w:rsidRDefault="00D005FA" w:rsidP="00DE14DA">
            <w:pPr>
              <w:spacing w:before="40" w:after="120"/>
              <w:ind w:right="113"/>
              <w:rPr>
                <w:lang w:val="fr-FR"/>
              </w:rPr>
            </w:pPr>
            <w:r w:rsidRPr="00DE14DA">
              <w:rPr>
                <w:lang w:val="fr-FR"/>
              </w:rPr>
              <w:t>Police nationale</w:t>
            </w:r>
          </w:p>
        </w:tc>
        <w:tc>
          <w:tcPr>
            <w:tcW w:w="991" w:type="dxa"/>
            <w:shd w:val="clear" w:color="auto" w:fill="auto"/>
          </w:tcPr>
          <w:p w14:paraId="1075A561" w14:textId="77777777" w:rsidR="00D005FA" w:rsidRPr="00DE14DA" w:rsidRDefault="00D005FA" w:rsidP="00DE14DA">
            <w:pPr>
              <w:spacing w:before="40" w:after="120"/>
              <w:ind w:right="113"/>
              <w:rPr>
                <w:rtl/>
                <w:lang w:val="fr-FR"/>
              </w:rPr>
            </w:pPr>
            <w:r w:rsidRPr="00DE14DA">
              <w:rPr>
                <w:rtl/>
              </w:rPr>
              <w:t>4</w:t>
            </w:r>
          </w:p>
        </w:tc>
      </w:tr>
      <w:tr w:rsidR="00D005FA" w:rsidRPr="00DE14DA" w14:paraId="3F294A53" w14:textId="77777777" w:rsidTr="00DE14DA">
        <w:tc>
          <w:tcPr>
            <w:tcW w:w="2141" w:type="dxa"/>
            <w:shd w:val="clear" w:color="auto" w:fill="auto"/>
          </w:tcPr>
          <w:p w14:paraId="616C73EB" w14:textId="77777777" w:rsidR="00D005FA" w:rsidRPr="00DE14DA" w:rsidRDefault="00D005FA" w:rsidP="00DE14DA">
            <w:pPr>
              <w:spacing w:before="40" w:after="120"/>
              <w:ind w:right="113"/>
              <w:rPr>
                <w:lang w:val="fr-FR"/>
              </w:rPr>
            </w:pPr>
            <w:r w:rsidRPr="00DE14DA">
              <w:rPr>
                <w:lang w:val="fr-FR"/>
              </w:rPr>
              <w:t>5</w:t>
            </w:r>
          </w:p>
        </w:tc>
        <w:tc>
          <w:tcPr>
            <w:tcW w:w="4014" w:type="dxa"/>
            <w:shd w:val="clear" w:color="auto" w:fill="auto"/>
          </w:tcPr>
          <w:p w14:paraId="18A7E3D4" w14:textId="77777777" w:rsidR="00D005FA" w:rsidRPr="00DE14DA" w:rsidRDefault="00D005FA" w:rsidP="00DE14DA">
            <w:pPr>
              <w:spacing w:before="40" w:after="120"/>
              <w:ind w:right="113"/>
              <w:rPr>
                <w:lang w:val="fr-FR"/>
              </w:rPr>
            </w:pPr>
            <w:r w:rsidRPr="00DE14DA">
              <w:rPr>
                <w:lang w:val="fr-FR"/>
              </w:rPr>
              <w:t>Services médicaux</w:t>
            </w:r>
          </w:p>
        </w:tc>
        <w:tc>
          <w:tcPr>
            <w:tcW w:w="991" w:type="dxa"/>
            <w:shd w:val="clear" w:color="auto" w:fill="auto"/>
          </w:tcPr>
          <w:p w14:paraId="7BDBED3D" w14:textId="77777777" w:rsidR="00D005FA" w:rsidRPr="00DE14DA" w:rsidRDefault="00D005FA" w:rsidP="00DE14DA">
            <w:pPr>
              <w:spacing w:before="40" w:after="120"/>
              <w:ind w:right="113"/>
              <w:rPr>
                <w:rtl/>
                <w:lang w:val="fr-FR"/>
              </w:rPr>
            </w:pPr>
            <w:r w:rsidRPr="00DE14DA">
              <w:rPr>
                <w:rtl/>
              </w:rPr>
              <w:t>4</w:t>
            </w:r>
          </w:p>
        </w:tc>
      </w:tr>
      <w:tr w:rsidR="00D005FA" w:rsidRPr="00DE14DA" w14:paraId="55815D89" w14:textId="77777777" w:rsidTr="00DE14DA">
        <w:tc>
          <w:tcPr>
            <w:tcW w:w="2141" w:type="dxa"/>
            <w:shd w:val="clear" w:color="auto" w:fill="auto"/>
          </w:tcPr>
          <w:p w14:paraId="2E153416" w14:textId="77777777" w:rsidR="00D005FA" w:rsidRPr="00DE14DA" w:rsidRDefault="00D005FA" w:rsidP="00DE14DA">
            <w:pPr>
              <w:spacing w:before="40" w:after="120"/>
              <w:ind w:right="113"/>
              <w:rPr>
                <w:lang w:val="fr-FR"/>
              </w:rPr>
            </w:pPr>
            <w:r w:rsidRPr="00DE14DA">
              <w:rPr>
                <w:lang w:val="fr-FR"/>
              </w:rPr>
              <w:t>6</w:t>
            </w:r>
          </w:p>
        </w:tc>
        <w:tc>
          <w:tcPr>
            <w:tcW w:w="4014" w:type="dxa"/>
            <w:shd w:val="clear" w:color="auto" w:fill="auto"/>
          </w:tcPr>
          <w:p w14:paraId="7E7BF2F9" w14:textId="77777777" w:rsidR="00D005FA" w:rsidRPr="00DE14DA" w:rsidRDefault="00D005FA" w:rsidP="00DE14DA">
            <w:pPr>
              <w:spacing w:before="40" w:after="120"/>
              <w:ind w:right="113"/>
              <w:rPr>
                <w:lang w:val="fr-FR"/>
              </w:rPr>
            </w:pPr>
            <w:r w:rsidRPr="00DE14DA">
              <w:rPr>
                <w:lang w:val="fr-FR"/>
              </w:rPr>
              <w:t>Brigade des douanes</w:t>
            </w:r>
          </w:p>
        </w:tc>
        <w:tc>
          <w:tcPr>
            <w:tcW w:w="991" w:type="dxa"/>
            <w:shd w:val="clear" w:color="auto" w:fill="auto"/>
          </w:tcPr>
          <w:p w14:paraId="7425497E" w14:textId="77777777" w:rsidR="00D005FA" w:rsidRPr="00DE14DA" w:rsidRDefault="00D005FA" w:rsidP="00DE14DA">
            <w:pPr>
              <w:spacing w:before="40" w:after="120"/>
              <w:ind w:right="113"/>
              <w:rPr>
                <w:rtl/>
                <w:lang w:val="fr-FR"/>
              </w:rPr>
            </w:pPr>
            <w:r w:rsidRPr="00DE14DA">
              <w:rPr>
                <w:rtl/>
              </w:rPr>
              <w:t>3</w:t>
            </w:r>
          </w:p>
        </w:tc>
      </w:tr>
      <w:tr w:rsidR="00D005FA" w:rsidRPr="00DE14DA" w14:paraId="0BCA4696" w14:textId="77777777" w:rsidTr="00DE14DA">
        <w:tc>
          <w:tcPr>
            <w:tcW w:w="2141" w:type="dxa"/>
            <w:shd w:val="clear" w:color="auto" w:fill="auto"/>
          </w:tcPr>
          <w:p w14:paraId="5EEE26DC" w14:textId="77777777" w:rsidR="00D005FA" w:rsidRPr="00DE14DA" w:rsidRDefault="00D005FA" w:rsidP="00DE14DA">
            <w:pPr>
              <w:spacing w:before="40" w:after="120"/>
              <w:ind w:right="113"/>
              <w:rPr>
                <w:lang w:val="fr-FR"/>
              </w:rPr>
            </w:pPr>
            <w:r w:rsidRPr="00DE14DA">
              <w:rPr>
                <w:lang w:val="fr-FR"/>
              </w:rPr>
              <w:t>7</w:t>
            </w:r>
          </w:p>
        </w:tc>
        <w:tc>
          <w:tcPr>
            <w:tcW w:w="4014" w:type="dxa"/>
            <w:shd w:val="clear" w:color="auto" w:fill="auto"/>
          </w:tcPr>
          <w:p w14:paraId="7155BACF" w14:textId="77777777" w:rsidR="00D005FA" w:rsidRPr="00DE14DA" w:rsidRDefault="00D005FA" w:rsidP="00DE14DA">
            <w:pPr>
              <w:spacing w:before="40" w:after="120"/>
              <w:ind w:right="113"/>
              <w:rPr>
                <w:lang w:val="fr-FR"/>
              </w:rPr>
            </w:pPr>
            <w:r w:rsidRPr="00DE14DA">
              <w:rPr>
                <w:lang w:val="fr-FR"/>
              </w:rPr>
              <w:t>Défense civile</w:t>
            </w:r>
          </w:p>
        </w:tc>
        <w:tc>
          <w:tcPr>
            <w:tcW w:w="991" w:type="dxa"/>
            <w:shd w:val="clear" w:color="auto" w:fill="auto"/>
          </w:tcPr>
          <w:p w14:paraId="00EC7ED4" w14:textId="77777777" w:rsidR="00D005FA" w:rsidRPr="00DE14DA" w:rsidRDefault="00D005FA" w:rsidP="00DE14DA">
            <w:pPr>
              <w:spacing w:before="40" w:after="120"/>
              <w:ind w:right="113"/>
              <w:rPr>
                <w:rtl/>
                <w:lang w:val="fr-FR"/>
              </w:rPr>
            </w:pPr>
            <w:r w:rsidRPr="00DE14DA">
              <w:rPr>
                <w:rtl/>
              </w:rPr>
              <w:t>2</w:t>
            </w:r>
          </w:p>
        </w:tc>
      </w:tr>
      <w:tr w:rsidR="00D005FA" w:rsidRPr="00DE14DA" w14:paraId="696ACF91" w14:textId="77777777" w:rsidTr="00DE14DA">
        <w:tc>
          <w:tcPr>
            <w:tcW w:w="2141" w:type="dxa"/>
            <w:tcBorders>
              <w:bottom w:val="single" w:sz="12" w:space="0" w:color="auto"/>
            </w:tcBorders>
            <w:shd w:val="clear" w:color="auto" w:fill="auto"/>
          </w:tcPr>
          <w:p w14:paraId="6A02AB7A" w14:textId="77777777" w:rsidR="00D005FA" w:rsidRPr="00DE14DA" w:rsidRDefault="00D005FA" w:rsidP="00DE14DA">
            <w:pPr>
              <w:spacing w:before="40" w:after="120"/>
              <w:ind w:right="113"/>
              <w:rPr>
                <w:lang w:val="fr-FR"/>
              </w:rPr>
            </w:pPr>
            <w:r w:rsidRPr="00DE14DA">
              <w:rPr>
                <w:lang w:val="fr-FR"/>
              </w:rPr>
              <w:t>8</w:t>
            </w:r>
          </w:p>
        </w:tc>
        <w:tc>
          <w:tcPr>
            <w:tcW w:w="4014" w:type="dxa"/>
            <w:tcBorders>
              <w:bottom w:val="single" w:sz="12" w:space="0" w:color="auto"/>
            </w:tcBorders>
            <w:shd w:val="clear" w:color="auto" w:fill="auto"/>
          </w:tcPr>
          <w:p w14:paraId="03795B80" w14:textId="77777777" w:rsidR="00D005FA" w:rsidRPr="00DE14DA" w:rsidRDefault="00D005FA" w:rsidP="00DE14DA">
            <w:pPr>
              <w:spacing w:before="40" w:after="120"/>
              <w:ind w:right="113"/>
              <w:rPr>
                <w:lang w:val="fr-FR"/>
              </w:rPr>
            </w:pPr>
            <w:r w:rsidRPr="00DE14DA">
              <w:rPr>
                <w:lang w:val="fr-FR"/>
              </w:rPr>
              <w:t>Service des renseignements</w:t>
            </w:r>
          </w:p>
        </w:tc>
        <w:tc>
          <w:tcPr>
            <w:tcW w:w="991" w:type="dxa"/>
            <w:tcBorders>
              <w:bottom w:val="single" w:sz="12" w:space="0" w:color="auto"/>
            </w:tcBorders>
            <w:shd w:val="clear" w:color="auto" w:fill="auto"/>
          </w:tcPr>
          <w:p w14:paraId="61B7F625" w14:textId="77777777" w:rsidR="00D005FA" w:rsidRPr="00DE14DA" w:rsidRDefault="00D005FA" w:rsidP="00DE14DA">
            <w:pPr>
              <w:spacing w:before="40" w:after="120"/>
              <w:ind w:right="113"/>
              <w:rPr>
                <w:rtl/>
                <w:lang w:val="fr-FR"/>
              </w:rPr>
            </w:pPr>
            <w:r w:rsidRPr="00DE14DA">
              <w:rPr>
                <w:rtl/>
              </w:rPr>
              <w:t>1</w:t>
            </w:r>
          </w:p>
        </w:tc>
      </w:tr>
    </w:tbl>
    <w:p w14:paraId="41A9DD9E" w14:textId="4D37BA90" w:rsidR="00D005FA" w:rsidRPr="00310D49" w:rsidRDefault="00D005FA" w:rsidP="00DE14DA">
      <w:pPr>
        <w:pStyle w:val="H23G"/>
        <w:rPr>
          <w:lang w:val="fr-FR"/>
        </w:rPr>
      </w:pPr>
      <w:r w:rsidRPr="00310D49">
        <w:rPr>
          <w:lang w:val="fr-FR"/>
        </w:rPr>
        <w:tab/>
      </w:r>
      <w:r w:rsidRPr="00310D49">
        <w:rPr>
          <w:lang w:val="fr-FR"/>
        </w:rPr>
        <w:tab/>
        <w:t>Nombres d</w:t>
      </w:r>
      <w:r w:rsidR="0035332C">
        <w:rPr>
          <w:lang w:val="fr-FR"/>
        </w:rPr>
        <w:t>’</w:t>
      </w:r>
      <w:r w:rsidRPr="00310D49">
        <w:rPr>
          <w:lang w:val="fr-FR"/>
        </w:rPr>
        <w:t>affaires par type de jugement</w:t>
      </w:r>
    </w:p>
    <w:tbl>
      <w:tblPr>
        <w:tblW w:w="7370" w:type="dxa"/>
        <w:tblInd w:w="1134" w:type="dxa"/>
        <w:tblLayout w:type="fixed"/>
        <w:tblCellMar>
          <w:left w:w="0" w:type="dxa"/>
          <w:right w:w="0" w:type="dxa"/>
        </w:tblCellMar>
        <w:tblLook w:val="04A0" w:firstRow="1" w:lastRow="0" w:firstColumn="1" w:lastColumn="0" w:noHBand="0" w:noVBand="1"/>
      </w:tblPr>
      <w:tblGrid>
        <w:gridCol w:w="2269"/>
        <w:gridCol w:w="4047"/>
        <w:gridCol w:w="1054"/>
      </w:tblGrid>
      <w:tr w:rsidR="00D005FA" w:rsidRPr="00DE14DA" w14:paraId="410E7B51" w14:textId="77777777" w:rsidTr="00DE14DA">
        <w:trPr>
          <w:tblHeader/>
        </w:trPr>
        <w:tc>
          <w:tcPr>
            <w:tcW w:w="2213" w:type="dxa"/>
            <w:tcBorders>
              <w:top w:val="single" w:sz="4" w:space="0" w:color="auto"/>
              <w:bottom w:val="single" w:sz="12" w:space="0" w:color="auto"/>
            </w:tcBorders>
            <w:shd w:val="clear" w:color="auto" w:fill="auto"/>
            <w:vAlign w:val="bottom"/>
          </w:tcPr>
          <w:p w14:paraId="2CA7DE7A" w14:textId="77777777" w:rsidR="00D005FA" w:rsidRPr="00DE14DA" w:rsidRDefault="00D005FA" w:rsidP="00DE14DA">
            <w:pPr>
              <w:spacing w:before="80" w:after="80" w:line="200" w:lineRule="exact"/>
              <w:ind w:right="113"/>
              <w:rPr>
                <w:i/>
                <w:sz w:val="16"/>
                <w:lang w:val="fr-FR"/>
              </w:rPr>
            </w:pPr>
            <w:r w:rsidRPr="00DE14DA">
              <w:rPr>
                <w:i/>
                <w:sz w:val="16"/>
                <w:lang w:val="fr-FR"/>
              </w:rPr>
              <w:t>N</w:t>
            </w:r>
            <w:r w:rsidRPr="00DE14DA">
              <w:rPr>
                <w:i/>
                <w:sz w:val="16"/>
                <w:vertAlign w:val="superscript"/>
                <w:lang w:val="fr-FR"/>
              </w:rPr>
              <w:t>o</w:t>
            </w:r>
          </w:p>
        </w:tc>
        <w:tc>
          <w:tcPr>
            <w:tcW w:w="3947" w:type="dxa"/>
            <w:tcBorders>
              <w:top w:val="single" w:sz="4" w:space="0" w:color="auto"/>
              <w:bottom w:val="single" w:sz="12" w:space="0" w:color="auto"/>
            </w:tcBorders>
            <w:shd w:val="clear" w:color="auto" w:fill="auto"/>
            <w:vAlign w:val="bottom"/>
          </w:tcPr>
          <w:p w14:paraId="3F0EAD43" w14:textId="77777777" w:rsidR="00D005FA" w:rsidRPr="00DE14DA" w:rsidRDefault="00D005FA" w:rsidP="00DE14DA">
            <w:pPr>
              <w:spacing w:before="80" w:after="80" w:line="200" w:lineRule="exact"/>
              <w:ind w:right="113"/>
              <w:rPr>
                <w:i/>
                <w:sz w:val="16"/>
                <w:lang w:val="fr-FR"/>
              </w:rPr>
            </w:pPr>
            <w:r w:rsidRPr="00DE14DA">
              <w:rPr>
                <w:i/>
                <w:sz w:val="16"/>
                <w:lang w:val="fr-FR"/>
              </w:rPr>
              <w:t>Jugement</w:t>
            </w:r>
          </w:p>
        </w:tc>
        <w:tc>
          <w:tcPr>
            <w:tcW w:w="1028" w:type="dxa"/>
            <w:tcBorders>
              <w:top w:val="single" w:sz="4" w:space="0" w:color="auto"/>
              <w:bottom w:val="single" w:sz="12" w:space="0" w:color="auto"/>
            </w:tcBorders>
            <w:shd w:val="clear" w:color="auto" w:fill="auto"/>
            <w:vAlign w:val="bottom"/>
          </w:tcPr>
          <w:p w14:paraId="3119ACFF" w14:textId="77777777" w:rsidR="00D005FA" w:rsidRPr="00DE14DA" w:rsidRDefault="00D005FA" w:rsidP="00DE14DA">
            <w:pPr>
              <w:spacing w:before="80" w:after="80" w:line="200" w:lineRule="exact"/>
              <w:ind w:right="113"/>
              <w:rPr>
                <w:i/>
                <w:sz w:val="16"/>
                <w:lang w:val="fr-FR"/>
              </w:rPr>
            </w:pPr>
            <w:r w:rsidRPr="00DE14DA">
              <w:rPr>
                <w:i/>
                <w:sz w:val="16"/>
                <w:lang w:val="fr-FR"/>
              </w:rPr>
              <w:t>Nombre</w:t>
            </w:r>
          </w:p>
        </w:tc>
      </w:tr>
      <w:tr w:rsidR="00DE14DA" w:rsidRPr="00DE14DA" w14:paraId="408556A3" w14:textId="77777777" w:rsidTr="00DE14DA">
        <w:trPr>
          <w:trHeight w:hRule="exact" w:val="113"/>
        </w:trPr>
        <w:tc>
          <w:tcPr>
            <w:tcW w:w="2213" w:type="dxa"/>
            <w:tcBorders>
              <w:top w:val="single" w:sz="12" w:space="0" w:color="auto"/>
            </w:tcBorders>
            <w:shd w:val="clear" w:color="auto" w:fill="auto"/>
          </w:tcPr>
          <w:p w14:paraId="264E9A74" w14:textId="77777777" w:rsidR="00DE14DA" w:rsidRPr="00DE14DA" w:rsidRDefault="00DE14DA" w:rsidP="00DE14DA">
            <w:pPr>
              <w:spacing w:before="40" w:after="120"/>
              <w:ind w:right="113"/>
              <w:rPr>
                <w:lang w:val="fr-FR"/>
              </w:rPr>
            </w:pPr>
          </w:p>
        </w:tc>
        <w:tc>
          <w:tcPr>
            <w:tcW w:w="3947" w:type="dxa"/>
            <w:tcBorders>
              <w:top w:val="single" w:sz="12" w:space="0" w:color="auto"/>
            </w:tcBorders>
            <w:shd w:val="clear" w:color="auto" w:fill="auto"/>
          </w:tcPr>
          <w:p w14:paraId="30880DFD" w14:textId="77777777" w:rsidR="00DE14DA" w:rsidRPr="00DE14DA" w:rsidRDefault="00DE14DA" w:rsidP="00DE14DA">
            <w:pPr>
              <w:spacing w:before="40" w:after="120"/>
              <w:ind w:right="113"/>
              <w:rPr>
                <w:lang w:val="fr-FR"/>
              </w:rPr>
            </w:pPr>
          </w:p>
        </w:tc>
        <w:tc>
          <w:tcPr>
            <w:tcW w:w="1028" w:type="dxa"/>
            <w:tcBorders>
              <w:top w:val="single" w:sz="12" w:space="0" w:color="auto"/>
            </w:tcBorders>
            <w:shd w:val="clear" w:color="auto" w:fill="auto"/>
          </w:tcPr>
          <w:p w14:paraId="6E8D5F13" w14:textId="77777777" w:rsidR="00DE14DA" w:rsidRPr="00DE14DA" w:rsidRDefault="00DE14DA" w:rsidP="00DE14DA">
            <w:pPr>
              <w:spacing w:before="40" w:after="120"/>
              <w:ind w:right="113"/>
              <w:rPr>
                <w:lang w:val="fr-FR"/>
              </w:rPr>
            </w:pPr>
          </w:p>
        </w:tc>
      </w:tr>
      <w:tr w:rsidR="00D005FA" w:rsidRPr="00DE14DA" w14:paraId="66196CCC" w14:textId="77777777" w:rsidTr="00DE14DA">
        <w:tc>
          <w:tcPr>
            <w:tcW w:w="2213" w:type="dxa"/>
            <w:shd w:val="clear" w:color="auto" w:fill="auto"/>
          </w:tcPr>
          <w:p w14:paraId="639DB39B" w14:textId="77777777" w:rsidR="00D005FA" w:rsidRPr="00DE14DA" w:rsidRDefault="00D005FA" w:rsidP="00DE14DA">
            <w:pPr>
              <w:spacing w:before="40" w:after="120"/>
              <w:ind w:right="113"/>
              <w:rPr>
                <w:lang w:val="fr-FR"/>
              </w:rPr>
            </w:pPr>
            <w:r w:rsidRPr="00DE14DA">
              <w:rPr>
                <w:lang w:val="fr-FR"/>
              </w:rPr>
              <w:t>1</w:t>
            </w:r>
          </w:p>
        </w:tc>
        <w:tc>
          <w:tcPr>
            <w:tcW w:w="3947" w:type="dxa"/>
            <w:shd w:val="clear" w:color="auto" w:fill="auto"/>
          </w:tcPr>
          <w:p w14:paraId="340031B4" w14:textId="77777777" w:rsidR="00D005FA" w:rsidRPr="00DE14DA" w:rsidRDefault="00D005FA" w:rsidP="00DE14DA">
            <w:pPr>
              <w:spacing w:before="40" w:after="120"/>
              <w:ind w:right="113"/>
              <w:rPr>
                <w:lang w:val="fr-FR"/>
              </w:rPr>
            </w:pPr>
            <w:r w:rsidRPr="00DE14DA">
              <w:rPr>
                <w:lang w:val="fr-FR"/>
              </w:rPr>
              <w:t>Affaires classées</w:t>
            </w:r>
          </w:p>
        </w:tc>
        <w:tc>
          <w:tcPr>
            <w:tcW w:w="1028" w:type="dxa"/>
            <w:shd w:val="clear" w:color="auto" w:fill="auto"/>
          </w:tcPr>
          <w:p w14:paraId="067F8B8E" w14:textId="77777777" w:rsidR="00D005FA" w:rsidRPr="00DE14DA" w:rsidRDefault="00D005FA" w:rsidP="00DE14DA">
            <w:pPr>
              <w:spacing w:before="40" w:after="120"/>
              <w:ind w:right="113"/>
              <w:rPr>
                <w:rtl/>
                <w:lang w:val="fr-FR"/>
              </w:rPr>
            </w:pPr>
            <w:r w:rsidRPr="00DE14DA">
              <w:rPr>
                <w:rtl/>
              </w:rPr>
              <w:t>39</w:t>
            </w:r>
          </w:p>
        </w:tc>
      </w:tr>
      <w:tr w:rsidR="00D005FA" w:rsidRPr="00DE14DA" w14:paraId="70087D85" w14:textId="77777777" w:rsidTr="00DE14DA">
        <w:tc>
          <w:tcPr>
            <w:tcW w:w="2213" w:type="dxa"/>
            <w:shd w:val="clear" w:color="auto" w:fill="auto"/>
          </w:tcPr>
          <w:p w14:paraId="786FC05F" w14:textId="77777777" w:rsidR="00D005FA" w:rsidRPr="00DE14DA" w:rsidRDefault="00D005FA" w:rsidP="00DE14DA">
            <w:pPr>
              <w:spacing w:before="40" w:after="120"/>
              <w:ind w:right="113"/>
              <w:rPr>
                <w:lang w:val="fr-FR"/>
              </w:rPr>
            </w:pPr>
            <w:r w:rsidRPr="00DE14DA">
              <w:rPr>
                <w:lang w:val="fr-FR"/>
              </w:rPr>
              <w:t>2</w:t>
            </w:r>
          </w:p>
        </w:tc>
        <w:tc>
          <w:tcPr>
            <w:tcW w:w="3947" w:type="dxa"/>
            <w:shd w:val="clear" w:color="auto" w:fill="auto"/>
          </w:tcPr>
          <w:p w14:paraId="7233FCC9" w14:textId="1F297C43" w:rsidR="00D005FA" w:rsidRPr="00DE14DA" w:rsidRDefault="00D005FA" w:rsidP="00DE14DA">
            <w:pPr>
              <w:spacing w:before="40" w:after="120"/>
              <w:ind w:right="113"/>
              <w:rPr>
                <w:lang w:val="fr-FR"/>
              </w:rPr>
            </w:pPr>
            <w:r w:rsidRPr="00DE14DA">
              <w:rPr>
                <w:lang w:val="fr-FR"/>
              </w:rPr>
              <w:t>Acquittement de l</w:t>
            </w:r>
            <w:r w:rsidR="0035332C">
              <w:rPr>
                <w:lang w:val="fr-FR"/>
              </w:rPr>
              <w:t>’</w:t>
            </w:r>
            <w:r w:rsidRPr="00DE14DA">
              <w:rPr>
                <w:lang w:val="fr-FR"/>
              </w:rPr>
              <w:t>accusé</w:t>
            </w:r>
          </w:p>
        </w:tc>
        <w:tc>
          <w:tcPr>
            <w:tcW w:w="1028" w:type="dxa"/>
            <w:shd w:val="clear" w:color="auto" w:fill="auto"/>
          </w:tcPr>
          <w:p w14:paraId="4F75AA06" w14:textId="77777777" w:rsidR="00D005FA" w:rsidRPr="00DE14DA" w:rsidRDefault="00D005FA" w:rsidP="00DE14DA">
            <w:pPr>
              <w:spacing w:before="40" w:after="120"/>
              <w:ind w:right="113"/>
              <w:rPr>
                <w:rtl/>
                <w:lang w:val="fr-FR"/>
              </w:rPr>
            </w:pPr>
            <w:r w:rsidRPr="00DE14DA">
              <w:rPr>
                <w:rtl/>
              </w:rPr>
              <w:t>40</w:t>
            </w:r>
          </w:p>
        </w:tc>
      </w:tr>
      <w:tr w:rsidR="00D005FA" w:rsidRPr="00DE14DA" w14:paraId="0D90D16D" w14:textId="77777777" w:rsidTr="00DE14DA">
        <w:tc>
          <w:tcPr>
            <w:tcW w:w="2213" w:type="dxa"/>
            <w:shd w:val="clear" w:color="auto" w:fill="auto"/>
          </w:tcPr>
          <w:p w14:paraId="10C45340" w14:textId="77777777" w:rsidR="00D005FA" w:rsidRPr="00DE14DA" w:rsidRDefault="00D005FA" w:rsidP="00DE14DA">
            <w:pPr>
              <w:spacing w:before="40" w:after="120"/>
              <w:ind w:right="113"/>
              <w:rPr>
                <w:lang w:val="fr-FR"/>
              </w:rPr>
            </w:pPr>
            <w:r w:rsidRPr="00DE14DA">
              <w:rPr>
                <w:lang w:val="fr-FR"/>
              </w:rPr>
              <w:t>3</w:t>
            </w:r>
          </w:p>
        </w:tc>
        <w:tc>
          <w:tcPr>
            <w:tcW w:w="3947" w:type="dxa"/>
            <w:shd w:val="clear" w:color="auto" w:fill="auto"/>
          </w:tcPr>
          <w:p w14:paraId="56BA8282" w14:textId="77777777" w:rsidR="00D005FA" w:rsidRPr="00DE14DA" w:rsidRDefault="00D005FA" w:rsidP="00DE14DA">
            <w:pPr>
              <w:spacing w:before="40" w:after="120"/>
              <w:ind w:right="113"/>
              <w:rPr>
                <w:lang w:val="fr-FR"/>
              </w:rPr>
            </w:pPr>
            <w:r w:rsidRPr="00DE14DA">
              <w:rPr>
                <w:lang w:val="fr-FR"/>
              </w:rPr>
              <w:t>Accusé reconnu coupable</w:t>
            </w:r>
          </w:p>
        </w:tc>
        <w:tc>
          <w:tcPr>
            <w:tcW w:w="1028" w:type="dxa"/>
            <w:shd w:val="clear" w:color="auto" w:fill="auto"/>
          </w:tcPr>
          <w:p w14:paraId="4C2DA146" w14:textId="77777777" w:rsidR="00D005FA" w:rsidRPr="00DE14DA" w:rsidRDefault="00D005FA" w:rsidP="00DE14DA">
            <w:pPr>
              <w:spacing w:before="40" w:after="120"/>
              <w:ind w:right="113"/>
              <w:rPr>
                <w:rtl/>
                <w:lang w:val="fr-FR"/>
              </w:rPr>
            </w:pPr>
            <w:r w:rsidRPr="00DE14DA">
              <w:rPr>
                <w:rtl/>
              </w:rPr>
              <w:t>24</w:t>
            </w:r>
          </w:p>
        </w:tc>
      </w:tr>
      <w:tr w:rsidR="00D005FA" w:rsidRPr="00DE14DA" w14:paraId="20396603" w14:textId="77777777" w:rsidTr="00DE14DA">
        <w:tc>
          <w:tcPr>
            <w:tcW w:w="2213" w:type="dxa"/>
            <w:shd w:val="clear" w:color="auto" w:fill="auto"/>
          </w:tcPr>
          <w:p w14:paraId="07BEF1A8" w14:textId="77777777" w:rsidR="00D005FA" w:rsidRPr="00DE14DA" w:rsidRDefault="00D005FA" w:rsidP="00DE14DA">
            <w:pPr>
              <w:spacing w:before="40" w:after="120"/>
              <w:ind w:right="113"/>
              <w:rPr>
                <w:lang w:val="fr-FR"/>
              </w:rPr>
            </w:pPr>
            <w:r w:rsidRPr="00DE14DA">
              <w:rPr>
                <w:lang w:val="fr-FR"/>
              </w:rPr>
              <w:t>4</w:t>
            </w:r>
          </w:p>
        </w:tc>
        <w:tc>
          <w:tcPr>
            <w:tcW w:w="3947" w:type="dxa"/>
            <w:shd w:val="clear" w:color="auto" w:fill="auto"/>
          </w:tcPr>
          <w:p w14:paraId="43497034" w14:textId="77777777" w:rsidR="00D005FA" w:rsidRPr="00DE14DA" w:rsidRDefault="00D005FA" w:rsidP="00DE14DA">
            <w:pPr>
              <w:spacing w:before="40" w:after="120"/>
              <w:ind w:right="113"/>
              <w:rPr>
                <w:lang w:val="fr-FR"/>
              </w:rPr>
            </w:pPr>
            <w:r w:rsidRPr="00DE14DA">
              <w:rPr>
                <w:lang w:val="fr-FR"/>
              </w:rPr>
              <w:t>Affaires en cours de jugement</w:t>
            </w:r>
          </w:p>
        </w:tc>
        <w:tc>
          <w:tcPr>
            <w:tcW w:w="1028" w:type="dxa"/>
            <w:shd w:val="clear" w:color="auto" w:fill="auto"/>
          </w:tcPr>
          <w:p w14:paraId="7362613D" w14:textId="77777777" w:rsidR="00D005FA" w:rsidRPr="00DE14DA" w:rsidRDefault="00D005FA" w:rsidP="00DE14DA">
            <w:pPr>
              <w:spacing w:before="40" w:after="120"/>
              <w:ind w:right="113"/>
              <w:rPr>
                <w:rtl/>
                <w:lang w:val="fr-FR"/>
              </w:rPr>
            </w:pPr>
            <w:r w:rsidRPr="00DE14DA">
              <w:rPr>
                <w:rtl/>
              </w:rPr>
              <w:t>34</w:t>
            </w:r>
          </w:p>
        </w:tc>
      </w:tr>
      <w:tr w:rsidR="00D005FA" w:rsidRPr="00DE14DA" w14:paraId="35B9AFB4" w14:textId="77777777" w:rsidTr="00DE14DA">
        <w:tc>
          <w:tcPr>
            <w:tcW w:w="2213" w:type="dxa"/>
            <w:tcBorders>
              <w:bottom w:val="single" w:sz="12" w:space="0" w:color="auto"/>
            </w:tcBorders>
            <w:shd w:val="clear" w:color="auto" w:fill="auto"/>
          </w:tcPr>
          <w:p w14:paraId="550B3683" w14:textId="77777777" w:rsidR="00D005FA" w:rsidRPr="00DE14DA" w:rsidRDefault="00D005FA" w:rsidP="00DE14DA">
            <w:pPr>
              <w:spacing w:before="40" w:after="120"/>
              <w:ind w:right="113"/>
              <w:rPr>
                <w:lang w:val="fr-FR"/>
              </w:rPr>
            </w:pPr>
            <w:r w:rsidRPr="00DE14DA">
              <w:rPr>
                <w:lang w:val="fr-FR"/>
              </w:rPr>
              <w:t>5</w:t>
            </w:r>
          </w:p>
        </w:tc>
        <w:tc>
          <w:tcPr>
            <w:tcW w:w="3947" w:type="dxa"/>
            <w:tcBorders>
              <w:bottom w:val="single" w:sz="12" w:space="0" w:color="auto"/>
            </w:tcBorders>
            <w:shd w:val="clear" w:color="auto" w:fill="auto"/>
          </w:tcPr>
          <w:p w14:paraId="2A372CFD" w14:textId="72B17985" w:rsidR="00D005FA" w:rsidRPr="00DE14DA" w:rsidRDefault="00D005FA" w:rsidP="00DE14DA">
            <w:pPr>
              <w:spacing w:before="40" w:after="120"/>
              <w:ind w:right="113"/>
              <w:rPr>
                <w:lang w:val="fr-FR"/>
              </w:rPr>
            </w:pPr>
            <w:r w:rsidRPr="00DE14DA">
              <w:rPr>
                <w:lang w:val="fr-FR"/>
              </w:rPr>
              <w:t>Affaires en cours d</w:t>
            </w:r>
            <w:r w:rsidR="0035332C">
              <w:rPr>
                <w:lang w:val="fr-FR"/>
              </w:rPr>
              <w:t>’</w:t>
            </w:r>
            <w:r w:rsidRPr="00DE14DA">
              <w:rPr>
                <w:lang w:val="fr-FR"/>
              </w:rPr>
              <w:t>instruction</w:t>
            </w:r>
          </w:p>
        </w:tc>
        <w:tc>
          <w:tcPr>
            <w:tcW w:w="1028" w:type="dxa"/>
            <w:tcBorders>
              <w:bottom w:val="single" w:sz="12" w:space="0" w:color="auto"/>
            </w:tcBorders>
            <w:shd w:val="clear" w:color="auto" w:fill="auto"/>
          </w:tcPr>
          <w:p w14:paraId="21C5A0E2" w14:textId="77777777" w:rsidR="00D005FA" w:rsidRPr="00DE14DA" w:rsidRDefault="00D005FA" w:rsidP="00DE14DA">
            <w:pPr>
              <w:spacing w:before="40" w:after="120"/>
              <w:ind w:right="113"/>
              <w:rPr>
                <w:rtl/>
                <w:lang w:val="fr-FR"/>
              </w:rPr>
            </w:pPr>
            <w:r w:rsidRPr="00DE14DA">
              <w:rPr>
                <w:rtl/>
              </w:rPr>
              <w:t>36</w:t>
            </w:r>
          </w:p>
        </w:tc>
      </w:tr>
    </w:tbl>
    <w:p w14:paraId="2F966FAC" w14:textId="4557D354" w:rsidR="00D005FA" w:rsidRPr="00DE14DA" w:rsidRDefault="00D005FA" w:rsidP="00DE14DA">
      <w:pPr>
        <w:pStyle w:val="SingleTxtG"/>
        <w:spacing w:before="40" w:line="220" w:lineRule="atLeast"/>
        <w:rPr>
          <w:rFonts w:eastAsia="Times New Roman"/>
          <w:sz w:val="18"/>
          <w:szCs w:val="18"/>
          <w:lang w:val="fr-FR"/>
        </w:rPr>
      </w:pPr>
      <w:r w:rsidRPr="00DE14DA">
        <w:rPr>
          <w:sz w:val="18"/>
          <w:szCs w:val="18"/>
          <w:lang w:val="fr-FR"/>
        </w:rPr>
        <w:t>Remarque</w:t>
      </w:r>
      <w:r w:rsidR="00A53B5A">
        <w:rPr>
          <w:sz w:val="18"/>
          <w:szCs w:val="18"/>
          <w:lang w:val="fr-FR"/>
        </w:rPr>
        <w:t> </w:t>
      </w:r>
      <w:r w:rsidRPr="00DE14DA">
        <w:rPr>
          <w:sz w:val="18"/>
          <w:szCs w:val="18"/>
          <w:lang w:val="fr-FR"/>
        </w:rPr>
        <w:t>: Le nombre total d</w:t>
      </w:r>
      <w:r w:rsidR="0035332C">
        <w:rPr>
          <w:sz w:val="18"/>
          <w:szCs w:val="18"/>
          <w:lang w:val="fr-FR"/>
        </w:rPr>
        <w:t>’</w:t>
      </w:r>
      <w:r w:rsidRPr="00DE14DA">
        <w:rPr>
          <w:sz w:val="18"/>
          <w:szCs w:val="18"/>
          <w:lang w:val="fr-FR"/>
        </w:rPr>
        <w:t>accusés et le nombre total d</w:t>
      </w:r>
      <w:r w:rsidR="0035332C">
        <w:rPr>
          <w:sz w:val="18"/>
          <w:szCs w:val="18"/>
          <w:lang w:val="fr-FR"/>
        </w:rPr>
        <w:t>’</w:t>
      </w:r>
      <w:r w:rsidRPr="00DE14DA">
        <w:rPr>
          <w:sz w:val="18"/>
          <w:szCs w:val="18"/>
          <w:lang w:val="fr-FR"/>
        </w:rPr>
        <w:t>affaires figurant aux tableaux 1 et 2 ne sont pas identiques, car des personnes peuvent être impliquées dans plusieurs affaires à la fois.</w:t>
      </w:r>
    </w:p>
    <w:p w14:paraId="3946E6D0" w14:textId="77777777" w:rsidR="00D005FA" w:rsidRPr="00310D49" w:rsidRDefault="00D005FA" w:rsidP="00DE14DA">
      <w:pPr>
        <w:pStyle w:val="H23G"/>
        <w:rPr>
          <w:lang w:val="fr-FR"/>
        </w:rPr>
      </w:pPr>
      <w:r w:rsidRPr="00310D49">
        <w:rPr>
          <w:lang w:val="fr-FR"/>
        </w:rPr>
        <w:lastRenderedPageBreak/>
        <w:tab/>
      </w:r>
      <w:r w:rsidRPr="00310D49">
        <w:rPr>
          <w:lang w:val="fr-FR"/>
        </w:rPr>
        <w:tab/>
        <w:t xml:space="preserve">Réparation </w:t>
      </w:r>
    </w:p>
    <w:p w14:paraId="70117E6B" w14:textId="2EB2623B" w:rsidR="00D005FA" w:rsidRPr="00310D49" w:rsidRDefault="00D005FA" w:rsidP="00DE14DA">
      <w:pPr>
        <w:pStyle w:val="SingleTxtG"/>
        <w:spacing w:before="120"/>
        <w:rPr>
          <w:lang w:val="fr-FR"/>
        </w:rPr>
      </w:pPr>
      <w:r w:rsidRPr="00310D49">
        <w:rPr>
          <w:lang w:val="fr-FR"/>
        </w:rPr>
        <w:t>157.</w:t>
      </w:r>
      <w:r w:rsidRPr="00310D49">
        <w:rPr>
          <w:lang w:val="fr-FR"/>
        </w:rPr>
        <w:tab/>
        <w:t>La Loi fondamentale modifiée de l</w:t>
      </w:r>
      <w:r w:rsidR="0035332C">
        <w:rPr>
          <w:lang w:val="fr-FR"/>
        </w:rPr>
        <w:t>’</w:t>
      </w:r>
      <w:r w:rsidRPr="00310D49">
        <w:rPr>
          <w:lang w:val="fr-FR"/>
        </w:rPr>
        <w:t>article 32 prévoit le droit à réparation pour toute violation des droits et libertés publics. Le Code de procédure pénale permet également à la victime d</w:t>
      </w:r>
      <w:r w:rsidR="0035332C">
        <w:rPr>
          <w:lang w:val="fr-FR"/>
        </w:rPr>
        <w:t>’</w:t>
      </w:r>
      <w:r w:rsidRPr="00310D49">
        <w:rPr>
          <w:lang w:val="fr-FR"/>
        </w:rPr>
        <w:t>une infraction ou d</w:t>
      </w:r>
      <w:r w:rsidR="0035332C">
        <w:rPr>
          <w:lang w:val="fr-FR"/>
        </w:rPr>
        <w:t>’</w:t>
      </w:r>
      <w:r w:rsidRPr="00310D49">
        <w:rPr>
          <w:lang w:val="fr-FR"/>
        </w:rPr>
        <w:t>une atteinte à ses droits d</w:t>
      </w:r>
      <w:r w:rsidR="0035332C">
        <w:rPr>
          <w:lang w:val="fr-FR"/>
        </w:rPr>
        <w:t>’</w:t>
      </w:r>
      <w:r w:rsidRPr="00310D49">
        <w:rPr>
          <w:lang w:val="fr-FR"/>
        </w:rPr>
        <w:t>intenter une action civile en vue d</w:t>
      </w:r>
      <w:r w:rsidR="0035332C">
        <w:rPr>
          <w:lang w:val="fr-FR"/>
        </w:rPr>
        <w:t>’</w:t>
      </w:r>
      <w:r w:rsidRPr="00310D49">
        <w:rPr>
          <w:lang w:val="fr-FR"/>
        </w:rPr>
        <w:t>obtenir une juste réparation du dommage subi de ce fait</w:t>
      </w:r>
      <w:r w:rsidRPr="00971DF4">
        <w:rPr>
          <w:lang w:val="fr-FR"/>
        </w:rPr>
        <w:t xml:space="preserve">. </w:t>
      </w:r>
      <w:r w:rsidRPr="00310D49">
        <w:rPr>
          <w:lang w:val="fr-FR"/>
        </w:rPr>
        <w:t>À cet égard, l</w:t>
      </w:r>
      <w:r w:rsidR="0035332C">
        <w:rPr>
          <w:lang w:val="fr-FR"/>
        </w:rPr>
        <w:t>’</w:t>
      </w:r>
      <w:r w:rsidRPr="00310D49">
        <w:rPr>
          <w:lang w:val="fr-FR"/>
        </w:rPr>
        <w:t>article</w:t>
      </w:r>
      <w:r w:rsidR="00BF58AC">
        <w:rPr>
          <w:lang w:val="fr-FR"/>
        </w:rPr>
        <w:t> </w:t>
      </w:r>
      <w:r w:rsidRPr="00310D49">
        <w:rPr>
          <w:lang w:val="fr-FR"/>
        </w:rPr>
        <w:t>194 (al</w:t>
      </w:r>
      <w:r w:rsidR="00BF58AC">
        <w:rPr>
          <w:lang w:val="fr-FR"/>
        </w:rPr>
        <w:t>. </w:t>
      </w:r>
      <w:r w:rsidRPr="00310D49">
        <w:rPr>
          <w:lang w:val="fr-FR"/>
        </w:rPr>
        <w:t>1) du Code de procédure pénale dispose ce qui suit</w:t>
      </w:r>
      <w:r w:rsidR="00A53B5A">
        <w:rPr>
          <w:lang w:val="fr-FR"/>
        </w:rPr>
        <w:t> </w:t>
      </w:r>
      <w:r w:rsidRPr="00310D49">
        <w:rPr>
          <w:lang w:val="fr-FR"/>
        </w:rPr>
        <w:t>: «</w:t>
      </w:r>
      <w:r w:rsidR="00DE14DA">
        <w:rPr>
          <w:lang w:val="fr-FR"/>
        </w:rPr>
        <w:t> </w:t>
      </w:r>
      <w:r w:rsidRPr="00310D49">
        <w:rPr>
          <w:lang w:val="fr-FR"/>
        </w:rPr>
        <w:t>Toute personne ayant subi un préjudice du fait d</w:t>
      </w:r>
      <w:r w:rsidR="0035332C">
        <w:rPr>
          <w:lang w:val="fr-FR"/>
        </w:rPr>
        <w:t>’</w:t>
      </w:r>
      <w:r w:rsidRPr="00310D49">
        <w:rPr>
          <w:lang w:val="fr-FR"/>
        </w:rPr>
        <w:t>une infraction peut saisir le ministère public ou le tribunal statuant sur l</w:t>
      </w:r>
      <w:r w:rsidR="0035332C">
        <w:rPr>
          <w:lang w:val="fr-FR"/>
        </w:rPr>
        <w:t>’</w:t>
      </w:r>
      <w:r w:rsidRPr="00310D49">
        <w:rPr>
          <w:lang w:val="fr-FR"/>
        </w:rPr>
        <w:t>affaire en se constituant partie civile en vue d</w:t>
      </w:r>
      <w:r w:rsidR="0035332C">
        <w:rPr>
          <w:lang w:val="fr-FR"/>
        </w:rPr>
        <w:t>’</w:t>
      </w:r>
      <w:r w:rsidRPr="00310D49">
        <w:rPr>
          <w:lang w:val="fr-FR"/>
        </w:rPr>
        <w:t>obtenir réparation du dommage faisant suite à une infraction</w:t>
      </w:r>
      <w:r w:rsidR="003D1B0D">
        <w:rPr>
          <w:lang w:val="fr-FR"/>
        </w:rPr>
        <w:t>.</w:t>
      </w:r>
      <w:r w:rsidR="00DE14DA">
        <w:rPr>
          <w:lang w:val="fr-FR"/>
        </w:rPr>
        <w:t> </w:t>
      </w:r>
      <w:r w:rsidRPr="00310D49">
        <w:rPr>
          <w:lang w:val="fr-FR"/>
        </w:rPr>
        <w:t>».</w:t>
      </w:r>
    </w:p>
    <w:p w14:paraId="6A2BCC4C" w14:textId="6D3CD215" w:rsidR="00D005FA" w:rsidRPr="00310D49" w:rsidRDefault="00D005FA" w:rsidP="00DE14DA">
      <w:pPr>
        <w:pStyle w:val="SingleTxtG"/>
        <w:spacing w:before="120"/>
        <w:rPr>
          <w:lang w:val="fr-FR"/>
        </w:rPr>
      </w:pPr>
      <w:r w:rsidRPr="00310D49">
        <w:rPr>
          <w:lang w:val="fr-FR"/>
        </w:rPr>
        <w:t>158.</w:t>
      </w:r>
      <w:r w:rsidRPr="00310D49">
        <w:rPr>
          <w:lang w:val="fr-FR"/>
        </w:rPr>
        <w:tab/>
        <w:t>L</w:t>
      </w:r>
      <w:r w:rsidR="0035332C">
        <w:rPr>
          <w:lang w:val="fr-FR"/>
        </w:rPr>
        <w:t>’</w:t>
      </w:r>
      <w:r w:rsidRPr="00310D49">
        <w:rPr>
          <w:lang w:val="fr-FR"/>
        </w:rPr>
        <w:t>article 94 de la loi n</w:t>
      </w:r>
      <w:r w:rsidR="00BF58AC" w:rsidRPr="00BF58AC">
        <w:rPr>
          <w:vertAlign w:val="superscript"/>
          <w:lang w:val="fr-FR"/>
        </w:rPr>
        <w:t>o</w:t>
      </w:r>
      <w:r w:rsidR="00BF58AC">
        <w:rPr>
          <w:lang w:val="fr-FR"/>
        </w:rPr>
        <w:t> </w:t>
      </w:r>
      <w:r w:rsidRPr="00310D49">
        <w:rPr>
          <w:lang w:val="fr-FR"/>
        </w:rPr>
        <w:t>8 de 2005 sur les forces de sécurité palestiniennes dispose que toute violation des instructions engage la responsabilité civile des officiers, sachant qu</w:t>
      </w:r>
      <w:r w:rsidR="0035332C">
        <w:rPr>
          <w:lang w:val="fr-FR"/>
        </w:rPr>
        <w:t>’</w:t>
      </w:r>
      <w:r w:rsidRPr="00310D49">
        <w:rPr>
          <w:lang w:val="fr-FR"/>
        </w:rPr>
        <w:t>un tel comportement peut être constitutif d</w:t>
      </w:r>
      <w:r w:rsidR="0035332C">
        <w:rPr>
          <w:lang w:val="fr-FR"/>
        </w:rPr>
        <w:t>’</w:t>
      </w:r>
      <w:r w:rsidRPr="00310D49">
        <w:rPr>
          <w:lang w:val="fr-FR"/>
        </w:rPr>
        <w:t>une infraction de torture ou d</w:t>
      </w:r>
      <w:r w:rsidR="0035332C">
        <w:rPr>
          <w:lang w:val="fr-FR"/>
        </w:rPr>
        <w:t>’</w:t>
      </w:r>
      <w:r w:rsidRPr="00310D49">
        <w:rPr>
          <w:lang w:val="fr-FR"/>
        </w:rPr>
        <w:t>actes constitutifs de traitements inhumains ou dégradants. L</w:t>
      </w:r>
      <w:r w:rsidR="0035332C">
        <w:rPr>
          <w:lang w:val="fr-FR"/>
        </w:rPr>
        <w:t>’</w:t>
      </w:r>
      <w:r w:rsidRPr="00310D49">
        <w:rPr>
          <w:lang w:val="fr-FR"/>
        </w:rPr>
        <w:t>article 173 de ladite loi cite les infractions commises par des sous-officiers et des membres des services de sécurité.</w:t>
      </w:r>
    </w:p>
    <w:p w14:paraId="2D498283" w14:textId="77777777" w:rsidR="00D005FA" w:rsidRPr="00310D49" w:rsidRDefault="00D005FA" w:rsidP="00DE14DA">
      <w:pPr>
        <w:pStyle w:val="H23G"/>
        <w:rPr>
          <w:lang w:val="fr-FR"/>
        </w:rPr>
      </w:pPr>
      <w:r w:rsidRPr="00310D49">
        <w:rPr>
          <w:lang w:val="fr-FR"/>
        </w:rPr>
        <w:tab/>
      </w:r>
      <w:r w:rsidRPr="00310D49">
        <w:rPr>
          <w:lang w:val="fr-FR"/>
        </w:rPr>
        <w:tab/>
        <w:t>Prisonniers condamnés à mort</w:t>
      </w:r>
    </w:p>
    <w:p w14:paraId="78209B93" w14:textId="6DF01269" w:rsidR="00D005FA" w:rsidRPr="00310D49" w:rsidRDefault="00D005FA" w:rsidP="00DE14DA">
      <w:pPr>
        <w:pStyle w:val="SingleTxtG"/>
        <w:spacing w:before="120"/>
        <w:rPr>
          <w:lang w:val="fr-FR"/>
        </w:rPr>
      </w:pPr>
      <w:r w:rsidRPr="00310D49">
        <w:rPr>
          <w:lang w:val="fr-FR"/>
        </w:rPr>
        <w:t>159.</w:t>
      </w:r>
      <w:r w:rsidRPr="00310D49">
        <w:rPr>
          <w:lang w:val="fr-FR"/>
        </w:rPr>
        <w:tab/>
        <w:t>En ce qui concerne la législation en vigueur relative au traitement des condamnés à mort, il est précisé à l</w:t>
      </w:r>
      <w:r w:rsidR="0035332C">
        <w:rPr>
          <w:lang w:val="fr-FR"/>
        </w:rPr>
        <w:t>’</w:t>
      </w:r>
      <w:r w:rsidRPr="00310D49">
        <w:rPr>
          <w:lang w:val="fr-FR"/>
        </w:rPr>
        <w:t>article 59 (al</w:t>
      </w:r>
      <w:r w:rsidR="00BF58AC">
        <w:rPr>
          <w:lang w:val="fr-FR"/>
        </w:rPr>
        <w:t>. </w:t>
      </w:r>
      <w:r w:rsidRPr="00310D49">
        <w:rPr>
          <w:lang w:val="fr-FR"/>
        </w:rPr>
        <w:t xml:space="preserve">1 et 2) de la loi sur </w:t>
      </w:r>
      <w:r w:rsidR="00BF58AC">
        <w:rPr>
          <w:lang w:val="fr-FR"/>
        </w:rPr>
        <w:t xml:space="preserve">les </w:t>
      </w:r>
      <w:r w:rsidRPr="00310D49">
        <w:rPr>
          <w:lang w:val="fr-FR"/>
        </w:rPr>
        <w:t>établissements pénitentiaires que le condamné à mort est placé sous surveillance permanente et peut recevoir la visite du procureur général, de ses représentants, d</w:t>
      </w:r>
      <w:r w:rsidR="0035332C">
        <w:rPr>
          <w:lang w:val="fr-FR"/>
        </w:rPr>
        <w:t>’</w:t>
      </w:r>
      <w:r w:rsidRPr="00310D49">
        <w:rPr>
          <w:lang w:val="fr-FR"/>
        </w:rPr>
        <w:t>un homme de religion ou du médecin de l</w:t>
      </w:r>
      <w:r w:rsidR="0035332C">
        <w:rPr>
          <w:lang w:val="fr-FR"/>
        </w:rPr>
        <w:t>’</w:t>
      </w:r>
      <w:r w:rsidRPr="00310D49">
        <w:rPr>
          <w:lang w:val="fr-FR"/>
        </w:rPr>
        <w:t>établissement à tout moment.</w:t>
      </w:r>
    </w:p>
    <w:p w14:paraId="15FD5B41" w14:textId="31E4DC91" w:rsidR="00D005FA" w:rsidRPr="00310D49" w:rsidRDefault="00D005FA" w:rsidP="00DE14DA">
      <w:pPr>
        <w:pStyle w:val="H23G"/>
        <w:rPr>
          <w:lang w:val="fr-FR"/>
        </w:rPr>
      </w:pPr>
      <w:r w:rsidRPr="00310D49">
        <w:rPr>
          <w:lang w:val="fr-FR"/>
        </w:rPr>
        <w:tab/>
      </w:r>
      <w:r w:rsidRPr="00310D49">
        <w:rPr>
          <w:lang w:val="fr-FR"/>
        </w:rPr>
        <w:tab/>
        <w:t>Règles de conduite des responsables de l</w:t>
      </w:r>
      <w:r w:rsidR="0035332C">
        <w:rPr>
          <w:lang w:val="fr-FR"/>
        </w:rPr>
        <w:t>’</w:t>
      </w:r>
      <w:r w:rsidRPr="00310D49">
        <w:rPr>
          <w:lang w:val="fr-FR"/>
        </w:rPr>
        <w:t>application des lois</w:t>
      </w:r>
    </w:p>
    <w:p w14:paraId="33A2820A" w14:textId="56589E44" w:rsidR="00D005FA" w:rsidRPr="00310D49" w:rsidRDefault="00D005FA" w:rsidP="00DE14DA">
      <w:pPr>
        <w:pStyle w:val="SingleTxtG"/>
        <w:spacing w:before="120"/>
        <w:rPr>
          <w:lang w:val="fr-FR"/>
        </w:rPr>
      </w:pPr>
      <w:r w:rsidRPr="00310D49">
        <w:rPr>
          <w:lang w:val="fr-FR"/>
        </w:rPr>
        <w:t>160.</w:t>
      </w:r>
      <w:r w:rsidRPr="00310D49">
        <w:rPr>
          <w:lang w:val="fr-FR"/>
        </w:rPr>
        <w:tab/>
        <w:t>Les codes de conduite interdisent expressément le recours à la torture et à d</w:t>
      </w:r>
      <w:r w:rsidR="0035332C">
        <w:rPr>
          <w:lang w:val="fr-FR"/>
        </w:rPr>
        <w:t>’</w:t>
      </w:r>
      <w:r w:rsidRPr="00310D49">
        <w:rPr>
          <w:lang w:val="fr-FR"/>
        </w:rPr>
        <w:t>autres traitements cruels, inhumains ou dégradants, et régissent les normes et l</w:t>
      </w:r>
      <w:r w:rsidR="0035332C">
        <w:rPr>
          <w:lang w:val="fr-FR"/>
        </w:rPr>
        <w:t>’</w:t>
      </w:r>
      <w:r w:rsidRPr="00310D49">
        <w:rPr>
          <w:lang w:val="fr-FR"/>
        </w:rPr>
        <w:t>éthique du travail. Parmi ces codes figurent notamment le Code de déontologie judiciaire, le Code de déontologie des magistrats du ministère public, le Code de conduite et de déontologie du personnel de la police, le Code de conduite des forces de défense civile, le Code de conduite des membres du Service de la sécurité préventive, le Code de conduite et d</w:t>
      </w:r>
      <w:r w:rsidR="0035332C">
        <w:rPr>
          <w:lang w:val="fr-FR"/>
        </w:rPr>
        <w:t>’</w:t>
      </w:r>
      <w:r w:rsidRPr="00310D49">
        <w:rPr>
          <w:lang w:val="fr-FR"/>
        </w:rPr>
        <w:t>éthique du personnel du Service des renseignements généraux, le Guide des infractions disciplinaires à l</w:t>
      </w:r>
      <w:r w:rsidR="0035332C">
        <w:rPr>
          <w:lang w:val="fr-FR"/>
        </w:rPr>
        <w:t>’</w:t>
      </w:r>
      <w:r w:rsidRPr="00310D49">
        <w:rPr>
          <w:lang w:val="fr-FR"/>
        </w:rPr>
        <w:t>intention des membres des forces de sécurité palestiniennes, le Code de conduite sur le recours à la force et l</w:t>
      </w:r>
      <w:r w:rsidR="0035332C">
        <w:rPr>
          <w:lang w:val="fr-FR"/>
        </w:rPr>
        <w:t>’</w:t>
      </w:r>
      <w:r w:rsidRPr="00310D49">
        <w:rPr>
          <w:lang w:val="fr-FR"/>
        </w:rPr>
        <w:t>utilisation des armes à feu à l</w:t>
      </w:r>
      <w:r w:rsidR="0035332C">
        <w:rPr>
          <w:lang w:val="fr-FR"/>
        </w:rPr>
        <w:t>’</w:t>
      </w:r>
      <w:r w:rsidRPr="00310D49">
        <w:rPr>
          <w:lang w:val="fr-FR"/>
        </w:rPr>
        <w:t>intention des membres des forces de sécurité, le Code d</w:t>
      </w:r>
      <w:r w:rsidR="0035332C">
        <w:rPr>
          <w:lang w:val="fr-FR"/>
        </w:rPr>
        <w:t>’</w:t>
      </w:r>
      <w:r w:rsidRPr="00310D49">
        <w:rPr>
          <w:lang w:val="fr-FR"/>
        </w:rPr>
        <w:t>éthique et de déontologie des membres des forces de sécurité, le Manuel de procédures des services de santé et le Manuel de procédures normalisées à l</w:t>
      </w:r>
      <w:r w:rsidR="0035332C">
        <w:rPr>
          <w:lang w:val="fr-FR"/>
        </w:rPr>
        <w:t>’</w:t>
      </w:r>
      <w:r w:rsidRPr="00310D49">
        <w:rPr>
          <w:lang w:val="fr-FR"/>
        </w:rPr>
        <w:t>intention des services de traitement des plaintes des autorités chargées de la sécurité.</w:t>
      </w:r>
    </w:p>
    <w:p w14:paraId="7C6380A9" w14:textId="04395EF4" w:rsidR="00D005FA" w:rsidRPr="00310D49" w:rsidRDefault="00D005FA" w:rsidP="00DE14DA">
      <w:pPr>
        <w:pStyle w:val="SingleTxtG"/>
        <w:spacing w:before="120"/>
        <w:rPr>
          <w:lang w:val="fr-FR"/>
        </w:rPr>
      </w:pPr>
      <w:r w:rsidRPr="00310D49">
        <w:rPr>
          <w:lang w:val="fr-FR"/>
        </w:rPr>
        <w:t>161.</w:t>
      </w:r>
      <w:r w:rsidRPr="00310D49">
        <w:rPr>
          <w:lang w:val="fr-FR"/>
        </w:rPr>
        <w:tab/>
        <w:t>Le 13 septembre 2009, le Président de l</w:t>
      </w:r>
      <w:r w:rsidR="0035332C">
        <w:rPr>
          <w:lang w:val="fr-FR"/>
        </w:rPr>
        <w:t>’</w:t>
      </w:r>
      <w:r w:rsidRPr="00310D49">
        <w:rPr>
          <w:lang w:val="fr-FR"/>
        </w:rPr>
        <w:t>État de Palestine a édicté des instructions en vue de mettre fin à toutes formes de torture et de pratiques violant les droits de l</w:t>
      </w:r>
      <w:r w:rsidR="0035332C">
        <w:rPr>
          <w:lang w:val="fr-FR"/>
        </w:rPr>
        <w:t>’</w:t>
      </w:r>
      <w:r w:rsidRPr="00310D49">
        <w:rPr>
          <w:lang w:val="fr-FR"/>
        </w:rPr>
        <w:t>homme et la dignité humaine, lesquelles ont été diffusées auprès des responsables des services de sécurité. De même, le Président a adressé le 14 mai 2013 des instructions enjoignant à toutes les autorités chargées de l</w:t>
      </w:r>
      <w:r w:rsidR="0035332C">
        <w:rPr>
          <w:lang w:val="fr-FR"/>
        </w:rPr>
        <w:t>’</w:t>
      </w:r>
      <w:r w:rsidRPr="00310D49">
        <w:rPr>
          <w:lang w:val="fr-FR"/>
        </w:rPr>
        <w:t>arrestation, la détention et des investigations de se conformer aux lois interdisant toute forme de torture et de respecter les instruments internationaux.</w:t>
      </w:r>
    </w:p>
    <w:p w14:paraId="104BDB18" w14:textId="18409A4B" w:rsidR="00D005FA" w:rsidRPr="00310D49" w:rsidRDefault="00D005FA" w:rsidP="00DE14DA">
      <w:pPr>
        <w:pStyle w:val="SingleTxtG"/>
        <w:spacing w:before="120"/>
        <w:rPr>
          <w:lang w:val="fr-FR"/>
        </w:rPr>
      </w:pPr>
      <w:r w:rsidRPr="00310D49">
        <w:rPr>
          <w:lang w:val="fr-FR"/>
        </w:rPr>
        <w:t>162.</w:t>
      </w:r>
      <w:r w:rsidRPr="00310D49">
        <w:rPr>
          <w:lang w:val="fr-FR"/>
        </w:rPr>
        <w:tab/>
        <w:t>Le Ministre de l</w:t>
      </w:r>
      <w:r w:rsidR="0035332C">
        <w:rPr>
          <w:lang w:val="fr-FR"/>
        </w:rPr>
        <w:t>’</w:t>
      </w:r>
      <w:r w:rsidRPr="00310D49">
        <w:rPr>
          <w:lang w:val="fr-FR"/>
        </w:rPr>
        <w:t>intérieur a lui aussi pris à un certain nombre d</w:t>
      </w:r>
      <w:r w:rsidR="0035332C">
        <w:rPr>
          <w:lang w:val="fr-FR"/>
        </w:rPr>
        <w:t>’</w:t>
      </w:r>
      <w:r w:rsidRPr="00310D49">
        <w:rPr>
          <w:lang w:val="fr-FR"/>
        </w:rPr>
        <w:t>arrêtés en ce sens. Citons l</w:t>
      </w:r>
      <w:r w:rsidR="0035332C">
        <w:rPr>
          <w:lang w:val="fr-FR"/>
        </w:rPr>
        <w:t>’</w:t>
      </w:r>
      <w:r w:rsidRPr="00310D49">
        <w:rPr>
          <w:lang w:val="fr-FR"/>
        </w:rPr>
        <w:t>arrêté n</w:t>
      </w:r>
      <w:r w:rsidR="00BF58AC" w:rsidRPr="00BF58AC">
        <w:rPr>
          <w:vertAlign w:val="superscript"/>
          <w:lang w:val="fr-FR"/>
        </w:rPr>
        <w:t>o</w:t>
      </w:r>
      <w:r w:rsidR="00BF58AC">
        <w:rPr>
          <w:lang w:val="fr-FR"/>
        </w:rPr>
        <w:t> </w:t>
      </w:r>
      <w:r w:rsidRPr="00310D49">
        <w:rPr>
          <w:lang w:val="fr-FR"/>
        </w:rPr>
        <w:t>149 de 2009 sur le respect des règles et normes optimales relatives au traitement des détenus par les services de sécurité, en vertu duquel ces derniers doivent s</w:t>
      </w:r>
      <w:r w:rsidR="0035332C">
        <w:rPr>
          <w:lang w:val="fr-FR"/>
        </w:rPr>
        <w:t>’</w:t>
      </w:r>
      <w:r w:rsidRPr="00310D49">
        <w:rPr>
          <w:lang w:val="fr-FR"/>
        </w:rPr>
        <w:t>abstenir d</w:t>
      </w:r>
      <w:r w:rsidR="0035332C">
        <w:rPr>
          <w:lang w:val="fr-FR"/>
        </w:rPr>
        <w:t>’</w:t>
      </w:r>
      <w:r w:rsidRPr="00310D49">
        <w:rPr>
          <w:lang w:val="fr-FR"/>
        </w:rPr>
        <w:t>infliger aux détenus toute sanction physique ou psychologique infligée et toute forme de torture. Citons également l</w:t>
      </w:r>
      <w:r w:rsidR="0035332C">
        <w:rPr>
          <w:lang w:val="fr-FR"/>
        </w:rPr>
        <w:t>’</w:t>
      </w:r>
      <w:r w:rsidRPr="00310D49">
        <w:rPr>
          <w:lang w:val="fr-FR"/>
        </w:rPr>
        <w:t>arrêté n</w:t>
      </w:r>
      <w:r w:rsidR="00BF58AC" w:rsidRPr="00BF58AC">
        <w:rPr>
          <w:vertAlign w:val="superscript"/>
          <w:lang w:val="fr-FR"/>
        </w:rPr>
        <w:t>o</w:t>
      </w:r>
      <w:r w:rsidR="00BF58AC">
        <w:rPr>
          <w:lang w:val="fr-FR"/>
        </w:rPr>
        <w:t> </w:t>
      </w:r>
      <w:r w:rsidRPr="00310D49">
        <w:rPr>
          <w:lang w:val="fr-FR"/>
        </w:rPr>
        <w:t>192 du 1</w:t>
      </w:r>
      <w:r w:rsidRPr="00310D49">
        <w:rPr>
          <w:vertAlign w:val="superscript"/>
          <w:lang w:val="fr-FR"/>
        </w:rPr>
        <w:t>er</w:t>
      </w:r>
      <w:r w:rsidR="00BF58AC">
        <w:rPr>
          <w:lang w:val="fr-FR"/>
        </w:rPr>
        <w:t> </w:t>
      </w:r>
      <w:r w:rsidRPr="00310D49">
        <w:rPr>
          <w:lang w:val="fr-FR"/>
        </w:rPr>
        <w:t>décembre 2009 relatif aux infractions disciplinaires commises par les membres des forces de sécurité palestiniennes, selon lequel les dommages causés à quiconque du fait d</w:t>
      </w:r>
      <w:r w:rsidR="0035332C">
        <w:rPr>
          <w:lang w:val="fr-FR"/>
        </w:rPr>
        <w:t>’</w:t>
      </w:r>
      <w:r w:rsidRPr="00310D49">
        <w:rPr>
          <w:lang w:val="fr-FR"/>
        </w:rPr>
        <w:t>actes de torture ou de mauvais traitements contraires aux valeurs humaines et à la législation pertinente sont constitutifs d</w:t>
      </w:r>
      <w:r w:rsidR="0035332C">
        <w:rPr>
          <w:lang w:val="fr-FR"/>
        </w:rPr>
        <w:t>’</w:t>
      </w:r>
      <w:r w:rsidRPr="00310D49">
        <w:rPr>
          <w:lang w:val="fr-FR"/>
        </w:rPr>
        <w:t>une faute de premier degré passible d</w:t>
      </w:r>
      <w:r w:rsidR="0035332C">
        <w:rPr>
          <w:lang w:val="fr-FR"/>
        </w:rPr>
        <w:t>’</w:t>
      </w:r>
      <w:r w:rsidRPr="00310D49">
        <w:rPr>
          <w:lang w:val="fr-FR"/>
        </w:rPr>
        <w:t>une sanction administrative pouvant aller jusqu</w:t>
      </w:r>
      <w:r w:rsidR="0035332C">
        <w:rPr>
          <w:lang w:val="fr-FR"/>
        </w:rPr>
        <w:t>’</w:t>
      </w:r>
      <w:r w:rsidRPr="00310D49">
        <w:rPr>
          <w:lang w:val="fr-FR"/>
        </w:rPr>
        <w:t>au licenciement. Citons enfin l</w:t>
      </w:r>
      <w:r w:rsidR="0035332C">
        <w:rPr>
          <w:lang w:val="fr-FR"/>
        </w:rPr>
        <w:t>’</w:t>
      </w:r>
      <w:r w:rsidRPr="00310D49">
        <w:rPr>
          <w:lang w:val="fr-FR"/>
        </w:rPr>
        <w:t>arrêté de 2017 portant institution du groupe de travail chargé de donner suite aux engagements du Ministère de l</w:t>
      </w:r>
      <w:r w:rsidR="0035332C">
        <w:rPr>
          <w:lang w:val="fr-FR"/>
        </w:rPr>
        <w:t>’</w:t>
      </w:r>
      <w:r w:rsidRPr="00310D49">
        <w:rPr>
          <w:lang w:val="fr-FR"/>
        </w:rPr>
        <w:t>intérieur en matière de droits de l</w:t>
      </w:r>
      <w:r w:rsidR="0035332C">
        <w:rPr>
          <w:lang w:val="fr-FR"/>
        </w:rPr>
        <w:t>’</w:t>
      </w:r>
      <w:r w:rsidRPr="00310D49">
        <w:rPr>
          <w:lang w:val="fr-FR"/>
        </w:rPr>
        <w:t>homme.</w:t>
      </w:r>
    </w:p>
    <w:p w14:paraId="4920D965" w14:textId="77B5B5A4" w:rsidR="00D005FA" w:rsidRPr="00310D49" w:rsidRDefault="00D005FA" w:rsidP="00BF58AC">
      <w:pPr>
        <w:pStyle w:val="SingleTxtG"/>
        <w:keepNext/>
        <w:keepLines/>
        <w:spacing w:before="120"/>
        <w:rPr>
          <w:spacing w:val="-2"/>
          <w:lang w:val="fr-FR"/>
        </w:rPr>
      </w:pPr>
      <w:r w:rsidRPr="00310D49">
        <w:rPr>
          <w:lang w:val="fr-FR"/>
        </w:rPr>
        <w:lastRenderedPageBreak/>
        <w:t>163.</w:t>
      </w:r>
      <w:r w:rsidRPr="00310D49">
        <w:rPr>
          <w:lang w:val="fr-FR"/>
        </w:rPr>
        <w:tab/>
        <w:t>D</w:t>
      </w:r>
      <w:r w:rsidR="0035332C">
        <w:rPr>
          <w:lang w:val="fr-FR"/>
        </w:rPr>
        <w:t>’</w:t>
      </w:r>
      <w:r w:rsidRPr="00310D49">
        <w:rPr>
          <w:lang w:val="fr-FR"/>
        </w:rPr>
        <w:t>autres mesures ont été prises, comme la circulaire n</w:t>
      </w:r>
      <w:r w:rsidR="00BF58AC" w:rsidRPr="00BF58AC">
        <w:rPr>
          <w:vertAlign w:val="superscript"/>
          <w:lang w:val="fr-FR"/>
        </w:rPr>
        <w:t>o</w:t>
      </w:r>
      <w:r w:rsidR="00BF58AC">
        <w:rPr>
          <w:lang w:val="fr-FR"/>
        </w:rPr>
        <w:t> </w:t>
      </w:r>
      <w:r w:rsidRPr="00310D49">
        <w:rPr>
          <w:lang w:val="fr-FR"/>
        </w:rPr>
        <w:t>6 de 2010 du Directeur général de la police palestinienne, interdisant le recours à la violence, à la torture ou à toute autre forme de traitement cruel ou dégradant dans le cadre des relations avec les citoyens. En outre, le Service des renseignements généraux a publié plusieurs circulaires contenant des instructions adressées aux personnels dudit service leur prescrivant de se conformer à toutes les normes énoncées dans la Convention contre la torture et d</w:t>
      </w:r>
      <w:r w:rsidR="0035332C">
        <w:rPr>
          <w:lang w:val="fr-FR"/>
        </w:rPr>
        <w:t>’</w:t>
      </w:r>
      <w:r w:rsidRPr="00310D49">
        <w:rPr>
          <w:lang w:val="fr-FR"/>
        </w:rPr>
        <w:t xml:space="preserve">observer les lois applicables. Enfin, </w:t>
      </w:r>
      <w:r w:rsidR="00BF58AC">
        <w:rPr>
          <w:lang w:val="fr-FR"/>
        </w:rPr>
        <w:t xml:space="preserve">le </w:t>
      </w:r>
      <w:r w:rsidRPr="00310D49">
        <w:rPr>
          <w:lang w:val="fr-FR"/>
        </w:rPr>
        <w:t>Service de la sécurité préventive a aussi adressé des instructions à ses personnels, leur enjoignant de respecter les procédures légales d</w:t>
      </w:r>
      <w:r w:rsidR="0035332C">
        <w:rPr>
          <w:lang w:val="fr-FR"/>
        </w:rPr>
        <w:t>’</w:t>
      </w:r>
      <w:r w:rsidRPr="00310D49">
        <w:rPr>
          <w:lang w:val="fr-FR"/>
        </w:rPr>
        <w:t>arrestation, d</w:t>
      </w:r>
      <w:r w:rsidR="0035332C">
        <w:rPr>
          <w:lang w:val="fr-FR"/>
        </w:rPr>
        <w:t>’</w:t>
      </w:r>
      <w:r w:rsidRPr="00310D49">
        <w:rPr>
          <w:lang w:val="fr-FR"/>
        </w:rPr>
        <w:t>interrogatoire, de fouille, d</w:t>
      </w:r>
      <w:r w:rsidR="0035332C">
        <w:rPr>
          <w:lang w:val="fr-FR"/>
        </w:rPr>
        <w:t>’</w:t>
      </w:r>
      <w:r w:rsidRPr="00310D49">
        <w:rPr>
          <w:lang w:val="fr-FR"/>
        </w:rPr>
        <w:t>audition et de comparution et les invitant à prendre toutes les mesures nécessaires pour empêcher la perpétration d</w:t>
      </w:r>
      <w:r w:rsidR="0035332C">
        <w:rPr>
          <w:lang w:val="fr-FR"/>
        </w:rPr>
        <w:t>’</w:t>
      </w:r>
      <w:r w:rsidRPr="00310D49">
        <w:rPr>
          <w:lang w:val="fr-FR"/>
        </w:rPr>
        <w:t>actes de torture ou de maltraitance contre des gardés à vue ou détenus.</w:t>
      </w:r>
    </w:p>
    <w:p w14:paraId="0C40E1F1" w14:textId="77777777" w:rsidR="00D005FA" w:rsidRPr="00310D49" w:rsidRDefault="00D005FA" w:rsidP="00DE14DA">
      <w:pPr>
        <w:pStyle w:val="H23G"/>
        <w:rPr>
          <w:lang w:val="fr-FR"/>
        </w:rPr>
      </w:pPr>
      <w:r w:rsidRPr="00310D49">
        <w:rPr>
          <w:lang w:val="fr-FR"/>
        </w:rPr>
        <w:tab/>
      </w:r>
      <w:r w:rsidRPr="00310D49">
        <w:rPr>
          <w:lang w:val="fr-FR"/>
        </w:rPr>
        <w:tab/>
        <w:t>Activités de formation</w:t>
      </w:r>
    </w:p>
    <w:p w14:paraId="3028A3C2" w14:textId="27BFE343" w:rsidR="00D005FA" w:rsidRPr="00310D49" w:rsidRDefault="00D005FA" w:rsidP="00DE14DA">
      <w:pPr>
        <w:pStyle w:val="SingleTxtG"/>
        <w:spacing w:before="120"/>
        <w:rPr>
          <w:lang w:val="fr-FR"/>
        </w:rPr>
      </w:pPr>
      <w:r w:rsidRPr="00310D49">
        <w:rPr>
          <w:lang w:val="fr-FR"/>
        </w:rPr>
        <w:t>164.</w:t>
      </w:r>
      <w:r w:rsidRPr="00310D49">
        <w:rPr>
          <w:lang w:val="fr-FR"/>
        </w:rPr>
        <w:tab/>
        <w:t>Le Ministère de l</w:t>
      </w:r>
      <w:r w:rsidR="0035332C">
        <w:rPr>
          <w:lang w:val="fr-FR"/>
        </w:rPr>
        <w:t>’</w:t>
      </w:r>
      <w:r w:rsidRPr="00310D49">
        <w:rPr>
          <w:lang w:val="fr-FR"/>
        </w:rPr>
        <w:t>intérieur organise au profit de tous les membres des forces de sécurité une formation continue aux droits de l</w:t>
      </w:r>
      <w:r w:rsidR="0035332C">
        <w:rPr>
          <w:lang w:val="fr-FR"/>
        </w:rPr>
        <w:t>’</w:t>
      </w:r>
      <w:r w:rsidRPr="00310D49">
        <w:rPr>
          <w:lang w:val="fr-FR"/>
        </w:rPr>
        <w:t>homme, visant à mieux faire connaître les dispositions de la Convention contre la torture et autres peines ou traitements cruels, inhumains ou dégradants et les obligations qui en découlent, ainsi que celles du Protocole facultatif à la Convention contre la torture.</w:t>
      </w:r>
    </w:p>
    <w:p w14:paraId="221F0EB6" w14:textId="74F02403" w:rsidR="00D005FA" w:rsidRPr="00310D49" w:rsidRDefault="00D005FA" w:rsidP="00DE14DA">
      <w:pPr>
        <w:pStyle w:val="SingleTxtG"/>
        <w:spacing w:before="120"/>
        <w:rPr>
          <w:lang w:val="fr-FR"/>
        </w:rPr>
      </w:pPr>
      <w:r w:rsidRPr="00310D49">
        <w:rPr>
          <w:lang w:val="fr-FR"/>
        </w:rPr>
        <w:t>165.</w:t>
      </w:r>
      <w:r w:rsidRPr="00310D49">
        <w:rPr>
          <w:lang w:val="fr-FR"/>
        </w:rPr>
        <w:tab/>
        <w:t>Les services de sécurité palestiniens ont organisé plus de 416</w:t>
      </w:r>
      <w:r w:rsidR="00E34368">
        <w:rPr>
          <w:lang w:val="fr-FR"/>
        </w:rPr>
        <w:t> </w:t>
      </w:r>
      <w:r w:rsidRPr="00310D49">
        <w:rPr>
          <w:lang w:val="fr-FR"/>
        </w:rPr>
        <w:t>sessions de formation, conférences et ateliers traitant de tous les aspects relatifs aux droits de l</w:t>
      </w:r>
      <w:r w:rsidR="0035332C">
        <w:rPr>
          <w:lang w:val="fr-FR"/>
        </w:rPr>
        <w:t>’</w:t>
      </w:r>
      <w:r w:rsidRPr="00310D49">
        <w:rPr>
          <w:lang w:val="fr-FR"/>
        </w:rPr>
        <w:t>homme, notamment la torture, les modalités de prise en charge des enfants et des femmes victimes de violence, l</w:t>
      </w:r>
      <w:r w:rsidR="0035332C">
        <w:rPr>
          <w:lang w:val="fr-FR"/>
        </w:rPr>
        <w:t>’</w:t>
      </w:r>
      <w:r w:rsidRPr="00310D49">
        <w:rPr>
          <w:lang w:val="fr-FR"/>
        </w:rPr>
        <w:t>assistance psychologique et sociale, la protection de la famille, la classification des détenus et les lois pertinentes.</w:t>
      </w:r>
    </w:p>
    <w:p w14:paraId="1C842FAA" w14:textId="56BA2718" w:rsidR="00D005FA" w:rsidRPr="00310D49" w:rsidRDefault="00D005FA" w:rsidP="00DE14DA">
      <w:pPr>
        <w:pStyle w:val="SingleTxtG"/>
        <w:spacing w:before="120"/>
        <w:rPr>
          <w:lang w:val="fr-FR"/>
        </w:rPr>
      </w:pPr>
      <w:r w:rsidRPr="00310D49">
        <w:rPr>
          <w:lang w:val="fr-FR"/>
        </w:rPr>
        <w:t>166.</w:t>
      </w:r>
      <w:r w:rsidRPr="00310D49">
        <w:rPr>
          <w:lang w:val="fr-FR"/>
        </w:rPr>
        <w:tab/>
        <w:t>En 2017, le Ministère de l</w:t>
      </w:r>
      <w:r w:rsidR="0035332C">
        <w:rPr>
          <w:lang w:val="fr-FR"/>
        </w:rPr>
        <w:t>’</w:t>
      </w:r>
      <w:r w:rsidRPr="00310D49">
        <w:rPr>
          <w:lang w:val="fr-FR"/>
        </w:rPr>
        <w:t>intérieur et l</w:t>
      </w:r>
      <w:r w:rsidR="0035332C">
        <w:rPr>
          <w:lang w:val="fr-FR"/>
        </w:rPr>
        <w:t>’</w:t>
      </w:r>
      <w:r w:rsidRPr="00310D49">
        <w:rPr>
          <w:lang w:val="fr-FR"/>
        </w:rPr>
        <w:t>Université nationale An-Najah ont signé un protocole d</w:t>
      </w:r>
      <w:r w:rsidR="0035332C">
        <w:rPr>
          <w:lang w:val="fr-FR"/>
        </w:rPr>
        <w:t>’</w:t>
      </w:r>
      <w:r w:rsidRPr="00310D49">
        <w:rPr>
          <w:lang w:val="fr-FR"/>
        </w:rPr>
        <w:t>accord relatif à la formation du personnel de ce ministère, des services de sécurité, du Ministère de la justice, des services de médecine légale et des services médicaux de l</w:t>
      </w:r>
      <w:r w:rsidR="0035332C">
        <w:rPr>
          <w:lang w:val="fr-FR"/>
        </w:rPr>
        <w:t>’</w:t>
      </w:r>
      <w:r w:rsidRPr="00310D49">
        <w:rPr>
          <w:lang w:val="fr-FR"/>
        </w:rPr>
        <w:t>armée. Ce protocole d</w:t>
      </w:r>
      <w:r w:rsidR="0035332C">
        <w:rPr>
          <w:lang w:val="fr-FR"/>
        </w:rPr>
        <w:t>’</w:t>
      </w:r>
      <w:r w:rsidRPr="00310D49">
        <w:rPr>
          <w:lang w:val="fr-FR"/>
        </w:rPr>
        <w:t>accord porte sur la sensibilisation à la Convention contre la torture et autres peines ou traitements cruels, inhumains ou dégradants et sur les dispositions du Protocole d</w:t>
      </w:r>
      <w:r w:rsidR="0035332C">
        <w:rPr>
          <w:lang w:val="fr-FR"/>
        </w:rPr>
        <w:t>’</w:t>
      </w:r>
      <w:r w:rsidRPr="00310D49">
        <w:rPr>
          <w:lang w:val="fr-FR"/>
        </w:rPr>
        <w:t>Istanbul, appelées à être intégrées dans le programme de formation, en vue d</w:t>
      </w:r>
      <w:r w:rsidR="0035332C">
        <w:rPr>
          <w:lang w:val="fr-FR"/>
        </w:rPr>
        <w:t>’</w:t>
      </w:r>
      <w:r w:rsidRPr="00310D49">
        <w:rPr>
          <w:lang w:val="fr-FR"/>
        </w:rPr>
        <w:t>instituer un groupe de travail spécialisé concernant les cas de torture, conformément aux normes dudit Protocole.</w:t>
      </w:r>
    </w:p>
    <w:p w14:paraId="1625548B" w14:textId="5A2E9780" w:rsidR="00D005FA" w:rsidRPr="00310D49" w:rsidRDefault="00D005FA" w:rsidP="00DE14DA">
      <w:pPr>
        <w:pStyle w:val="SingleTxtG"/>
        <w:spacing w:before="120"/>
        <w:rPr>
          <w:spacing w:val="-4"/>
          <w:lang w:val="fr-FR"/>
        </w:rPr>
      </w:pPr>
      <w:r w:rsidRPr="00310D49">
        <w:rPr>
          <w:lang w:val="fr-FR"/>
        </w:rPr>
        <w:t>167.</w:t>
      </w:r>
      <w:r w:rsidRPr="00310D49">
        <w:rPr>
          <w:lang w:val="fr-FR"/>
        </w:rPr>
        <w:tab/>
        <w:t>En 2018, le Ministère de l</w:t>
      </w:r>
      <w:r w:rsidR="0035332C">
        <w:rPr>
          <w:lang w:val="fr-FR"/>
        </w:rPr>
        <w:t>’</w:t>
      </w:r>
      <w:r w:rsidRPr="00310D49">
        <w:rPr>
          <w:lang w:val="fr-FR"/>
        </w:rPr>
        <w:t>intérieur a signé un accord de coopération avec l</w:t>
      </w:r>
      <w:r w:rsidR="0035332C">
        <w:rPr>
          <w:lang w:val="fr-FR"/>
        </w:rPr>
        <w:t>’</w:t>
      </w:r>
      <w:r w:rsidRPr="00310D49">
        <w:rPr>
          <w:lang w:val="fr-FR"/>
        </w:rPr>
        <w:t>Institut Mouwatin de l</w:t>
      </w:r>
      <w:r w:rsidR="0035332C">
        <w:rPr>
          <w:lang w:val="fr-FR"/>
        </w:rPr>
        <w:t>’</w:t>
      </w:r>
      <w:r w:rsidRPr="00310D49">
        <w:rPr>
          <w:lang w:val="fr-FR"/>
        </w:rPr>
        <w:t>Université de Bir Zeit au sujet de l</w:t>
      </w:r>
      <w:r w:rsidR="0035332C">
        <w:rPr>
          <w:lang w:val="fr-FR"/>
        </w:rPr>
        <w:t>’</w:t>
      </w:r>
      <w:r w:rsidRPr="00310D49">
        <w:rPr>
          <w:lang w:val="fr-FR"/>
        </w:rPr>
        <w:t>établissement d</w:t>
      </w:r>
      <w:r w:rsidR="0035332C">
        <w:rPr>
          <w:lang w:val="fr-FR"/>
        </w:rPr>
        <w:t>’</w:t>
      </w:r>
      <w:r w:rsidRPr="00310D49">
        <w:rPr>
          <w:lang w:val="fr-FR"/>
        </w:rPr>
        <w:t>un programme de formation aux droits de l</w:t>
      </w:r>
      <w:r w:rsidR="0035332C">
        <w:rPr>
          <w:lang w:val="fr-FR"/>
        </w:rPr>
        <w:t>’</w:t>
      </w:r>
      <w:r w:rsidRPr="00310D49">
        <w:rPr>
          <w:lang w:val="fr-FR"/>
        </w:rPr>
        <w:t>homme sur le thème «</w:t>
      </w:r>
      <w:r w:rsidR="00E34368">
        <w:rPr>
          <w:lang w:val="fr-FR"/>
        </w:rPr>
        <w:t> </w:t>
      </w:r>
      <w:r w:rsidRPr="00310D49">
        <w:rPr>
          <w:lang w:val="fr-FR"/>
        </w:rPr>
        <w:t>Guide des droits de l</w:t>
      </w:r>
      <w:r w:rsidR="0035332C">
        <w:rPr>
          <w:lang w:val="fr-FR"/>
        </w:rPr>
        <w:t>’</w:t>
      </w:r>
      <w:r w:rsidRPr="00310D49">
        <w:rPr>
          <w:lang w:val="fr-FR"/>
        </w:rPr>
        <w:t>homme et de la démocratie à l</w:t>
      </w:r>
      <w:r w:rsidR="0035332C">
        <w:rPr>
          <w:lang w:val="fr-FR"/>
        </w:rPr>
        <w:t>’</w:t>
      </w:r>
      <w:r w:rsidRPr="00310D49">
        <w:rPr>
          <w:lang w:val="fr-FR"/>
        </w:rPr>
        <w:t>intention des forces de sécurité et des institutions de l</w:t>
      </w:r>
      <w:r w:rsidR="0035332C">
        <w:rPr>
          <w:lang w:val="fr-FR"/>
        </w:rPr>
        <w:t>’</w:t>
      </w:r>
      <w:r w:rsidRPr="00310D49">
        <w:rPr>
          <w:lang w:val="fr-FR"/>
        </w:rPr>
        <w:t>État</w:t>
      </w:r>
      <w:r w:rsidR="00E34368">
        <w:rPr>
          <w:lang w:val="fr-FR"/>
        </w:rPr>
        <w:t> </w:t>
      </w:r>
      <w:r w:rsidRPr="00310D49">
        <w:rPr>
          <w:lang w:val="fr-FR"/>
        </w:rPr>
        <w:t>», visant à dispenser à des cadres du Ministère de l</w:t>
      </w:r>
      <w:r w:rsidR="0035332C">
        <w:rPr>
          <w:lang w:val="fr-FR"/>
        </w:rPr>
        <w:t>’</w:t>
      </w:r>
      <w:r w:rsidRPr="00310D49">
        <w:rPr>
          <w:lang w:val="fr-FR"/>
        </w:rPr>
        <w:t>intérieur et des forces de sécurité une formation aux méthodes d</w:t>
      </w:r>
      <w:r w:rsidR="0035332C">
        <w:rPr>
          <w:lang w:val="fr-FR"/>
        </w:rPr>
        <w:t>’</w:t>
      </w:r>
      <w:r w:rsidRPr="00310D49">
        <w:rPr>
          <w:lang w:val="fr-FR"/>
        </w:rPr>
        <w:t>élaboration de manuels dans ce domaine.</w:t>
      </w:r>
    </w:p>
    <w:p w14:paraId="31290C6C" w14:textId="103803E6" w:rsidR="00D005FA" w:rsidRPr="00310D49" w:rsidRDefault="00D005FA" w:rsidP="00DE14DA">
      <w:pPr>
        <w:pStyle w:val="H23G"/>
        <w:rPr>
          <w:lang w:val="fr-FR"/>
        </w:rPr>
      </w:pPr>
      <w:r w:rsidRPr="00310D49">
        <w:rPr>
          <w:lang w:val="fr-FR"/>
        </w:rPr>
        <w:tab/>
      </w:r>
      <w:r w:rsidRPr="00310D49">
        <w:rPr>
          <w:lang w:val="fr-FR"/>
        </w:rPr>
        <w:tab/>
        <w:t xml:space="preserve">Interdiction </w:t>
      </w:r>
      <w:r w:rsidRPr="00AE168A">
        <w:rPr>
          <w:lang w:val="fr-FR"/>
        </w:rPr>
        <w:t>d</w:t>
      </w:r>
      <w:r w:rsidR="0035332C">
        <w:rPr>
          <w:lang w:val="fr-FR"/>
        </w:rPr>
        <w:t>’</w:t>
      </w:r>
      <w:r w:rsidRPr="00AE168A">
        <w:rPr>
          <w:lang w:val="fr-FR"/>
        </w:rPr>
        <w:t>expulser, de renvoyer (refouler)</w:t>
      </w:r>
      <w:r w:rsidRPr="00310D49">
        <w:rPr>
          <w:lang w:val="fr-FR"/>
        </w:rPr>
        <w:t xml:space="preserve"> ou d</w:t>
      </w:r>
      <w:r w:rsidR="0035332C">
        <w:rPr>
          <w:lang w:val="fr-FR"/>
        </w:rPr>
        <w:t>’</w:t>
      </w:r>
      <w:r w:rsidRPr="00310D49">
        <w:rPr>
          <w:lang w:val="fr-FR"/>
        </w:rPr>
        <w:t>extrader toute personne</w:t>
      </w:r>
    </w:p>
    <w:p w14:paraId="0ECE605B" w14:textId="03F2ED7F" w:rsidR="00D005FA" w:rsidRPr="00310D49" w:rsidRDefault="00D005FA" w:rsidP="00DE14DA">
      <w:pPr>
        <w:pStyle w:val="SingleTxtG"/>
        <w:spacing w:before="120"/>
        <w:rPr>
          <w:lang w:val="fr-FR"/>
        </w:rPr>
      </w:pPr>
      <w:r w:rsidRPr="00310D49">
        <w:rPr>
          <w:lang w:val="fr-FR"/>
        </w:rPr>
        <w:t>168.</w:t>
      </w:r>
      <w:r w:rsidRPr="00310D49">
        <w:rPr>
          <w:lang w:val="fr-FR"/>
        </w:rPr>
        <w:tab/>
        <w:t>En ce qui concerne les dispositions de la législation applicable régissant l</w:t>
      </w:r>
      <w:r w:rsidR="0035332C">
        <w:rPr>
          <w:lang w:val="fr-FR"/>
        </w:rPr>
        <w:t>’</w:t>
      </w:r>
      <w:r w:rsidRPr="00310D49">
        <w:rPr>
          <w:lang w:val="fr-FR"/>
        </w:rPr>
        <w:t>interdiction de l</w:t>
      </w:r>
      <w:r w:rsidR="0035332C">
        <w:rPr>
          <w:lang w:val="fr-FR"/>
        </w:rPr>
        <w:t>’</w:t>
      </w:r>
      <w:r w:rsidRPr="00310D49">
        <w:rPr>
          <w:lang w:val="fr-FR"/>
        </w:rPr>
        <w:t>extradition, l</w:t>
      </w:r>
      <w:r w:rsidR="0035332C">
        <w:rPr>
          <w:lang w:val="fr-FR"/>
        </w:rPr>
        <w:t>’</w:t>
      </w:r>
      <w:r w:rsidRPr="00310D49">
        <w:rPr>
          <w:lang w:val="fr-FR"/>
        </w:rPr>
        <w:t>article 7 de la loi sur l</w:t>
      </w:r>
      <w:r w:rsidR="0035332C">
        <w:rPr>
          <w:lang w:val="fr-FR"/>
        </w:rPr>
        <w:t>’</w:t>
      </w:r>
      <w:r w:rsidRPr="00310D49">
        <w:rPr>
          <w:lang w:val="fr-FR"/>
        </w:rPr>
        <w:t>extradition de 1927, en vigueur en Cisjordanie, et l</w:t>
      </w:r>
      <w:r w:rsidR="0035332C">
        <w:rPr>
          <w:lang w:val="fr-FR"/>
        </w:rPr>
        <w:t>’</w:t>
      </w:r>
      <w:r w:rsidRPr="00310D49">
        <w:rPr>
          <w:lang w:val="fr-FR"/>
        </w:rPr>
        <w:t>article 6 de la loi de 1926 sur l</w:t>
      </w:r>
      <w:r w:rsidR="0035332C">
        <w:rPr>
          <w:lang w:val="fr-FR"/>
        </w:rPr>
        <w:t>’</w:t>
      </w:r>
      <w:r w:rsidRPr="00310D49">
        <w:rPr>
          <w:lang w:val="fr-FR"/>
        </w:rPr>
        <w:t>extradition, en vigueur dans la bande de Gaza, disposent que les auteurs d</w:t>
      </w:r>
      <w:r w:rsidR="0035332C">
        <w:rPr>
          <w:lang w:val="fr-FR"/>
        </w:rPr>
        <w:t>’</w:t>
      </w:r>
      <w:r w:rsidRPr="00310D49">
        <w:rPr>
          <w:lang w:val="fr-FR"/>
        </w:rPr>
        <w:t>infractions en fuite ne sont pas extradés lorsque cette mesure est demandée pour une infraction de nature politique, bien qu</w:t>
      </w:r>
      <w:r w:rsidR="0035332C">
        <w:rPr>
          <w:lang w:val="fr-FR"/>
        </w:rPr>
        <w:t>’</w:t>
      </w:r>
      <w:r w:rsidRPr="00310D49">
        <w:rPr>
          <w:lang w:val="fr-FR"/>
        </w:rPr>
        <w:t>ils n</w:t>
      </w:r>
      <w:r w:rsidR="0035332C">
        <w:rPr>
          <w:lang w:val="fr-FR"/>
        </w:rPr>
        <w:t>’</w:t>
      </w:r>
      <w:r w:rsidRPr="00310D49">
        <w:rPr>
          <w:lang w:val="fr-FR"/>
        </w:rPr>
        <w:t>interdisent pas l</w:t>
      </w:r>
      <w:r w:rsidR="0035332C">
        <w:rPr>
          <w:lang w:val="fr-FR"/>
        </w:rPr>
        <w:t>’</w:t>
      </w:r>
      <w:r w:rsidRPr="00310D49">
        <w:rPr>
          <w:lang w:val="fr-FR"/>
        </w:rPr>
        <w:t>extradition des délinquants en fuite lorsqu</w:t>
      </w:r>
      <w:r w:rsidR="0035332C">
        <w:rPr>
          <w:lang w:val="fr-FR"/>
        </w:rPr>
        <w:t>’</w:t>
      </w:r>
      <w:r w:rsidRPr="00310D49">
        <w:rPr>
          <w:lang w:val="fr-FR"/>
        </w:rPr>
        <w:t>ils risquent d</w:t>
      </w:r>
      <w:r w:rsidR="0035332C">
        <w:rPr>
          <w:lang w:val="fr-FR"/>
        </w:rPr>
        <w:t>’</w:t>
      </w:r>
      <w:r w:rsidRPr="00310D49">
        <w:rPr>
          <w:lang w:val="fr-FR"/>
        </w:rPr>
        <w:t>être soumis à la torture. La loi de 2005 relative au Service des renseignements généraux énonce que les accords conclus par l</w:t>
      </w:r>
      <w:r w:rsidR="0035332C">
        <w:rPr>
          <w:lang w:val="fr-FR"/>
        </w:rPr>
        <w:t>’</w:t>
      </w:r>
      <w:r w:rsidRPr="00310D49">
        <w:rPr>
          <w:lang w:val="fr-FR"/>
        </w:rPr>
        <w:t>État de Palestine avec d</w:t>
      </w:r>
      <w:r w:rsidR="0035332C">
        <w:rPr>
          <w:lang w:val="fr-FR"/>
        </w:rPr>
        <w:t>’</w:t>
      </w:r>
      <w:r w:rsidRPr="00310D49">
        <w:rPr>
          <w:lang w:val="fr-FR"/>
        </w:rPr>
        <w:t>autres États au sujet de l</w:t>
      </w:r>
      <w:r w:rsidR="0035332C">
        <w:rPr>
          <w:lang w:val="fr-FR"/>
        </w:rPr>
        <w:t>’</w:t>
      </w:r>
      <w:r w:rsidRPr="00310D49">
        <w:rPr>
          <w:lang w:val="fr-FR"/>
        </w:rPr>
        <w:t>extradition des délinquants susceptibles de faire l</w:t>
      </w:r>
      <w:r w:rsidR="0035332C">
        <w:rPr>
          <w:lang w:val="fr-FR"/>
        </w:rPr>
        <w:t>’</w:t>
      </w:r>
      <w:r w:rsidRPr="00310D49">
        <w:rPr>
          <w:lang w:val="fr-FR"/>
        </w:rPr>
        <w:t>objet d</w:t>
      </w:r>
      <w:r w:rsidR="0035332C">
        <w:rPr>
          <w:lang w:val="fr-FR"/>
        </w:rPr>
        <w:t>’</w:t>
      </w:r>
      <w:r w:rsidRPr="00310D49">
        <w:rPr>
          <w:lang w:val="fr-FR"/>
        </w:rPr>
        <w:t>une telle mesure doivent être respectés dans toute la mesure où ils ne contredisent pas les dispositions légales.</w:t>
      </w:r>
    </w:p>
    <w:p w14:paraId="1E5343B9" w14:textId="77777777" w:rsidR="00D005FA" w:rsidRPr="00310D49" w:rsidRDefault="00D005FA" w:rsidP="00DE14DA">
      <w:pPr>
        <w:pStyle w:val="H23G"/>
        <w:rPr>
          <w:lang w:val="fr-FR"/>
        </w:rPr>
      </w:pPr>
      <w:r w:rsidRPr="00310D49">
        <w:rPr>
          <w:lang w:val="fr-FR"/>
        </w:rPr>
        <w:tab/>
      </w:r>
      <w:r w:rsidRPr="00310D49">
        <w:rPr>
          <w:lang w:val="fr-FR"/>
        </w:rPr>
        <w:tab/>
        <w:t>Lutte contre la torture au niveau international</w:t>
      </w:r>
    </w:p>
    <w:p w14:paraId="7B59E0AD" w14:textId="6DF49A55" w:rsidR="00D005FA" w:rsidRPr="00310D49" w:rsidRDefault="00D005FA" w:rsidP="00DE14DA">
      <w:pPr>
        <w:pStyle w:val="SingleTxtG"/>
        <w:spacing w:before="120"/>
        <w:rPr>
          <w:lang w:val="fr-FR"/>
        </w:rPr>
      </w:pPr>
      <w:r w:rsidRPr="00310D49">
        <w:rPr>
          <w:lang w:val="fr-FR"/>
        </w:rPr>
        <w:t>169.</w:t>
      </w:r>
      <w:r w:rsidRPr="00310D49">
        <w:rPr>
          <w:lang w:val="fr-FR"/>
        </w:rPr>
        <w:tab/>
        <w:t>L</w:t>
      </w:r>
      <w:r w:rsidR="0035332C">
        <w:rPr>
          <w:lang w:val="fr-FR"/>
        </w:rPr>
        <w:t>’</w:t>
      </w:r>
      <w:r w:rsidRPr="00310D49">
        <w:rPr>
          <w:lang w:val="fr-FR"/>
        </w:rPr>
        <w:t>État de Palestine a adhéré à la Convention contre la torture sans formuler de réserves, en particulier au sujet de la compétence accordée au Comité contre la torture aux termes de l</w:t>
      </w:r>
      <w:r w:rsidR="0035332C">
        <w:rPr>
          <w:lang w:val="fr-FR"/>
        </w:rPr>
        <w:t>’</w:t>
      </w:r>
      <w:r w:rsidRPr="00310D49">
        <w:rPr>
          <w:lang w:val="fr-FR"/>
        </w:rPr>
        <w:t>article 20 de la Convention, ce qui témoigne de sa volonté politique d</w:t>
      </w:r>
      <w:r w:rsidR="0035332C">
        <w:rPr>
          <w:lang w:val="fr-FR"/>
        </w:rPr>
        <w:t>’</w:t>
      </w:r>
      <w:r w:rsidRPr="00310D49">
        <w:rPr>
          <w:lang w:val="fr-FR"/>
        </w:rPr>
        <w:t>interdire la torture et de s</w:t>
      </w:r>
      <w:r w:rsidR="0035332C">
        <w:rPr>
          <w:lang w:val="fr-FR"/>
        </w:rPr>
        <w:t>’</w:t>
      </w:r>
      <w:r w:rsidRPr="00310D49">
        <w:rPr>
          <w:lang w:val="fr-FR"/>
        </w:rPr>
        <w:t>associer aux efforts déployés en ce sens par la communauté internationale. L</w:t>
      </w:r>
      <w:r w:rsidR="0035332C">
        <w:rPr>
          <w:lang w:val="fr-FR"/>
        </w:rPr>
        <w:t>’</w:t>
      </w:r>
      <w:r w:rsidRPr="00310D49">
        <w:rPr>
          <w:lang w:val="fr-FR"/>
        </w:rPr>
        <w:t>adhésion de l</w:t>
      </w:r>
      <w:r w:rsidR="0035332C">
        <w:rPr>
          <w:lang w:val="fr-FR"/>
        </w:rPr>
        <w:t>’</w:t>
      </w:r>
      <w:r w:rsidRPr="00310D49">
        <w:rPr>
          <w:lang w:val="fr-FR"/>
        </w:rPr>
        <w:t>État de Palestine au Protocole facultatif à la Convention contre la torture en</w:t>
      </w:r>
      <w:r w:rsidR="003D1B0D">
        <w:rPr>
          <w:lang w:val="fr-FR"/>
        </w:rPr>
        <w:t> </w:t>
      </w:r>
      <w:r w:rsidRPr="00310D49">
        <w:rPr>
          <w:lang w:val="fr-FR"/>
        </w:rPr>
        <w:t xml:space="preserve">2017 représente une étape qualitative dans la prévention de la torture et des mauvais </w:t>
      </w:r>
      <w:r w:rsidRPr="00310D49">
        <w:rPr>
          <w:lang w:val="fr-FR"/>
        </w:rPr>
        <w:lastRenderedPageBreak/>
        <w:t>traitements, puisqu</w:t>
      </w:r>
      <w:r w:rsidR="0035332C">
        <w:rPr>
          <w:lang w:val="fr-FR"/>
        </w:rPr>
        <w:t>’</w:t>
      </w:r>
      <w:r w:rsidRPr="00310D49">
        <w:rPr>
          <w:lang w:val="fr-FR"/>
        </w:rPr>
        <w:t>elle a été suivie par la création dans l</w:t>
      </w:r>
      <w:r w:rsidR="0035332C">
        <w:rPr>
          <w:lang w:val="fr-FR"/>
        </w:rPr>
        <w:t>’</w:t>
      </w:r>
      <w:r w:rsidRPr="00310D49">
        <w:rPr>
          <w:lang w:val="fr-FR"/>
        </w:rPr>
        <w:t>État de Palestine du Mécanisme national de prévention de la torture en tant qu</w:t>
      </w:r>
      <w:r w:rsidR="0035332C">
        <w:rPr>
          <w:lang w:val="fr-FR"/>
        </w:rPr>
        <w:t>’</w:t>
      </w:r>
      <w:r w:rsidRPr="00310D49">
        <w:rPr>
          <w:lang w:val="fr-FR"/>
        </w:rPr>
        <w:t>institution indépendante, conformément à la décision du Conseil des ministres du 19 août 2019.</w:t>
      </w:r>
    </w:p>
    <w:p w14:paraId="420D5032" w14:textId="0CC2AF69" w:rsidR="00D005FA" w:rsidRPr="00310D49" w:rsidRDefault="00D005FA" w:rsidP="00DE14DA">
      <w:pPr>
        <w:pStyle w:val="SingleTxtG"/>
        <w:spacing w:before="120"/>
        <w:rPr>
          <w:lang w:val="fr-FR"/>
        </w:rPr>
      </w:pPr>
      <w:r w:rsidRPr="00310D49">
        <w:rPr>
          <w:lang w:val="fr-FR"/>
        </w:rPr>
        <w:t>170.</w:t>
      </w:r>
      <w:r w:rsidRPr="00310D49">
        <w:rPr>
          <w:lang w:val="fr-FR"/>
        </w:rPr>
        <w:tab/>
        <w:t>En janvier 2015, l</w:t>
      </w:r>
      <w:r w:rsidR="0035332C">
        <w:rPr>
          <w:lang w:val="fr-FR"/>
        </w:rPr>
        <w:t>’</w:t>
      </w:r>
      <w:r w:rsidRPr="00310D49">
        <w:rPr>
          <w:lang w:val="fr-FR"/>
        </w:rPr>
        <w:t>État de Palestine a déposé une Déclaration au titre du paragraphe</w:t>
      </w:r>
      <w:r w:rsidR="00E34368">
        <w:rPr>
          <w:lang w:val="fr-FR"/>
        </w:rPr>
        <w:t> </w:t>
      </w:r>
      <w:r w:rsidRPr="00310D49">
        <w:rPr>
          <w:lang w:val="fr-FR"/>
        </w:rPr>
        <w:t>3 de l</w:t>
      </w:r>
      <w:r w:rsidR="0035332C">
        <w:rPr>
          <w:lang w:val="fr-FR"/>
        </w:rPr>
        <w:t>’</w:t>
      </w:r>
      <w:r w:rsidRPr="00310D49">
        <w:rPr>
          <w:lang w:val="fr-FR"/>
        </w:rPr>
        <w:t>article</w:t>
      </w:r>
      <w:r w:rsidR="00E34368">
        <w:rPr>
          <w:lang w:val="fr-FR"/>
        </w:rPr>
        <w:t> </w:t>
      </w:r>
      <w:r w:rsidRPr="00310D49">
        <w:rPr>
          <w:lang w:val="fr-FR"/>
        </w:rPr>
        <w:t>12 du Statut de Rome créant la Cour pénale internationale, en vertu de laquelle la Cour s</w:t>
      </w:r>
      <w:r w:rsidR="0035332C">
        <w:rPr>
          <w:lang w:val="fr-FR"/>
        </w:rPr>
        <w:t>’</w:t>
      </w:r>
      <w:r w:rsidRPr="00310D49">
        <w:rPr>
          <w:lang w:val="fr-FR"/>
        </w:rPr>
        <w:t>est déclarée compétente pour examiner de manière rétroactive les crimes commis depuis le 13 juin 2014. L</w:t>
      </w:r>
      <w:r w:rsidR="0035332C">
        <w:rPr>
          <w:lang w:val="fr-FR"/>
        </w:rPr>
        <w:t>’</w:t>
      </w:r>
      <w:r w:rsidRPr="00310D49">
        <w:rPr>
          <w:lang w:val="fr-FR"/>
        </w:rPr>
        <w:t>État de Palestine a ensuite déposé son instrument d</w:t>
      </w:r>
      <w:r w:rsidR="0035332C">
        <w:rPr>
          <w:lang w:val="fr-FR"/>
        </w:rPr>
        <w:t>’</w:t>
      </w:r>
      <w:r w:rsidRPr="00310D49">
        <w:rPr>
          <w:lang w:val="fr-FR"/>
        </w:rPr>
        <w:t>adhésion au Statut de Rome de la Cour pénale internationale, lequel est entré en vigueur.</w:t>
      </w:r>
    </w:p>
    <w:p w14:paraId="13CA780A" w14:textId="220F7434" w:rsidR="00D005FA" w:rsidRPr="00310D49" w:rsidRDefault="00D005FA" w:rsidP="00DE14DA">
      <w:pPr>
        <w:pStyle w:val="SingleTxtG"/>
        <w:spacing w:before="120"/>
        <w:rPr>
          <w:lang w:val="fr-FR"/>
        </w:rPr>
      </w:pPr>
      <w:r w:rsidRPr="00310D49">
        <w:rPr>
          <w:lang w:val="fr-FR"/>
        </w:rPr>
        <w:t>171.</w:t>
      </w:r>
      <w:r w:rsidRPr="00310D49">
        <w:rPr>
          <w:lang w:val="fr-FR"/>
        </w:rPr>
        <w:tab/>
        <w:t>L</w:t>
      </w:r>
      <w:r w:rsidR="0035332C">
        <w:rPr>
          <w:lang w:val="fr-FR"/>
        </w:rPr>
        <w:t>’</w:t>
      </w:r>
      <w:r w:rsidRPr="00310D49">
        <w:rPr>
          <w:lang w:val="fr-FR"/>
        </w:rPr>
        <w:t>État de Palestine a également adhéré à l</w:t>
      </w:r>
      <w:r w:rsidR="0035332C">
        <w:rPr>
          <w:lang w:val="fr-FR"/>
        </w:rPr>
        <w:t>’</w:t>
      </w:r>
      <w:r w:rsidRPr="00310D49">
        <w:rPr>
          <w:lang w:val="fr-FR"/>
        </w:rPr>
        <w:t>Organisation internationale de police criminelle «</w:t>
      </w:r>
      <w:r w:rsidR="00A90509">
        <w:rPr>
          <w:lang w:val="fr-FR"/>
        </w:rPr>
        <w:t> </w:t>
      </w:r>
      <w:r w:rsidRPr="00310D49">
        <w:rPr>
          <w:lang w:val="fr-FR"/>
        </w:rPr>
        <w:t>Interpol</w:t>
      </w:r>
      <w:r w:rsidR="00A90509">
        <w:rPr>
          <w:lang w:val="fr-FR"/>
        </w:rPr>
        <w:t> </w:t>
      </w:r>
      <w:r w:rsidRPr="00310D49">
        <w:rPr>
          <w:lang w:val="fr-FR"/>
        </w:rPr>
        <w:t>» en 2017. Faisant suite à cet accord, l</w:t>
      </w:r>
      <w:r w:rsidR="0035332C">
        <w:rPr>
          <w:lang w:val="fr-FR"/>
        </w:rPr>
        <w:t>’</w:t>
      </w:r>
      <w:r w:rsidRPr="00310D49">
        <w:rPr>
          <w:lang w:val="fr-FR"/>
        </w:rPr>
        <w:t>Office national de police criminelle a été créé et doté des équipements nécessaires à l</w:t>
      </w:r>
      <w:r w:rsidR="0035332C">
        <w:rPr>
          <w:lang w:val="fr-FR"/>
        </w:rPr>
        <w:t>’</w:t>
      </w:r>
      <w:r w:rsidRPr="00310D49">
        <w:rPr>
          <w:lang w:val="fr-FR"/>
        </w:rPr>
        <w:t>accomplissement de ses missions.</w:t>
      </w:r>
    </w:p>
    <w:p w14:paraId="596BE45C" w14:textId="77777777" w:rsidR="00D005FA" w:rsidRPr="00310D49" w:rsidRDefault="00D005FA" w:rsidP="00A90509">
      <w:pPr>
        <w:pStyle w:val="H23G"/>
        <w:rPr>
          <w:lang w:val="fr-FR"/>
        </w:rPr>
      </w:pPr>
      <w:r w:rsidRPr="00310D49">
        <w:rPr>
          <w:lang w:val="fr-FR"/>
        </w:rPr>
        <w:tab/>
      </w:r>
      <w:r w:rsidRPr="00310D49">
        <w:rPr>
          <w:lang w:val="fr-FR"/>
        </w:rPr>
        <w:tab/>
        <w:t>Méthodes de réformes dans les établissements scolaires</w:t>
      </w:r>
    </w:p>
    <w:p w14:paraId="1B247743" w14:textId="5A888C5E" w:rsidR="00D005FA" w:rsidRPr="00310D49" w:rsidRDefault="00D005FA" w:rsidP="00DE14DA">
      <w:pPr>
        <w:pStyle w:val="SingleTxtG"/>
        <w:spacing w:before="120"/>
        <w:rPr>
          <w:spacing w:val="-4"/>
          <w:lang w:val="fr-FR"/>
        </w:rPr>
      </w:pPr>
      <w:r w:rsidRPr="00310D49">
        <w:rPr>
          <w:lang w:val="fr-FR"/>
        </w:rPr>
        <w:t>172.</w:t>
      </w:r>
      <w:r w:rsidRPr="00310D49">
        <w:rPr>
          <w:lang w:val="fr-FR"/>
        </w:rPr>
        <w:tab/>
        <w:t>L</w:t>
      </w:r>
      <w:r w:rsidR="0035332C">
        <w:rPr>
          <w:lang w:val="fr-FR"/>
        </w:rPr>
        <w:t>’</w:t>
      </w:r>
      <w:r w:rsidRPr="00310D49">
        <w:rPr>
          <w:lang w:val="fr-FR"/>
        </w:rPr>
        <w:t>article 4 (al</w:t>
      </w:r>
      <w:r w:rsidR="00E34368">
        <w:rPr>
          <w:lang w:val="fr-FR"/>
        </w:rPr>
        <w:t>. </w:t>
      </w:r>
      <w:r w:rsidRPr="00310D49">
        <w:rPr>
          <w:lang w:val="fr-FR"/>
        </w:rPr>
        <w:t>15) du décret-loi relatif à l</w:t>
      </w:r>
      <w:r w:rsidR="0035332C">
        <w:rPr>
          <w:lang w:val="fr-FR"/>
        </w:rPr>
        <w:t>’</w:t>
      </w:r>
      <w:r w:rsidRPr="00310D49">
        <w:rPr>
          <w:lang w:val="fr-FR"/>
        </w:rPr>
        <w:t>instruction publique de 2017 prévoit «</w:t>
      </w:r>
      <w:r w:rsidR="00E34368">
        <w:rPr>
          <w:lang w:val="fr-FR"/>
        </w:rPr>
        <w:t> </w:t>
      </w:r>
      <w:r w:rsidRPr="00310D49">
        <w:rPr>
          <w:lang w:val="fr-FR"/>
        </w:rPr>
        <w:t>l</w:t>
      </w:r>
      <w:r w:rsidR="0035332C">
        <w:rPr>
          <w:lang w:val="fr-FR"/>
        </w:rPr>
        <w:t>’</w:t>
      </w:r>
      <w:r w:rsidRPr="00310D49">
        <w:rPr>
          <w:lang w:val="fr-FR"/>
        </w:rPr>
        <w:t>interdiction du recours à la violence comme mesure disciplinaire et la protection de tous les élèves</w:t>
      </w:r>
      <w:r w:rsidR="00BC3E67">
        <w:rPr>
          <w:lang w:val="fr-FR"/>
        </w:rPr>
        <w:t> </w:t>
      </w:r>
      <w:r w:rsidRPr="00310D49">
        <w:rPr>
          <w:lang w:val="fr-FR"/>
        </w:rPr>
        <w:t>». Le Ministère de l</w:t>
      </w:r>
      <w:r w:rsidR="0035332C">
        <w:rPr>
          <w:lang w:val="fr-FR"/>
        </w:rPr>
        <w:t>’</w:t>
      </w:r>
      <w:r w:rsidRPr="00310D49">
        <w:rPr>
          <w:lang w:val="fr-FR"/>
        </w:rPr>
        <w:t>éducation et de l</w:t>
      </w:r>
      <w:r w:rsidR="0035332C">
        <w:rPr>
          <w:lang w:val="fr-FR"/>
        </w:rPr>
        <w:t>’</w:t>
      </w:r>
      <w:r w:rsidRPr="00310D49">
        <w:rPr>
          <w:lang w:val="fr-FR"/>
        </w:rPr>
        <w:t>enseignement supérieur a également adopté, depuis 2013, la «</w:t>
      </w:r>
      <w:r w:rsidR="00BC3E67">
        <w:rPr>
          <w:lang w:val="fr-FR"/>
        </w:rPr>
        <w:t> </w:t>
      </w:r>
      <w:r w:rsidRPr="00310D49">
        <w:rPr>
          <w:lang w:val="fr-FR"/>
        </w:rPr>
        <w:t>politique de réduction de la violence et de promotion de la discipline scolaire dans les écoles publiques et privées</w:t>
      </w:r>
      <w:r w:rsidR="00BC3E67">
        <w:rPr>
          <w:lang w:val="fr-FR"/>
        </w:rPr>
        <w:t> </w:t>
      </w:r>
      <w:r w:rsidRPr="00310D49">
        <w:rPr>
          <w:lang w:val="fr-FR"/>
        </w:rPr>
        <w:t>» dans tous les gouvernorats dans le cadre de sa stratégie visant à améliorer la qualité de l</w:t>
      </w:r>
      <w:r w:rsidR="0035332C">
        <w:rPr>
          <w:lang w:val="fr-FR"/>
        </w:rPr>
        <w:t>’</w:t>
      </w:r>
      <w:r w:rsidRPr="00310D49">
        <w:rPr>
          <w:lang w:val="fr-FR"/>
        </w:rPr>
        <w:t>éducation et à créer un environnement éducatif sûr sans violence. Dans ce contexte, de nombreuses activités et manifestations ont été organisées afin de promouvoir cette politique parmi les professionnels de l</w:t>
      </w:r>
      <w:r w:rsidR="0035332C">
        <w:rPr>
          <w:lang w:val="fr-FR"/>
        </w:rPr>
        <w:t>’</w:t>
      </w:r>
      <w:r w:rsidRPr="00310D49">
        <w:rPr>
          <w:lang w:val="fr-FR"/>
        </w:rPr>
        <w:t>enseignement étant donné qu</w:t>
      </w:r>
      <w:r w:rsidR="0035332C">
        <w:rPr>
          <w:lang w:val="fr-FR"/>
        </w:rPr>
        <w:t>’</w:t>
      </w:r>
      <w:r w:rsidRPr="00310D49">
        <w:rPr>
          <w:lang w:val="fr-FR"/>
        </w:rPr>
        <w:t>elle est la principale référence en matière de traitement des questions de violence à l</w:t>
      </w:r>
      <w:r w:rsidR="0035332C">
        <w:rPr>
          <w:lang w:val="fr-FR"/>
        </w:rPr>
        <w:t>’</w:t>
      </w:r>
      <w:r w:rsidRPr="00310D49">
        <w:rPr>
          <w:lang w:val="fr-FR"/>
        </w:rPr>
        <w:t>école. Ces activités ont porté sur le renforcement des capacités, la consolidation du dispositif d</w:t>
      </w:r>
      <w:r w:rsidR="0035332C">
        <w:rPr>
          <w:lang w:val="fr-FR"/>
        </w:rPr>
        <w:t>’</w:t>
      </w:r>
      <w:r w:rsidRPr="00310D49">
        <w:rPr>
          <w:lang w:val="fr-FR"/>
        </w:rPr>
        <w:t>orientation des victimes de violence depuis les écoles vers les institutions compétentes, l</w:t>
      </w:r>
      <w:r w:rsidR="0035332C">
        <w:rPr>
          <w:lang w:val="fr-FR"/>
        </w:rPr>
        <w:t>’</w:t>
      </w:r>
      <w:r w:rsidRPr="00310D49">
        <w:rPr>
          <w:lang w:val="fr-FR"/>
        </w:rPr>
        <w:t>amélioration de l</w:t>
      </w:r>
      <w:r w:rsidR="0035332C">
        <w:rPr>
          <w:lang w:val="fr-FR"/>
        </w:rPr>
        <w:t>’</w:t>
      </w:r>
      <w:r w:rsidRPr="00310D49">
        <w:rPr>
          <w:lang w:val="fr-FR"/>
        </w:rPr>
        <w:t>environnement scolaire et la mise en place de services de conseils en éducation dans les écoles exposées aux violences et aux violations commises par l</w:t>
      </w:r>
      <w:r w:rsidR="0035332C">
        <w:rPr>
          <w:lang w:val="fr-FR"/>
        </w:rPr>
        <w:t>’</w:t>
      </w:r>
      <w:r w:rsidRPr="00310D49">
        <w:rPr>
          <w:lang w:val="fr-FR"/>
        </w:rPr>
        <w:t>occupant israélien. En outre, un concours d</w:t>
      </w:r>
      <w:r w:rsidR="0035332C">
        <w:rPr>
          <w:lang w:val="fr-FR"/>
        </w:rPr>
        <w:t>’</w:t>
      </w:r>
      <w:r w:rsidRPr="00310D49">
        <w:rPr>
          <w:lang w:val="fr-FR"/>
        </w:rPr>
        <w:t>initiatives innovantes portant sur la création d</w:t>
      </w:r>
      <w:r w:rsidR="0035332C">
        <w:rPr>
          <w:lang w:val="fr-FR"/>
        </w:rPr>
        <w:t>’</w:t>
      </w:r>
      <w:r w:rsidRPr="00310D49">
        <w:rPr>
          <w:lang w:val="fr-FR"/>
        </w:rPr>
        <w:t>un environnement scolaire sûr afin de mettre fin à la violence dans certaines écoles a été lancé, et un manuel de formation sur la manière de traiter les cas de violence fondée sur le genre en milieu scolaire a été publié.</w:t>
      </w:r>
    </w:p>
    <w:p w14:paraId="61001703" w14:textId="77777777" w:rsidR="00D005FA" w:rsidRPr="00310D49" w:rsidRDefault="00D005FA" w:rsidP="00A90509">
      <w:pPr>
        <w:pStyle w:val="SingleTxtG"/>
        <w:spacing w:before="120"/>
        <w:rPr>
          <w:lang w:val="fr-FR"/>
        </w:rPr>
      </w:pPr>
      <w:r w:rsidRPr="00310D49">
        <w:rPr>
          <w:lang w:val="fr-FR"/>
        </w:rPr>
        <w:t>173.</w:t>
      </w:r>
      <w:r w:rsidRPr="00310D49">
        <w:rPr>
          <w:lang w:val="fr-FR"/>
        </w:rPr>
        <w:tab/>
        <w:t>Le phénomène des mutilations génitales est peu répandu en Palestine.</w:t>
      </w:r>
    </w:p>
    <w:p w14:paraId="5B7FA77A" w14:textId="4C5DB6B4" w:rsidR="00D005FA" w:rsidRPr="00310D49" w:rsidRDefault="00D005FA" w:rsidP="00A90509">
      <w:pPr>
        <w:pStyle w:val="H23G"/>
        <w:rPr>
          <w:rFonts w:eastAsia="Times New Roman"/>
          <w:lang w:val="fr-FR"/>
        </w:rPr>
      </w:pPr>
      <w:r w:rsidRPr="00310D49">
        <w:rPr>
          <w:lang w:val="fr-FR"/>
        </w:rPr>
        <w:tab/>
      </w:r>
      <w:r w:rsidRPr="00310D49">
        <w:rPr>
          <w:lang w:val="fr-FR"/>
        </w:rPr>
        <w:tab/>
        <w:t>Expérimentations sur l</w:t>
      </w:r>
      <w:r w:rsidR="0035332C">
        <w:rPr>
          <w:lang w:val="fr-FR"/>
        </w:rPr>
        <w:t>’</w:t>
      </w:r>
      <w:r w:rsidRPr="00310D49">
        <w:rPr>
          <w:lang w:val="fr-FR"/>
        </w:rPr>
        <w:t>être humain</w:t>
      </w:r>
    </w:p>
    <w:p w14:paraId="4B48E7E9" w14:textId="0D327B16" w:rsidR="00D005FA" w:rsidRPr="00310D49" w:rsidRDefault="00D005FA" w:rsidP="00A90509">
      <w:pPr>
        <w:pStyle w:val="SingleTxtG"/>
        <w:spacing w:before="120"/>
        <w:rPr>
          <w:lang w:val="fr-FR"/>
        </w:rPr>
      </w:pPr>
      <w:r w:rsidRPr="00310D49">
        <w:rPr>
          <w:lang w:val="fr-FR"/>
        </w:rPr>
        <w:t>174.</w:t>
      </w:r>
      <w:r w:rsidRPr="00310D49">
        <w:rPr>
          <w:lang w:val="fr-FR"/>
        </w:rPr>
        <w:tab/>
        <w:t>La Loi fondamentale, telle que modifiée, interdit les expérimentations sur l</w:t>
      </w:r>
      <w:r w:rsidR="0035332C">
        <w:rPr>
          <w:lang w:val="fr-FR"/>
        </w:rPr>
        <w:t>’</w:t>
      </w:r>
      <w:r w:rsidRPr="00310D49">
        <w:rPr>
          <w:lang w:val="fr-FR"/>
        </w:rPr>
        <w:t xml:space="preserve">être humain sans le consentement de la personne concernée, en disposant </w:t>
      </w:r>
      <w:r w:rsidR="00BC3E67">
        <w:rPr>
          <w:lang w:val="fr-FR"/>
        </w:rPr>
        <w:t xml:space="preserve">dans </w:t>
      </w:r>
      <w:r w:rsidRPr="00310D49">
        <w:rPr>
          <w:lang w:val="fr-FR"/>
        </w:rPr>
        <w:t>son article</w:t>
      </w:r>
      <w:r w:rsidR="00BC3E67">
        <w:rPr>
          <w:lang w:val="fr-FR"/>
        </w:rPr>
        <w:t> </w:t>
      </w:r>
      <w:r w:rsidRPr="00310D49">
        <w:rPr>
          <w:lang w:val="fr-FR"/>
        </w:rPr>
        <w:t>16 qu</w:t>
      </w:r>
      <w:r w:rsidR="0035332C">
        <w:rPr>
          <w:lang w:val="fr-FR"/>
        </w:rPr>
        <w:t>’</w:t>
      </w:r>
      <w:r w:rsidRPr="00310D49">
        <w:rPr>
          <w:lang w:val="fr-FR"/>
        </w:rPr>
        <w:t>«</w:t>
      </w:r>
      <w:r w:rsidR="00BC3E67">
        <w:rPr>
          <w:lang w:val="fr-FR"/>
        </w:rPr>
        <w:t> </w:t>
      </w:r>
      <w:r w:rsidRPr="00310D49">
        <w:rPr>
          <w:lang w:val="fr-FR"/>
        </w:rPr>
        <w:t>[i]l est interdit de soumettre une personne à une expérimentation médicale ou scientifique sans son accord préalable</w:t>
      </w:r>
      <w:r w:rsidR="00BC3E67">
        <w:rPr>
          <w:lang w:val="fr-FR"/>
        </w:rPr>
        <w:t> </w:t>
      </w:r>
      <w:r w:rsidRPr="00310D49">
        <w:rPr>
          <w:lang w:val="fr-FR"/>
        </w:rPr>
        <w:t>». De même, l</w:t>
      </w:r>
      <w:r w:rsidR="0035332C">
        <w:rPr>
          <w:lang w:val="fr-FR"/>
        </w:rPr>
        <w:t>’</w:t>
      </w:r>
      <w:r w:rsidRPr="00310D49">
        <w:rPr>
          <w:lang w:val="fr-FR"/>
        </w:rPr>
        <w:t>article 60 de la loi n</w:t>
      </w:r>
      <w:r w:rsidR="00BC3E67" w:rsidRPr="00BC3E67">
        <w:rPr>
          <w:vertAlign w:val="superscript"/>
          <w:lang w:val="fr-FR"/>
        </w:rPr>
        <w:t>o</w:t>
      </w:r>
      <w:r w:rsidR="00BC3E67">
        <w:rPr>
          <w:lang w:val="fr-FR"/>
        </w:rPr>
        <w:t> </w:t>
      </w:r>
      <w:r w:rsidRPr="00310D49">
        <w:rPr>
          <w:lang w:val="fr-FR"/>
        </w:rPr>
        <w:t>20 de 2004 sur la santé publique reconnaît au patient le droit d</w:t>
      </w:r>
      <w:r w:rsidR="0035332C">
        <w:rPr>
          <w:lang w:val="fr-FR"/>
        </w:rPr>
        <w:t>’</w:t>
      </w:r>
      <w:r w:rsidRPr="00310D49">
        <w:rPr>
          <w:lang w:val="fr-FR"/>
        </w:rPr>
        <w:t>obtenir des explications claires sur le traitement proposé, le droit d</w:t>
      </w:r>
      <w:r w:rsidR="0035332C">
        <w:rPr>
          <w:lang w:val="fr-FR"/>
        </w:rPr>
        <w:t>’</w:t>
      </w:r>
      <w:r w:rsidRPr="00310D49">
        <w:rPr>
          <w:lang w:val="fr-FR"/>
        </w:rPr>
        <w:t>approuver ou de refuser ce traitement et le droit d</w:t>
      </w:r>
      <w:r w:rsidR="0035332C">
        <w:rPr>
          <w:lang w:val="fr-FR"/>
        </w:rPr>
        <w:t>’</w:t>
      </w:r>
      <w:r w:rsidRPr="00310D49">
        <w:rPr>
          <w:lang w:val="fr-FR"/>
        </w:rPr>
        <w:t>accepter ou de refuser d</w:t>
      </w:r>
      <w:r w:rsidR="0035332C">
        <w:rPr>
          <w:lang w:val="fr-FR"/>
        </w:rPr>
        <w:t>’</w:t>
      </w:r>
      <w:r w:rsidRPr="00310D49">
        <w:rPr>
          <w:lang w:val="fr-FR"/>
        </w:rPr>
        <w:t>être soumis à des travaux de recherche ou traité par des soignants en formation dans l</w:t>
      </w:r>
      <w:r w:rsidR="0035332C">
        <w:rPr>
          <w:lang w:val="fr-FR"/>
        </w:rPr>
        <w:t>’</w:t>
      </w:r>
      <w:r w:rsidRPr="00310D49">
        <w:rPr>
          <w:lang w:val="fr-FR"/>
        </w:rPr>
        <w:t>établissement de santé.</w:t>
      </w:r>
    </w:p>
    <w:p w14:paraId="46F5A166" w14:textId="77777777" w:rsidR="00D005FA" w:rsidRPr="00310D49" w:rsidRDefault="00D005FA" w:rsidP="00A90509">
      <w:pPr>
        <w:pStyle w:val="H23G"/>
        <w:rPr>
          <w:lang w:val="fr-FR"/>
        </w:rPr>
      </w:pPr>
      <w:r w:rsidRPr="00310D49">
        <w:rPr>
          <w:lang w:val="fr-FR"/>
        </w:rPr>
        <w:tab/>
      </w:r>
      <w:r w:rsidRPr="00310D49">
        <w:rPr>
          <w:lang w:val="fr-FR"/>
        </w:rPr>
        <w:tab/>
        <w:t>Actes de torture pratiqués par Israël, Puissance occupante, contre les Palestiniens</w:t>
      </w:r>
    </w:p>
    <w:p w14:paraId="583D9208" w14:textId="092DF9F5" w:rsidR="00D005FA" w:rsidRPr="00310D49" w:rsidRDefault="00D005FA" w:rsidP="00A90509">
      <w:pPr>
        <w:pStyle w:val="SingleTxtG"/>
        <w:spacing w:before="120"/>
        <w:rPr>
          <w:lang w:val="fr-FR"/>
        </w:rPr>
      </w:pPr>
      <w:r w:rsidRPr="00310D49">
        <w:rPr>
          <w:lang w:val="fr-FR"/>
        </w:rPr>
        <w:t>175.</w:t>
      </w:r>
      <w:r w:rsidRPr="00310D49">
        <w:rPr>
          <w:lang w:val="fr-FR"/>
        </w:rPr>
        <w:tab/>
        <w:t>Israël, Puissance occupante, se livre à des actes de torture et à des traitements cruels, inhumains, humiliants ou dégradants sur le peuple palestinien, notamment les prisonniers et détenus palestiniens dans les prisons israéliennes, en particulier les enfants, les faisant vivre dans des conditions difficiles et inhumaines. Jusqu</w:t>
      </w:r>
      <w:r w:rsidR="0035332C">
        <w:rPr>
          <w:lang w:val="fr-FR"/>
        </w:rPr>
        <w:t>’</w:t>
      </w:r>
      <w:r w:rsidRPr="00310D49">
        <w:rPr>
          <w:lang w:val="fr-FR"/>
        </w:rPr>
        <w:t>en juillet 2019, 220 prisonniers palestiniens sont décédés en martyrs des suites d</w:t>
      </w:r>
      <w:r w:rsidR="0035332C">
        <w:rPr>
          <w:lang w:val="fr-FR"/>
        </w:rPr>
        <w:t>’</w:t>
      </w:r>
      <w:r w:rsidRPr="00310D49">
        <w:rPr>
          <w:lang w:val="fr-FR"/>
        </w:rPr>
        <w:t>actes de torture ou de négligence médicale ou parce qu</w:t>
      </w:r>
      <w:r w:rsidR="0035332C">
        <w:rPr>
          <w:lang w:val="fr-FR"/>
        </w:rPr>
        <w:t>’</w:t>
      </w:r>
      <w:r w:rsidRPr="00310D49">
        <w:rPr>
          <w:lang w:val="fr-FR"/>
        </w:rPr>
        <w:t>ils étaient directement visés.</w:t>
      </w:r>
    </w:p>
    <w:p w14:paraId="4D181DCA" w14:textId="47ECD633" w:rsidR="00D005FA" w:rsidRPr="00310D49" w:rsidRDefault="00D005FA" w:rsidP="00A90509">
      <w:pPr>
        <w:pStyle w:val="SingleTxtG"/>
        <w:spacing w:before="120"/>
        <w:rPr>
          <w:lang w:val="fr-FR"/>
        </w:rPr>
      </w:pPr>
      <w:r w:rsidRPr="00310D49">
        <w:rPr>
          <w:lang w:val="fr-FR"/>
        </w:rPr>
        <w:t>176.</w:t>
      </w:r>
      <w:r w:rsidRPr="00310D49">
        <w:rPr>
          <w:lang w:val="fr-FR"/>
        </w:rPr>
        <w:tab/>
        <w:t>La décision rendue en 1999 par la Haute Cour de justice israélienne a permis l</w:t>
      </w:r>
      <w:r w:rsidR="0035332C">
        <w:rPr>
          <w:lang w:val="fr-FR"/>
        </w:rPr>
        <w:t>’</w:t>
      </w:r>
      <w:r w:rsidRPr="00310D49">
        <w:rPr>
          <w:lang w:val="fr-FR"/>
        </w:rPr>
        <w:t>extension du recours à la torture et à d</w:t>
      </w:r>
      <w:r w:rsidR="0035332C">
        <w:rPr>
          <w:lang w:val="fr-FR"/>
        </w:rPr>
        <w:t>’</w:t>
      </w:r>
      <w:r w:rsidRPr="00310D49">
        <w:rPr>
          <w:lang w:val="fr-FR"/>
        </w:rPr>
        <w:t>autres peines ou traitements cruels, inhumains ou dégradants contre les prisonniers palestiniens, sous prétexte qu</w:t>
      </w:r>
      <w:r w:rsidR="0035332C">
        <w:rPr>
          <w:lang w:val="fr-FR"/>
        </w:rPr>
        <w:t>’</w:t>
      </w:r>
      <w:r w:rsidRPr="00310D49">
        <w:rPr>
          <w:lang w:val="fr-FR"/>
        </w:rPr>
        <w:t>ils sont «</w:t>
      </w:r>
      <w:r w:rsidR="00BC3E67">
        <w:rPr>
          <w:lang w:val="fr-FR"/>
        </w:rPr>
        <w:t> </w:t>
      </w:r>
      <w:r w:rsidRPr="00310D49">
        <w:rPr>
          <w:lang w:val="fr-FR"/>
        </w:rPr>
        <w:t>nécessaires</w:t>
      </w:r>
      <w:r w:rsidR="00BC3E67">
        <w:rPr>
          <w:lang w:val="fr-FR"/>
        </w:rPr>
        <w:t> </w:t>
      </w:r>
      <w:r w:rsidRPr="00310D49">
        <w:rPr>
          <w:lang w:val="fr-FR"/>
        </w:rPr>
        <w:t>» dans les scénarios dits de la «</w:t>
      </w:r>
      <w:r w:rsidR="00BC3E67">
        <w:rPr>
          <w:lang w:val="fr-FR"/>
        </w:rPr>
        <w:t> </w:t>
      </w:r>
      <w:r w:rsidRPr="00310D49">
        <w:rPr>
          <w:lang w:val="fr-FR"/>
        </w:rPr>
        <w:t>bombe à retardement</w:t>
      </w:r>
      <w:r w:rsidR="00BC3E67">
        <w:rPr>
          <w:lang w:val="fr-FR"/>
        </w:rPr>
        <w:t> </w:t>
      </w:r>
      <w:r w:rsidRPr="00310D49">
        <w:rPr>
          <w:lang w:val="fr-FR"/>
        </w:rPr>
        <w:t>». L</w:t>
      </w:r>
      <w:r w:rsidR="0035332C">
        <w:rPr>
          <w:lang w:val="fr-FR"/>
        </w:rPr>
        <w:t>’</w:t>
      </w:r>
      <w:r w:rsidRPr="00310D49">
        <w:rPr>
          <w:lang w:val="fr-FR"/>
        </w:rPr>
        <w:t>administration pénitentiaire israélienne et les enquêteurs, notamment ceux du Shin Bet, invoquent la décision de la Cour pour justifier le recours à des moyens et techniques d</w:t>
      </w:r>
      <w:r w:rsidR="0035332C">
        <w:rPr>
          <w:lang w:val="fr-FR"/>
        </w:rPr>
        <w:t>’</w:t>
      </w:r>
      <w:r w:rsidRPr="00310D49">
        <w:rPr>
          <w:lang w:val="fr-FR"/>
        </w:rPr>
        <w:t xml:space="preserve">interrogatoire physique renforcés contre toute </w:t>
      </w:r>
      <w:r w:rsidRPr="00310D49">
        <w:rPr>
          <w:lang w:val="fr-FR"/>
        </w:rPr>
        <w:lastRenderedPageBreak/>
        <w:t>personne suspecte en matière de sécurité, sous prétexte de la «</w:t>
      </w:r>
      <w:r w:rsidR="00BC3E67">
        <w:rPr>
          <w:lang w:val="fr-FR"/>
        </w:rPr>
        <w:t> </w:t>
      </w:r>
      <w:r w:rsidRPr="00310D49">
        <w:rPr>
          <w:lang w:val="fr-FR"/>
        </w:rPr>
        <w:t>gravité de la situation</w:t>
      </w:r>
      <w:r w:rsidR="00BC3E67">
        <w:rPr>
          <w:lang w:val="fr-FR"/>
        </w:rPr>
        <w:t> </w:t>
      </w:r>
      <w:r w:rsidRPr="00310D49">
        <w:rPr>
          <w:lang w:val="fr-FR"/>
        </w:rPr>
        <w:t>». Le</w:t>
      </w:r>
      <w:r w:rsidR="00BC3E67">
        <w:rPr>
          <w:lang w:val="fr-FR"/>
        </w:rPr>
        <w:t> </w:t>
      </w:r>
      <w:r w:rsidRPr="00310D49">
        <w:rPr>
          <w:lang w:val="fr-FR"/>
        </w:rPr>
        <w:t>déroulement de l</w:t>
      </w:r>
      <w:r w:rsidR="0035332C">
        <w:rPr>
          <w:lang w:val="fr-FR"/>
        </w:rPr>
        <w:t>’</w:t>
      </w:r>
      <w:r w:rsidRPr="00310D49">
        <w:rPr>
          <w:lang w:val="fr-FR"/>
        </w:rPr>
        <w:t xml:space="preserve">enquête est généralement secret et ne peut donner lieu à un examen par un organe externe indépendant. </w:t>
      </w:r>
    </w:p>
    <w:p w14:paraId="313BA2E7" w14:textId="464503D8" w:rsidR="00D005FA" w:rsidRPr="00310D49" w:rsidRDefault="00D005FA" w:rsidP="00A90509">
      <w:pPr>
        <w:pStyle w:val="SingleTxtG"/>
        <w:spacing w:before="120"/>
        <w:rPr>
          <w:lang w:val="fr-FR"/>
        </w:rPr>
      </w:pPr>
      <w:r w:rsidRPr="00310D49">
        <w:rPr>
          <w:lang w:val="fr-FR"/>
        </w:rPr>
        <w:t>177.</w:t>
      </w:r>
      <w:r w:rsidRPr="00310D49">
        <w:rPr>
          <w:lang w:val="fr-FR"/>
        </w:rPr>
        <w:tab/>
        <w:t>En 2015, Israël, Puissance occupante, a adopté la loi sur «</w:t>
      </w:r>
      <w:r w:rsidR="00BC3E67">
        <w:rPr>
          <w:lang w:val="fr-FR"/>
        </w:rPr>
        <w:t> </w:t>
      </w:r>
      <w:r w:rsidRPr="00310D49">
        <w:rPr>
          <w:lang w:val="fr-FR"/>
        </w:rPr>
        <w:t>l</w:t>
      </w:r>
      <w:r w:rsidR="0035332C">
        <w:rPr>
          <w:lang w:val="fr-FR"/>
        </w:rPr>
        <w:t>’</w:t>
      </w:r>
      <w:r w:rsidRPr="00310D49">
        <w:rPr>
          <w:lang w:val="fr-FR"/>
        </w:rPr>
        <w:t>alimentation forcée</w:t>
      </w:r>
      <w:r w:rsidR="00BC3E67">
        <w:rPr>
          <w:lang w:val="fr-FR"/>
        </w:rPr>
        <w:t> </w:t>
      </w:r>
      <w:r w:rsidRPr="00310D49">
        <w:rPr>
          <w:lang w:val="fr-FR"/>
        </w:rPr>
        <w:t>», qui autorise à nourrir de force les prisonniers en grève de la faim. Ce texte sert de cadre aux autorités d</w:t>
      </w:r>
      <w:r w:rsidR="0035332C">
        <w:rPr>
          <w:lang w:val="fr-FR"/>
        </w:rPr>
        <w:t>’</w:t>
      </w:r>
      <w:r w:rsidRPr="00310D49">
        <w:rPr>
          <w:lang w:val="fr-FR"/>
        </w:rPr>
        <w:t>occupation pour recourir à la torture contre des prisonniers en grève de la faim, ce qui constitue une forme d</w:t>
      </w:r>
      <w:r w:rsidR="0035332C">
        <w:rPr>
          <w:lang w:val="fr-FR"/>
        </w:rPr>
        <w:t>’</w:t>
      </w:r>
      <w:r w:rsidRPr="00310D49">
        <w:rPr>
          <w:lang w:val="fr-FR"/>
        </w:rPr>
        <w:t xml:space="preserve">expérimentation médicale à laquelle sont soumises des personnes contre leur gré. </w:t>
      </w:r>
    </w:p>
    <w:p w14:paraId="57E54D8F" w14:textId="6A081380" w:rsidR="00D005FA" w:rsidRPr="00310D49" w:rsidRDefault="00D005FA" w:rsidP="00A90509">
      <w:pPr>
        <w:pStyle w:val="SingleTxtG"/>
        <w:spacing w:before="120"/>
        <w:rPr>
          <w:lang w:val="fr-FR"/>
        </w:rPr>
      </w:pPr>
      <w:r w:rsidRPr="00310D49">
        <w:rPr>
          <w:lang w:val="fr-FR"/>
        </w:rPr>
        <w:t>178.</w:t>
      </w:r>
      <w:r w:rsidRPr="00310D49">
        <w:rPr>
          <w:lang w:val="fr-FR"/>
        </w:rPr>
        <w:tab/>
        <w:t>La politique israélienne de rétention systématique des corps des martyrs fait partie de la politique de châtiment collectif pratiquée par les autorités d</w:t>
      </w:r>
      <w:r w:rsidR="0035332C">
        <w:rPr>
          <w:lang w:val="fr-FR"/>
        </w:rPr>
        <w:t>’</w:t>
      </w:r>
      <w:r w:rsidRPr="00310D49">
        <w:rPr>
          <w:lang w:val="fr-FR"/>
        </w:rPr>
        <w:t>occupation contre le peuple palestinien. Les autorités d</w:t>
      </w:r>
      <w:r w:rsidR="0035332C">
        <w:rPr>
          <w:lang w:val="fr-FR"/>
        </w:rPr>
        <w:t>’</w:t>
      </w:r>
      <w:r w:rsidRPr="00310D49">
        <w:rPr>
          <w:lang w:val="fr-FR"/>
        </w:rPr>
        <w:t>occupation israélienne retiennent toujours les corps de plus de 294</w:t>
      </w:r>
      <w:r w:rsidR="00BC3E67">
        <w:rPr>
          <w:lang w:val="fr-FR"/>
        </w:rPr>
        <w:t> </w:t>
      </w:r>
      <w:r w:rsidRPr="00310D49">
        <w:rPr>
          <w:lang w:val="fr-FR"/>
        </w:rPr>
        <w:t>palestiniens tombés en martyrs depuis 1967, refusant de les remettre aux familles pour un enterrement conforme aux préceptes religieux et d</w:t>
      </w:r>
      <w:r w:rsidR="0035332C">
        <w:rPr>
          <w:lang w:val="fr-FR"/>
        </w:rPr>
        <w:t>’</w:t>
      </w:r>
      <w:r w:rsidRPr="00310D49">
        <w:rPr>
          <w:lang w:val="fr-FR"/>
        </w:rPr>
        <w:t xml:space="preserve">une manière décente et humaine. </w:t>
      </w:r>
    </w:p>
    <w:p w14:paraId="12DD5865" w14:textId="528733D2" w:rsidR="00D005FA" w:rsidRPr="00310D49" w:rsidRDefault="00D005FA" w:rsidP="00A90509">
      <w:pPr>
        <w:pStyle w:val="SingleTxtG"/>
        <w:spacing w:before="120"/>
        <w:rPr>
          <w:lang w:val="fr-FR"/>
        </w:rPr>
      </w:pPr>
      <w:r w:rsidRPr="00310D49">
        <w:rPr>
          <w:lang w:val="fr-FR"/>
        </w:rPr>
        <w:t>179.</w:t>
      </w:r>
      <w:r w:rsidRPr="00310D49">
        <w:rPr>
          <w:lang w:val="fr-FR"/>
        </w:rPr>
        <w:tab/>
        <w:t>L</w:t>
      </w:r>
      <w:r w:rsidR="0035332C">
        <w:rPr>
          <w:lang w:val="fr-FR"/>
        </w:rPr>
        <w:t>’</w:t>
      </w:r>
      <w:r w:rsidRPr="00310D49">
        <w:rPr>
          <w:lang w:val="fr-FR"/>
        </w:rPr>
        <w:t>occupation israélienne a imposé depuis 2007 un blocus illégal sévère sur la bande de Gaza, au cours duquel elle a mis en œuvre des mesures contraires au droit international, telles que des attaques répétées et des sanctions collectives qui se poursuivent à ce jour. L</w:t>
      </w:r>
      <w:r w:rsidR="0035332C">
        <w:rPr>
          <w:lang w:val="fr-FR"/>
        </w:rPr>
        <w:t>’</w:t>
      </w:r>
      <w:r w:rsidRPr="00310D49">
        <w:rPr>
          <w:lang w:val="fr-FR"/>
        </w:rPr>
        <w:t>occupation israélienne a fait de la vie dans la bande de Gaza sous ce blocus illégal une forme de torture physique et psychologique.</w:t>
      </w:r>
    </w:p>
    <w:p w14:paraId="5094CE51" w14:textId="7D7F7693" w:rsidR="00D005FA" w:rsidRPr="00310D49" w:rsidRDefault="00D005FA" w:rsidP="00A90509">
      <w:pPr>
        <w:pStyle w:val="SingleTxtG"/>
        <w:spacing w:before="120"/>
        <w:rPr>
          <w:spacing w:val="-2"/>
          <w:lang w:val="fr-FR"/>
        </w:rPr>
      </w:pPr>
      <w:r w:rsidRPr="00310D49">
        <w:rPr>
          <w:lang w:val="fr-FR"/>
        </w:rPr>
        <w:t>180.</w:t>
      </w:r>
      <w:r w:rsidRPr="00310D49">
        <w:rPr>
          <w:lang w:val="fr-FR"/>
        </w:rPr>
        <w:tab/>
        <w:t>Les résultats de l</w:t>
      </w:r>
      <w:r w:rsidR="0035332C">
        <w:rPr>
          <w:lang w:val="fr-FR"/>
        </w:rPr>
        <w:t>’</w:t>
      </w:r>
      <w:r w:rsidRPr="00310D49">
        <w:rPr>
          <w:lang w:val="fr-FR"/>
        </w:rPr>
        <w:t>agression israélienne contre la bande de Gaza, occupée en 2014, ont été dévastateurs à tous les niveaux</w:t>
      </w:r>
      <w:r w:rsidR="00A53B5A">
        <w:rPr>
          <w:lang w:val="fr-FR"/>
        </w:rPr>
        <w:t> </w:t>
      </w:r>
      <w:r w:rsidRPr="00310D49">
        <w:rPr>
          <w:lang w:val="fr-FR"/>
        </w:rPr>
        <w:t>: économique, social, politique, matériel ou humain. Israël, Puissance occupante, a commis des crimes de guerre et des crimes contre l</w:t>
      </w:r>
      <w:r w:rsidR="0035332C">
        <w:rPr>
          <w:lang w:val="fr-FR"/>
        </w:rPr>
        <w:t>’</w:t>
      </w:r>
      <w:r w:rsidRPr="00310D49">
        <w:rPr>
          <w:lang w:val="fr-FR"/>
        </w:rPr>
        <w:t>humanité, notamment le meurtre de civils, la destruction de biens appartenant à des civils et l</w:t>
      </w:r>
      <w:r w:rsidR="0035332C">
        <w:rPr>
          <w:lang w:val="fr-FR"/>
        </w:rPr>
        <w:t>’</w:t>
      </w:r>
      <w:r w:rsidRPr="00310D49">
        <w:rPr>
          <w:lang w:val="fr-FR"/>
        </w:rPr>
        <w:t>utilisation d</w:t>
      </w:r>
      <w:r w:rsidR="0035332C">
        <w:rPr>
          <w:lang w:val="fr-FR"/>
        </w:rPr>
        <w:t>’</w:t>
      </w:r>
      <w:r w:rsidRPr="00310D49">
        <w:rPr>
          <w:lang w:val="fr-FR"/>
        </w:rPr>
        <w:t>armes prohibées, comme celles au phosphore blanc, causant brûlures, amputations et handicaps permanents à des centaines de civils palestiniens dans la bande de Gaza, en</w:t>
      </w:r>
      <w:r w:rsidR="00BC3E67">
        <w:rPr>
          <w:lang w:val="fr-FR"/>
        </w:rPr>
        <w:t> </w:t>
      </w:r>
      <w:r w:rsidRPr="00310D49">
        <w:rPr>
          <w:lang w:val="fr-FR"/>
        </w:rPr>
        <w:t>violation du principe de distinction. Cette agression et les châtiments collectifs ciblant les Palestiniens dans la bande de Gaza ont infligé aux habitants des souffrances et des conditions de vie difficiles et pénibles.</w:t>
      </w:r>
    </w:p>
    <w:p w14:paraId="77BBD908" w14:textId="2F833EF2" w:rsidR="00D005FA" w:rsidRPr="00310D49" w:rsidRDefault="00D005FA" w:rsidP="00A90509">
      <w:pPr>
        <w:pStyle w:val="H1G"/>
        <w:rPr>
          <w:lang w:val="fr-FR"/>
        </w:rPr>
      </w:pPr>
      <w:r w:rsidRPr="00310D49">
        <w:rPr>
          <w:lang w:val="fr-FR"/>
        </w:rPr>
        <w:tab/>
      </w:r>
      <w:r w:rsidRPr="00310D49">
        <w:rPr>
          <w:lang w:val="fr-FR"/>
        </w:rPr>
        <w:tab/>
        <w:t>Article 8</w:t>
      </w:r>
      <w:bookmarkStart w:id="10" w:name="_Toc80715497"/>
      <w:bookmarkEnd w:id="10"/>
    </w:p>
    <w:p w14:paraId="7C81FF6A" w14:textId="4BFAAE36" w:rsidR="00D005FA" w:rsidRPr="00310D49" w:rsidRDefault="00D005FA" w:rsidP="00A90509">
      <w:pPr>
        <w:pStyle w:val="SingleTxtG"/>
        <w:spacing w:before="120"/>
        <w:rPr>
          <w:lang w:val="fr-FR"/>
        </w:rPr>
      </w:pPr>
      <w:r w:rsidRPr="00310D49">
        <w:rPr>
          <w:lang w:val="fr-FR"/>
        </w:rPr>
        <w:t>181.</w:t>
      </w:r>
      <w:r w:rsidRPr="00310D49">
        <w:rPr>
          <w:lang w:val="fr-FR"/>
        </w:rPr>
        <w:tab/>
        <w:t>Conformément au décret-loi de 2015 sur la lutte contre le blanchiment d</w:t>
      </w:r>
      <w:r w:rsidR="0035332C">
        <w:rPr>
          <w:lang w:val="fr-FR"/>
        </w:rPr>
        <w:t>’</w:t>
      </w:r>
      <w:r w:rsidRPr="00310D49">
        <w:rPr>
          <w:lang w:val="fr-FR"/>
        </w:rPr>
        <w:t>argent et le financement du terrorisme, tel que modifié, le produit des infractions de traite des êtres humains et d</w:t>
      </w:r>
      <w:r w:rsidR="0035332C">
        <w:rPr>
          <w:lang w:val="fr-FR"/>
        </w:rPr>
        <w:t>’</w:t>
      </w:r>
      <w:r w:rsidRPr="00310D49">
        <w:rPr>
          <w:lang w:val="fr-FR"/>
        </w:rPr>
        <w:t>exploitation sexuelle de femmes et d</w:t>
      </w:r>
      <w:r w:rsidR="0035332C">
        <w:rPr>
          <w:lang w:val="fr-FR"/>
        </w:rPr>
        <w:t>’</w:t>
      </w:r>
      <w:r w:rsidRPr="00310D49">
        <w:rPr>
          <w:lang w:val="fr-FR"/>
        </w:rPr>
        <w:t>enfants constitue un actif illicite ayant trait à l</w:t>
      </w:r>
      <w:r w:rsidR="0035332C">
        <w:rPr>
          <w:lang w:val="fr-FR"/>
        </w:rPr>
        <w:t>’</w:t>
      </w:r>
      <w:r w:rsidRPr="00310D49">
        <w:rPr>
          <w:lang w:val="fr-FR"/>
        </w:rPr>
        <w:t>infraction de blanchiment d</w:t>
      </w:r>
      <w:r w:rsidR="0035332C">
        <w:rPr>
          <w:lang w:val="fr-FR"/>
        </w:rPr>
        <w:t>’</w:t>
      </w:r>
      <w:r w:rsidRPr="00310D49">
        <w:rPr>
          <w:lang w:val="fr-FR"/>
        </w:rPr>
        <w:t>argent pour laquelle l</w:t>
      </w:r>
      <w:r w:rsidR="0035332C">
        <w:rPr>
          <w:lang w:val="fr-FR"/>
        </w:rPr>
        <w:t>’</w:t>
      </w:r>
      <w:r w:rsidRPr="00310D49">
        <w:rPr>
          <w:lang w:val="fr-FR"/>
        </w:rPr>
        <w:t>auteur encourt une peine d</w:t>
      </w:r>
      <w:r w:rsidR="0035332C">
        <w:rPr>
          <w:lang w:val="fr-FR"/>
        </w:rPr>
        <w:t>’</w:t>
      </w:r>
      <w:r w:rsidRPr="00310D49">
        <w:rPr>
          <w:lang w:val="fr-FR"/>
        </w:rPr>
        <w:t>emprisonnement et une amende.</w:t>
      </w:r>
    </w:p>
    <w:p w14:paraId="22307AEC" w14:textId="49AE2987" w:rsidR="00D005FA" w:rsidRPr="00310D49" w:rsidRDefault="00D005FA" w:rsidP="00A90509">
      <w:pPr>
        <w:pStyle w:val="SingleTxtG"/>
        <w:spacing w:before="120"/>
        <w:rPr>
          <w:lang w:val="fr-FR"/>
        </w:rPr>
      </w:pPr>
      <w:r w:rsidRPr="00310D49">
        <w:rPr>
          <w:lang w:val="fr-FR"/>
        </w:rPr>
        <w:t>182.</w:t>
      </w:r>
      <w:r w:rsidRPr="00310D49">
        <w:rPr>
          <w:lang w:val="fr-FR"/>
        </w:rPr>
        <w:tab/>
        <w:t>Selon les articles 310 à 312 du chapitre intitulé «</w:t>
      </w:r>
      <w:r w:rsidR="00BC3E67">
        <w:rPr>
          <w:lang w:val="fr-FR"/>
        </w:rPr>
        <w:t> </w:t>
      </w:r>
      <w:r w:rsidRPr="00310D49">
        <w:rPr>
          <w:lang w:val="fr-FR"/>
        </w:rPr>
        <w:t>De l</w:t>
      </w:r>
      <w:r w:rsidR="0035332C">
        <w:rPr>
          <w:lang w:val="fr-FR"/>
        </w:rPr>
        <w:t>’</w:t>
      </w:r>
      <w:r w:rsidRPr="00310D49">
        <w:rPr>
          <w:lang w:val="fr-FR"/>
        </w:rPr>
        <w:t>incitation à la débauche et de l</w:t>
      </w:r>
      <w:r w:rsidR="0035332C">
        <w:rPr>
          <w:lang w:val="fr-FR"/>
        </w:rPr>
        <w:t>’</w:t>
      </w:r>
      <w:r w:rsidRPr="00310D49">
        <w:rPr>
          <w:lang w:val="fr-FR"/>
        </w:rPr>
        <w:t>atteinte à la pudeur et à la morale publique</w:t>
      </w:r>
      <w:r w:rsidR="00BC3E67">
        <w:rPr>
          <w:lang w:val="fr-FR"/>
        </w:rPr>
        <w:t> </w:t>
      </w:r>
      <w:r w:rsidRPr="00310D49">
        <w:rPr>
          <w:lang w:val="fr-FR"/>
        </w:rPr>
        <w:t>» du Code pénal de 1960, quiconque incite ou tente d</w:t>
      </w:r>
      <w:r w:rsidR="0035332C">
        <w:rPr>
          <w:lang w:val="fr-FR"/>
        </w:rPr>
        <w:t>’</w:t>
      </w:r>
      <w:r w:rsidRPr="00310D49">
        <w:rPr>
          <w:lang w:val="fr-FR"/>
        </w:rPr>
        <w:t>inciter une femme âgée de moins de 20</w:t>
      </w:r>
      <w:r w:rsidR="00BC3E67">
        <w:rPr>
          <w:lang w:val="fr-FR"/>
        </w:rPr>
        <w:t> </w:t>
      </w:r>
      <w:r w:rsidRPr="00310D49">
        <w:rPr>
          <w:lang w:val="fr-FR"/>
        </w:rPr>
        <w:t>ans à se livrer à la prostitution, quiconque incite ou tente d</w:t>
      </w:r>
      <w:r w:rsidR="0035332C">
        <w:rPr>
          <w:lang w:val="fr-FR"/>
        </w:rPr>
        <w:t>’</w:t>
      </w:r>
      <w:r w:rsidRPr="00310D49">
        <w:rPr>
          <w:lang w:val="fr-FR"/>
        </w:rPr>
        <w:t>inciter une personne âgée de moins de 15</w:t>
      </w:r>
      <w:r w:rsidR="00BC3E67">
        <w:rPr>
          <w:lang w:val="fr-FR"/>
        </w:rPr>
        <w:t> </w:t>
      </w:r>
      <w:r w:rsidRPr="00310D49">
        <w:rPr>
          <w:lang w:val="fr-FR"/>
        </w:rPr>
        <w:t>ans à pratiquer la sodomie et quiconque incite ou tente d</w:t>
      </w:r>
      <w:r w:rsidR="0035332C">
        <w:rPr>
          <w:lang w:val="fr-FR"/>
        </w:rPr>
        <w:t>’</w:t>
      </w:r>
      <w:r w:rsidRPr="00310D49">
        <w:rPr>
          <w:lang w:val="fr-FR"/>
        </w:rPr>
        <w:t>inciter une femme à commettre un acte de débauche illicite sous la menace, l</w:t>
      </w:r>
      <w:r w:rsidR="0035332C">
        <w:rPr>
          <w:lang w:val="fr-FR"/>
        </w:rPr>
        <w:t>’</w:t>
      </w:r>
      <w:r w:rsidRPr="00310D49">
        <w:rPr>
          <w:lang w:val="fr-FR"/>
        </w:rPr>
        <w:t>intimidation, la tromperie, ou sous l</w:t>
      </w:r>
      <w:r w:rsidR="0035332C">
        <w:rPr>
          <w:lang w:val="fr-FR"/>
        </w:rPr>
        <w:t>’</w:t>
      </w:r>
      <w:r w:rsidRPr="00310D49">
        <w:rPr>
          <w:lang w:val="fr-FR"/>
        </w:rPr>
        <w:t>effet de la drogue est passible d</w:t>
      </w:r>
      <w:r w:rsidR="0035332C">
        <w:rPr>
          <w:lang w:val="fr-FR"/>
        </w:rPr>
        <w:t>’</w:t>
      </w:r>
      <w:r w:rsidRPr="00310D49">
        <w:rPr>
          <w:lang w:val="fr-FR"/>
        </w:rPr>
        <w:t>un mois à trois ans d</w:t>
      </w:r>
      <w:r w:rsidR="0035332C">
        <w:rPr>
          <w:lang w:val="fr-FR"/>
        </w:rPr>
        <w:t>’</w:t>
      </w:r>
      <w:r w:rsidRPr="00310D49">
        <w:rPr>
          <w:lang w:val="fr-FR"/>
        </w:rPr>
        <w:t>emprisonnement. Quiconque aménage un local, le loue ou en dispose pour l</w:t>
      </w:r>
      <w:r w:rsidR="0035332C">
        <w:rPr>
          <w:lang w:val="fr-FR"/>
        </w:rPr>
        <w:t>’</w:t>
      </w:r>
      <w:r w:rsidRPr="00310D49">
        <w:rPr>
          <w:lang w:val="fr-FR"/>
        </w:rPr>
        <w:t>utiliser à des fins de prostitution ou participe à son utilisation permanente en tant que lieu de prostitution est passible d</w:t>
      </w:r>
      <w:r w:rsidR="0035332C">
        <w:rPr>
          <w:lang w:val="fr-FR"/>
        </w:rPr>
        <w:t>’</w:t>
      </w:r>
      <w:r w:rsidRPr="00310D49">
        <w:rPr>
          <w:lang w:val="fr-FR"/>
        </w:rPr>
        <w:t>une peine d</w:t>
      </w:r>
      <w:r w:rsidR="0035332C">
        <w:rPr>
          <w:lang w:val="fr-FR"/>
        </w:rPr>
        <w:t>’</w:t>
      </w:r>
      <w:r w:rsidRPr="00310D49">
        <w:rPr>
          <w:lang w:val="fr-FR"/>
        </w:rPr>
        <w:t>emprisonnement pouvant aller jusqu</w:t>
      </w:r>
      <w:r w:rsidR="0035332C">
        <w:rPr>
          <w:lang w:val="fr-FR"/>
        </w:rPr>
        <w:t>’</w:t>
      </w:r>
      <w:r w:rsidRPr="00310D49">
        <w:rPr>
          <w:lang w:val="fr-FR"/>
        </w:rPr>
        <w:t>à six mois et/ou d</w:t>
      </w:r>
      <w:r w:rsidR="0035332C">
        <w:rPr>
          <w:lang w:val="fr-FR"/>
        </w:rPr>
        <w:t>’</w:t>
      </w:r>
      <w:r w:rsidRPr="00310D49">
        <w:rPr>
          <w:lang w:val="fr-FR"/>
        </w:rPr>
        <w:t xml:space="preserve">une amende. </w:t>
      </w:r>
    </w:p>
    <w:p w14:paraId="38E87B7D" w14:textId="6C641073" w:rsidR="00D005FA" w:rsidRPr="00310D49" w:rsidRDefault="00D005FA" w:rsidP="00A90509">
      <w:pPr>
        <w:pStyle w:val="SingleTxtG"/>
        <w:spacing w:before="120"/>
        <w:rPr>
          <w:lang w:val="fr-FR"/>
        </w:rPr>
      </w:pPr>
      <w:r w:rsidRPr="00310D49">
        <w:rPr>
          <w:lang w:val="fr-FR"/>
        </w:rPr>
        <w:t>183.</w:t>
      </w:r>
      <w:r w:rsidRPr="00310D49">
        <w:rPr>
          <w:lang w:val="fr-FR"/>
        </w:rPr>
        <w:tab/>
        <w:t>Pour réaffirmer son engagement envers la lutte contre la traite des personnes, l</w:t>
      </w:r>
      <w:r w:rsidR="0035332C">
        <w:rPr>
          <w:lang w:val="fr-FR"/>
        </w:rPr>
        <w:t>’</w:t>
      </w:r>
      <w:r w:rsidRPr="00310D49">
        <w:rPr>
          <w:lang w:val="fr-FR"/>
        </w:rPr>
        <w:t>État de Palestine, par le biais d</w:t>
      </w:r>
      <w:r w:rsidR="0035332C">
        <w:rPr>
          <w:lang w:val="fr-FR"/>
        </w:rPr>
        <w:t>’</w:t>
      </w:r>
      <w:r w:rsidRPr="00310D49">
        <w:rPr>
          <w:lang w:val="fr-FR"/>
        </w:rPr>
        <w:t>une équipe nationale composée des organismes compétents, élabore actuellement un projet de loi sur la traite des êtres humains. Le projet de loi prévoit une définition du crime de traite des êtres humains et les peines appropriées, notamment les peines aggravées dès lors que la victime est un enfant, une personne incapable ou une personne handicapée. Ce projet de loi prévoit également la formation d</w:t>
      </w:r>
      <w:r w:rsidR="0035332C">
        <w:rPr>
          <w:lang w:val="fr-FR"/>
        </w:rPr>
        <w:t>’</w:t>
      </w:r>
      <w:r w:rsidRPr="00310D49">
        <w:rPr>
          <w:lang w:val="fr-FR"/>
        </w:rPr>
        <w:t>un comité national dont la mission serait d</w:t>
      </w:r>
      <w:r w:rsidR="0035332C">
        <w:rPr>
          <w:lang w:val="fr-FR"/>
        </w:rPr>
        <w:t>’</w:t>
      </w:r>
      <w:r w:rsidRPr="00310D49">
        <w:rPr>
          <w:lang w:val="fr-FR"/>
        </w:rPr>
        <w:t>élaborer une stratégie nationale globale de lutte contre la traite des êtres humains, de constituer une base de données, d</w:t>
      </w:r>
      <w:r w:rsidR="0035332C">
        <w:rPr>
          <w:lang w:val="fr-FR"/>
        </w:rPr>
        <w:t>’</w:t>
      </w:r>
      <w:r w:rsidRPr="00310D49">
        <w:rPr>
          <w:lang w:val="fr-FR"/>
        </w:rPr>
        <w:t>établir des rapports, de mettre en place des mécanismes et d</w:t>
      </w:r>
      <w:r w:rsidR="0035332C">
        <w:rPr>
          <w:lang w:val="fr-FR"/>
        </w:rPr>
        <w:t>’</w:t>
      </w:r>
      <w:r w:rsidRPr="00310D49">
        <w:rPr>
          <w:lang w:val="fr-FR"/>
        </w:rPr>
        <w:t>apporter aux victimes appui et protection.</w:t>
      </w:r>
    </w:p>
    <w:p w14:paraId="49D63663" w14:textId="6DC0564A" w:rsidR="00D005FA" w:rsidRPr="00310D49" w:rsidRDefault="00D005FA" w:rsidP="00A90509">
      <w:pPr>
        <w:pStyle w:val="SingleTxtG"/>
        <w:spacing w:before="120"/>
        <w:rPr>
          <w:lang w:val="fr-FR"/>
        </w:rPr>
      </w:pPr>
      <w:r w:rsidRPr="00310D49">
        <w:rPr>
          <w:lang w:val="fr-FR"/>
        </w:rPr>
        <w:lastRenderedPageBreak/>
        <w:t>184.</w:t>
      </w:r>
      <w:r w:rsidRPr="00310D49">
        <w:rPr>
          <w:lang w:val="fr-FR"/>
        </w:rPr>
        <w:tab/>
        <w:t>Le projet de code pénal intègre la traite des êtres humains et la réduction en esclavage. Cette dernière s</w:t>
      </w:r>
      <w:r w:rsidR="0035332C">
        <w:rPr>
          <w:lang w:val="fr-FR"/>
        </w:rPr>
        <w:t>’</w:t>
      </w:r>
      <w:r w:rsidRPr="00310D49">
        <w:rPr>
          <w:lang w:val="fr-FR"/>
        </w:rPr>
        <w:t>entend du «</w:t>
      </w:r>
      <w:r w:rsidR="00BC3E67">
        <w:rPr>
          <w:lang w:val="fr-FR"/>
        </w:rPr>
        <w:t> </w:t>
      </w:r>
      <w:r w:rsidRPr="00310D49">
        <w:rPr>
          <w:lang w:val="fr-FR"/>
        </w:rPr>
        <w:t>fait d</w:t>
      </w:r>
      <w:r w:rsidR="0035332C">
        <w:rPr>
          <w:lang w:val="fr-FR"/>
        </w:rPr>
        <w:t>’</w:t>
      </w:r>
      <w:r w:rsidRPr="00310D49">
        <w:rPr>
          <w:lang w:val="fr-FR"/>
        </w:rPr>
        <w:t>exercer sur une personne l</w:t>
      </w:r>
      <w:r w:rsidR="0035332C">
        <w:rPr>
          <w:lang w:val="fr-FR"/>
        </w:rPr>
        <w:t>’</w:t>
      </w:r>
      <w:r w:rsidRPr="00310D49">
        <w:rPr>
          <w:lang w:val="fr-FR"/>
        </w:rPr>
        <w:t>un quelconque ou l</w:t>
      </w:r>
      <w:r w:rsidR="0035332C">
        <w:rPr>
          <w:lang w:val="fr-FR"/>
        </w:rPr>
        <w:t>’</w:t>
      </w:r>
      <w:r w:rsidRPr="00310D49">
        <w:rPr>
          <w:lang w:val="fr-FR"/>
        </w:rPr>
        <w:t>ensemble des pouvoirs liés au droit de propriété, y compris dans le cadre de la traite des êtres humains, en particulier des femmes et des enfants</w:t>
      </w:r>
      <w:r w:rsidR="00BC3E67">
        <w:rPr>
          <w:lang w:val="fr-FR"/>
        </w:rPr>
        <w:t> </w:t>
      </w:r>
      <w:r w:rsidRPr="00310D49">
        <w:rPr>
          <w:lang w:val="fr-FR"/>
        </w:rPr>
        <w:t>».</w:t>
      </w:r>
    </w:p>
    <w:p w14:paraId="39F154D9" w14:textId="3F527E02" w:rsidR="00D005FA" w:rsidRPr="00310D49" w:rsidRDefault="00D005FA" w:rsidP="00A90509">
      <w:pPr>
        <w:pStyle w:val="SingleTxtG"/>
        <w:spacing w:before="120"/>
        <w:rPr>
          <w:spacing w:val="-2"/>
          <w:lang w:val="fr-FR"/>
        </w:rPr>
      </w:pPr>
      <w:r w:rsidRPr="00310D49">
        <w:rPr>
          <w:lang w:val="fr-FR"/>
        </w:rPr>
        <w:t>185.</w:t>
      </w:r>
      <w:r w:rsidRPr="00310D49">
        <w:rPr>
          <w:lang w:val="fr-FR"/>
        </w:rPr>
        <w:tab/>
        <w:t xml:space="preserve"> Le Ministère du développement met en place un grand nombre de programmes destinés aux femmes victimes de violence, y compris des programmes visant à protéger les femmes victimes d</w:t>
      </w:r>
      <w:r w:rsidR="0035332C">
        <w:rPr>
          <w:lang w:val="fr-FR"/>
        </w:rPr>
        <w:t>’</w:t>
      </w:r>
      <w:r w:rsidRPr="00310D49">
        <w:rPr>
          <w:lang w:val="fr-FR"/>
        </w:rPr>
        <w:t>exploitation et de traite et à assurer leur réadaptation et leur réinsertion dans la société. Il convient de préciser ici que l</w:t>
      </w:r>
      <w:r w:rsidR="0035332C">
        <w:rPr>
          <w:lang w:val="fr-FR"/>
        </w:rPr>
        <w:t>’</w:t>
      </w:r>
      <w:r w:rsidRPr="00310D49">
        <w:rPr>
          <w:lang w:val="fr-FR"/>
        </w:rPr>
        <w:t>État de Palestine n</w:t>
      </w:r>
      <w:r w:rsidR="0035332C">
        <w:rPr>
          <w:lang w:val="fr-FR"/>
        </w:rPr>
        <w:t>’</w:t>
      </w:r>
      <w:r w:rsidRPr="00310D49">
        <w:rPr>
          <w:lang w:val="fr-FR"/>
        </w:rPr>
        <w:t>a pas encore achevé la phase d</w:t>
      </w:r>
      <w:r w:rsidR="0035332C">
        <w:rPr>
          <w:lang w:val="fr-FR"/>
        </w:rPr>
        <w:t>’</w:t>
      </w:r>
      <w:r w:rsidRPr="00310D49">
        <w:rPr>
          <w:lang w:val="fr-FR"/>
        </w:rPr>
        <w:t>élaboration des mécanismes qui aident à prévenir et à combattre la traite des êtres humains. Il s</w:t>
      </w:r>
      <w:r w:rsidR="0035332C">
        <w:rPr>
          <w:lang w:val="fr-FR"/>
        </w:rPr>
        <w:t>’</w:t>
      </w:r>
      <w:r w:rsidRPr="00310D49">
        <w:rPr>
          <w:lang w:val="fr-FR"/>
        </w:rPr>
        <w:t>emploie actuellement à créer une base de données pour recenser et enregistrer les infractions de traite. En outre, une série de programmes de formation pour renforcer les capacités du personnel concerné et augmenter le nombre de professionnels en la matière ont été organisés.</w:t>
      </w:r>
    </w:p>
    <w:p w14:paraId="7A50DD59" w14:textId="5ED32A80" w:rsidR="00D005FA" w:rsidRPr="00310D49" w:rsidRDefault="00D005FA" w:rsidP="00A90509">
      <w:pPr>
        <w:pStyle w:val="SingleTxtG"/>
        <w:spacing w:before="120"/>
        <w:rPr>
          <w:lang w:val="fr-FR"/>
        </w:rPr>
      </w:pPr>
      <w:r w:rsidRPr="00310D49">
        <w:rPr>
          <w:lang w:val="fr-FR"/>
        </w:rPr>
        <w:t>186.</w:t>
      </w:r>
      <w:r w:rsidRPr="00310D49">
        <w:rPr>
          <w:lang w:val="fr-FR"/>
        </w:rPr>
        <w:tab/>
        <w:t>Du fait du contrôle d</w:t>
      </w:r>
      <w:r w:rsidR="0035332C">
        <w:rPr>
          <w:lang w:val="fr-FR"/>
        </w:rPr>
        <w:t>’</w:t>
      </w:r>
      <w:r w:rsidRPr="00310D49">
        <w:rPr>
          <w:lang w:val="fr-FR"/>
        </w:rPr>
        <w:t>Israël, Puissance occupante, sur le territoire palestinien occupé, y compris Jérusalem, la fragmentation de l</w:t>
      </w:r>
      <w:r w:rsidR="0035332C">
        <w:rPr>
          <w:lang w:val="fr-FR"/>
        </w:rPr>
        <w:t>’</w:t>
      </w:r>
      <w:r w:rsidRPr="00310D49">
        <w:rPr>
          <w:lang w:val="fr-FR"/>
        </w:rPr>
        <w:t>unité géographique palestinienne par tous les moyens et l</w:t>
      </w:r>
      <w:r w:rsidR="0035332C">
        <w:rPr>
          <w:lang w:val="fr-FR"/>
        </w:rPr>
        <w:t>’</w:t>
      </w:r>
      <w:r w:rsidRPr="00310D49">
        <w:rPr>
          <w:lang w:val="fr-FR"/>
        </w:rPr>
        <w:t>obstruction permanente à la circulation et au déplacement des Palestiniens, l</w:t>
      </w:r>
      <w:r w:rsidR="0035332C">
        <w:rPr>
          <w:lang w:val="fr-FR"/>
        </w:rPr>
        <w:t>’</w:t>
      </w:r>
      <w:r w:rsidRPr="00310D49">
        <w:rPr>
          <w:lang w:val="fr-FR"/>
        </w:rPr>
        <w:t>action nationale de lutte contre la traite des personnes est bloquée.</w:t>
      </w:r>
    </w:p>
    <w:p w14:paraId="0B489B58" w14:textId="0583E80A" w:rsidR="00D005FA" w:rsidRPr="00310D49" w:rsidRDefault="00D005FA" w:rsidP="00A90509">
      <w:pPr>
        <w:pStyle w:val="SingleTxtG"/>
        <w:spacing w:before="120"/>
        <w:rPr>
          <w:lang w:val="fr-FR"/>
        </w:rPr>
      </w:pPr>
      <w:r w:rsidRPr="00310D49">
        <w:rPr>
          <w:lang w:val="fr-FR"/>
        </w:rPr>
        <w:t>187.</w:t>
      </w:r>
      <w:r w:rsidRPr="00310D49">
        <w:rPr>
          <w:lang w:val="fr-FR"/>
        </w:rPr>
        <w:tab/>
        <w:t>L</w:t>
      </w:r>
      <w:r w:rsidR="0035332C">
        <w:rPr>
          <w:lang w:val="fr-FR"/>
        </w:rPr>
        <w:t>’</w:t>
      </w:r>
      <w:r w:rsidRPr="00310D49">
        <w:rPr>
          <w:lang w:val="fr-FR"/>
        </w:rPr>
        <w:t>État de Palestine a adhéré à la Convention sur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à la Convention relative aux droits de l</w:t>
      </w:r>
      <w:r w:rsidR="0035332C">
        <w:rPr>
          <w:lang w:val="fr-FR"/>
        </w:rPr>
        <w:t>’</w:t>
      </w:r>
      <w:r w:rsidRPr="00310D49">
        <w:rPr>
          <w:lang w:val="fr-FR"/>
        </w:rPr>
        <w:t>enfant et à son Protocole facultatif concernant la vente d</w:t>
      </w:r>
      <w:r w:rsidR="0035332C">
        <w:rPr>
          <w:lang w:val="fr-FR"/>
        </w:rPr>
        <w:t>’</w:t>
      </w:r>
      <w:r w:rsidRPr="00310D49">
        <w:rPr>
          <w:lang w:val="fr-FR"/>
        </w:rPr>
        <w:t>enfants, la prostitution des enfants et la pornographie mettant en scène des enfants (2017), à la Convention des Nations Unies contre la criminalité transnationale organisée et à son Protocole visant à prévenir, réprimer et punir la traite des personnes, en particulier des femmes et des enfants (2017), ainsi qu</w:t>
      </w:r>
      <w:r w:rsidR="0035332C">
        <w:rPr>
          <w:lang w:val="fr-FR"/>
        </w:rPr>
        <w:t>’</w:t>
      </w:r>
      <w:r w:rsidRPr="00310D49">
        <w:rPr>
          <w:lang w:val="fr-FR"/>
        </w:rPr>
        <w:t>à la Convention supplémentaire sur l</w:t>
      </w:r>
      <w:r w:rsidR="0035332C">
        <w:rPr>
          <w:lang w:val="fr-FR"/>
        </w:rPr>
        <w:t>’</w:t>
      </w:r>
      <w:r w:rsidRPr="00310D49">
        <w:rPr>
          <w:lang w:val="fr-FR"/>
        </w:rPr>
        <w:t>abolition de l</w:t>
      </w:r>
      <w:r w:rsidR="0035332C">
        <w:rPr>
          <w:lang w:val="fr-FR"/>
        </w:rPr>
        <w:t>’</w:t>
      </w:r>
      <w:r w:rsidRPr="00310D49">
        <w:rPr>
          <w:lang w:val="fr-FR"/>
        </w:rPr>
        <w:t>esclavage, de la traite des esclaves et des institutions et pratiques analogues à l</w:t>
      </w:r>
      <w:r w:rsidR="0035332C">
        <w:rPr>
          <w:lang w:val="fr-FR"/>
        </w:rPr>
        <w:t>’</w:t>
      </w:r>
      <w:r w:rsidRPr="00310D49">
        <w:rPr>
          <w:lang w:val="fr-FR"/>
        </w:rPr>
        <w:t>esclavage (2018). L</w:t>
      </w:r>
      <w:r w:rsidR="0035332C">
        <w:rPr>
          <w:lang w:val="fr-FR"/>
        </w:rPr>
        <w:t>’</w:t>
      </w:r>
      <w:r w:rsidRPr="00310D49">
        <w:rPr>
          <w:lang w:val="fr-FR"/>
        </w:rPr>
        <w:t>État de Palestine est également partie à la Convention internationale relative à la répression de la traite des blanches de 1904 et à la Convention internationale pour la répression de la traite des femmes et des enfants de 1921. Il a ratifié la Convention arabe relative à la lutte contre la criminalité transnationale organisée en 2013 et a rejoint le Réseau arabe de lutte contre la traite des êtres humains.</w:t>
      </w:r>
    </w:p>
    <w:p w14:paraId="7B7C23C1" w14:textId="77777777" w:rsidR="00D005FA" w:rsidRPr="00310D49" w:rsidRDefault="00D005FA" w:rsidP="00A90509">
      <w:pPr>
        <w:pStyle w:val="H23G"/>
        <w:rPr>
          <w:lang w:val="fr-FR"/>
        </w:rPr>
      </w:pPr>
      <w:r w:rsidRPr="00310D49">
        <w:rPr>
          <w:lang w:val="fr-FR"/>
        </w:rPr>
        <w:tab/>
      </w:r>
      <w:r w:rsidRPr="00310D49">
        <w:rPr>
          <w:lang w:val="fr-FR"/>
        </w:rPr>
        <w:tab/>
        <w:t>Interdiction du travail forcé et du travail obligatoire</w:t>
      </w:r>
    </w:p>
    <w:p w14:paraId="6474AA6F" w14:textId="43B97FE7" w:rsidR="00D005FA" w:rsidRPr="00310D49" w:rsidRDefault="00D005FA" w:rsidP="00A90509">
      <w:pPr>
        <w:pStyle w:val="SingleTxtG"/>
        <w:spacing w:before="120"/>
        <w:rPr>
          <w:lang w:val="fr-FR"/>
        </w:rPr>
      </w:pPr>
      <w:r w:rsidRPr="00310D49">
        <w:rPr>
          <w:lang w:val="fr-FR"/>
        </w:rPr>
        <w:t>188.</w:t>
      </w:r>
      <w:r w:rsidRPr="00310D49">
        <w:rPr>
          <w:lang w:val="fr-FR"/>
        </w:rPr>
        <w:tab/>
        <w:t>La Loi fondamentale, telle que modifiée, et les lois du travail en vigueur interdisent toute forme de travail obligatoire et d</w:t>
      </w:r>
      <w:r w:rsidR="0035332C">
        <w:rPr>
          <w:lang w:val="fr-FR"/>
        </w:rPr>
        <w:t>’</w:t>
      </w:r>
      <w:r w:rsidRPr="00310D49">
        <w:rPr>
          <w:lang w:val="fr-FR"/>
        </w:rPr>
        <w:t>exploitation des travailleurs. L</w:t>
      </w:r>
      <w:r w:rsidR="0035332C">
        <w:rPr>
          <w:lang w:val="fr-FR"/>
        </w:rPr>
        <w:t>’</w:t>
      </w:r>
      <w:r w:rsidRPr="00310D49">
        <w:rPr>
          <w:lang w:val="fr-FR"/>
        </w:rPr>
        <w:t>article 25 de ladite Loi fondamentale dispose que le travail est un droit dont jouissent tous les citoyens et que les relations de travail sont organisées de manière à garantir la justice au profit de tous et à offrir aux travailleurs le bien-être, la sécurité, la santé et la protection sociale.</w:t>
      </w:r>
    </w:p>
    <w:p w14:paraId="6ABB3FF6" w14:textId="102F49BF" w:rsidR="00D005FA" w:rsidRPr="00310D49" w:rsidRDefault="00D005FA" w:rsidP="00A90509">
      <w:pPr>
        <w:pStyle w:val="SingleTxtG"/>
        <w:spacing w:before="120"/>
        <w:rPr>
          <w:lang w:val="fr-FR"/>
        </w:rPr>
      </w:pPr>
      <w:r w:rsidRPr="00310D49">
        <w:rPr>
          <w:lang w:val="fr-FR"/>
        </w:rPr>
        <w:t>189.</w:t>
      </w:r>
      <w:r w:rsidRPr="00310D49">
        <w:rPr>
          <w:lang w:val="fr-FR"/>
        </w:rPr>
        <w:tab/>
        <w:t>Le Code du travail n</w:t>
      </w:r>
      <w:r w:rsidR="00A90509" w:rsidRPr="00A90509">
        <w:rPr>
          <w:vertAlign w:val="superscript"/>
          <w:lang w:val="fr-FR"/>
        </w:rPr>
        <w:t>o</w:t>
      </w:r>
      <w:r w:rsidR="00A90509">
        <w:rPr>
          <w:lang w:val="fr-FR"/>
        </w:rPr>
        <w:t> </w:t>
      </w:r>
      <w:r w:rsidRPr="00310D49">
        <w:rPr>
          <w:lang w:val="fr-FR"/>
        </w:rPr>
        <w:t>7 de 2000 prévoit que le travail est un droit dont jouit tout citoyen apte à l</w:t>
      </w:r>
      <w:r w:rsidR="0035332C">
        <w:rPr>
          <w:lang w:val="fr-FR"/>
        </w:rPr>
        <w:t>’</w:t>
      </w:r>
      <w:r w:rsidRPr="00310D49">
        <w:rPr>
          <w:lang w:val="fr-FR"/>
        </w:rPr>
        <w:t>accomplir sur la base de l</w:t>
      </w:r>
      <w:r w:rsidR="0035332C">
        <w:rPr>
          <w:lang w:val="fr-FR"/>
        </w:rPr>
        <w:t>’</w:t>
      </w:r>
      <w:r w:rsidRPr="00310D49">
        <w:rPr>
          <w:lang w:val="fr-FR"/>
        </w:rPr>
        <w:t>égalité des chances et sans aucune forme de discrimination. Il énonce en outre les garanties légales reconnus aux travailleurs, notamment les termes, conditions et heures de travail, les salaires et congés, les dispositifs de sécurité et de santé au travail, les assurances contre les accidents du travail et les conditions d</w:t>
      </w:r>
      <w:r w:rsidR="0035332C">
        <w:rPr>
          <w:lang w:val="fr-FR"/>
        </w:rPr>
        <w:t>’</w:t>
      </w:r>
      <w:r w:rsidRPr="00310D49">
        <w:rPr>
          <w:lang w:val="fr-FR"/>
        </w:rPr>
        <w:t>emploi des mineurs et des femmes.</w:t>
      </w:r>
    </w:p>
    <w:p w14:paraId="2C919FD4" w14:textId="5784A9A0" w:rsidR="00D005FA" w:rsidRPr="00310D49" w:rsidRDefault="00D005FA" w:rsidP="00A90509">
      <w:pPr>
        <w:pStyle w:val="SingleTxtG"/>
        <w:spacing w:before="120"/>
        <w:rPr>
          <w:lang w:val="fr-FR"/>
        </w:rPr>
      </w:pPr>
      <w:r w:rsidRPr="00310D49">
        <w:rPr>
          <w:lang w:val="fr-FR"/>
        </w:rPr>
        <w:t>190.</w:t>
      </w:r>
      <w:r w:rsidRPr="00310D49">
        <w:rPr>
          <w:lang w:val="fr-FR"/>
        </w:rPr>
        <w:tab/>
        <w:t>L</w:t>
      </w:r>
      <w:r w:rsidR="0035332C">
        <w:rPr>
          <w:lang w:val="fr-FR"/>
        </w:rPr>
        <w:t>’</w:t>
      </w:r>
      <w:r w:rsidRPr="00310D49">
        <w:rPr>
          <w:lang w:val="fr-FR"/>
        </w:rPr>
        <w:t>Inspection du travail, rattachée au sein du Ministère du travail et investie des pouvoirs de police judiciaire, a été créée pour protéger les travailleurs et s</w:t>
      </w:r>
      <w:r w:rsidR="0035332C">
        <w:rPr>
          <w:lang w:val="fr-FR"/>
        </w:rPr>
        <w:t>’</w:t>
      </w:r>
      <w:r w:rsidRPr="00310D49">
        <w:rPr>
          <w:lang w:val="fr-FR"/>
        </w:rPr>
        <w:t>assurer que les conditions de travail sont adaptées, en surveillant les lieux de travail, en recevant les plaintes et en infligeant les sanctions applicables conformément à la loi.</w:t>
      </w:r>
    </w:p>
    <w:p w14:paraId="69AD4B39" w14:textId="2A9D828B" w:rsidR="00D005FA" w:rsidRPr="00310D49" w:rsidRDefault="00D005FA" w:rsidP="00A90509">
      <w:pPr>
        <w:pStyle w:val="SingleTxtG"/>
        <w:spacing w:before="120"/>
        <w:rPr>
          <w:rFonts w:eastAsia="Times New Roman"/>
          <w:lang w:val="fr-FR"/>
        </w:rPr>
      </w:pPr>
      <w:r w:rsidRPr="00310D49">
        <w:rPr>
          <w:lang w:val="fr-FR"/>
        </w:rPr>
        <w:t>191.</w:t>
      </w:r>
      <w:r w:rsidRPr="00310D49">
        <w:rPr>
          <w:lang w:val="fr-FR"/>
        </w:rPr>
        <w:tab/>
        <w:t>Le Ministère du travail veille au suivi de l</w:t>
      </w:r>
      <w:r w:rsidR="0035332C">
        <w:rPr>
          <w:lang w:val="fr-FR"/>
        </w:rPr>
        <w:t>’</w:t>
      </w:r>
      <w:r w:rsidRPr="00310D49">
        <w:rPr>
          <w:lang w:val="fr-FR"/>
        </w:rPr>
        <w:t>application des contrats des employés de maison. À cet égard, le Ministre du travail a pris un arrêté relatif aux employés de maison en vue de réglementer les travaux que ces personnes ont vocation à accomplir de manière à garantir leurs droits et à durcir les sanctions à l</w:t>
      </w:r>
      <w:r w:rsidR="0035332C">
        <w:rPr>
          <w:lang w:val="fr-FR"/>
        </w:rPr>
        <w:t>’</w:t>
      </w:r>
      <w:r w:rsidRPr="00310D49">
        <w:rPr>
          <w:lang w:val="fr-FR"/>
        </w:rPr>
        <w:t>encontre des employeurs qui enfreignent les règles.</w:t>
      </w:r>
    </w:p>
    <w:p w14:paraId="382BC74A" w14:textId="6FD1BEB5" w:rsidR="00D005FA" w:rsidRPr="00310D49" w:rsidRDefault="00D005FA" w:rsidP="00A90509">
      <w:pPr>
        <w:pStyle w:val="SingleTxtG"/>
        <w:spacing w:before="120"/>
        <w:rPr>
          <w:lang w:val="fr-FR"/>
        </w:rPr>
      </w:pPr>
      <w:r w:rsidRPr="00310D49">
        <w:rPr>
          <w:lang w:val="fr-FR"/>
        </w:rPr>
        <w:t>192.</w:t>
      </w:r>
      <w:r w:rsidRPr="00310D49">
        <w:rPr>
          <w:lang w:val="fr-FR"/>
        </w:rPr>
        <w:tab/>
        <w:t>Selon les résultats de l</w:t>
      </w:r>
      <w:r w:rsidR="0035332C">
        <w:rPr>
          <w:lang w:val="fr-FR"/>
        </w:rPr>
        <w:t>’</w:t>
      </w:r>
      <w:r w:rsidRPr="00310D49">
        <w:rPr>
          <w:lang w:val="fr-FR"/>
        </w:rPr>
        <w:t>enquête 2019 sur la population active en Palestine réalisée par le Bureau central palestinien de statistique, 30</w:t>
      </w:r>
      <w:r w:rsidR="00A90509">
        <w:rPr>
          <w:lang w:val="fr-FR"/>
        </w:rPr>
        <w:t> </w:t>
      </w:r>
      <w:r w:rsidRPr="00310D49">
        <w:rPr>
          <w:lang w:val="fr-FR"/>
        </w:rPr>
        <w:t>% des salariés du secteur privé perçoivent un salaire mensuel inférieur au salaire minimum de 1</w:t>
      </w:r>
      <w:r w:rsidR="00A90509">
        <w:rPr>
          <w:lang w:val="fr-FR"/>
        </w:rPr>
        <w:t> </w:t>
      </w:r>
      <w:r w:rsidRPr="00310D49">
        <w:rPr>
          <w:lang w:val="fr-FR"/>
        </w:rPr>
        <w:t>450</w:t>
      </w:r>
      <w:r w:rsidR="00A90509">
        <w:rPr>
          <w:lang w:val="fr-FR"/>
        </w:rPr>
        <w:t> </w:t>
      </w:r>
      <w:r w:rsidRPr="00310D49">
        <w:rPr>
          <w:lang w:val="fr-FR"/>
        </w:rPr>
        <w:t>shekels en vigueur dans l</w:t>
      </w:r>
      <w:r w:rsidR="0035332C">
        <w:rPr>
          <w:lang w:val="fr-FR"/>
        </w:rPr>
        <w:t>’</w:t>
      </w:r>
      <w:r w:rsidRPr="00310D49">
        <w:rPr>
          <w:lang w:val="fr-FR"/>
        </w:rPr>
        <w:t>État de Palestine. L</w:t>
      </w:r>
      <w:r w:rsidR="0035332C">
        <w:rPr>
          <w:lang w:val="fr-FR"/>
        </w:rPr>
        <w:t>’</w:t>
      </w:r>
      <w:r w:rsidRPr="00310D49">
        <w:rPr>
          <w:lang w:val="fr-FR"/>
        </w:rPr>
        <w:t xml:space="preserve">enquête indique aussi que la proportion de salariés du secteur privé qui </w:t>
      </w:r>
      <w:r w:rsidRPr="00310D49">
        <w:rPr>
          <w:lang w:val="fr-FR"/>
        </w:rPr>
        <w:lastRenderedPageBreak/>
        <w:t>perçoivent un salaire mensuel inférieur au salaire minimum en Cisjordanie est passée de 12</w:t>
      </w:r>
      <w:r w:rsidR="00A90509">
        <w:rPr>
          <w:lang w:val="fr-FR"/>
        </w:rPr>
        <w:t> </w:t>
      </w:r>
      <w:r w:rsidRPr="00310D49">
        <w:rPr>
          <w:lang w:val="fr-FR"/>
        </w:rPr>
        <w:t>% en 2018 à 10</w:t>
      </w:r>
      <w:r w:rsidR="00A90509">
        <w:rPr>
          <w:lang w:val="fr-FR"/>
        </w:rPr>
        <w:t> </w:t>
      </w:r>
      <w:r w:rsidRPr="00310D49">
        <w:rPr>
          <w:lang w:val="fr-FR"/>
        </w:rPr>
        <w:t>% en 2019, tandis que cette proportion a augmenté dans la bande de Gaza de 72</w:t>
      </w:r>
      <w:r w:rsidR="00A90509">
        <w:rPr>
          <w:lang w:val="fr-FR"/>
        </w:rPr>
        <w:t> </w:t>
      </w:r>
      <w:r w:rsidRPr="00310D49">
        <w:rPr>
          <w:lang w:val="fr-FR"/>
        </w:rPr>
        <w:t>% à 80</w:t>
      </w:r>
      <w:r w:rsidR="00A90509">
        <w:rPr>
          <w:lang w:val="fr-FR"/>
        </w:rPr>
        <w:t> </w:t>
      </w:r>
      <w:r w:rsidRPr="00310D49">
        <w:rPr>
          <w:lang w:val="fr-FR"/>
        </w:rPr>
        <w:t xml:space="preserve">% pour chacune de ces deux années respectivement. </w:t>
      </w:r>
    </w:p>
    <w:p w14:paraId="028925D9" w14:textId="15940F43" w:rsidR="00D005FA" w:rsidRPr="00310D49" w:rsidRDefault="00D005FA" w:rsidP="00A90509">
      <w:pPr>
        <w:pStyle w:val="SingleTxtG"/>
        <w:spacing w:before="120"/>
        <w:rPr>
          <w:lang w:val="fr-FR"/>
        </w:rPr>
      </w:pPr>
      <w:r w:rsidRPr="00310D49">
        <w:rPr>
          <w:lang w:val="fr-FR"/>
        </w:rPr>
        <w:t>193.</w:t>
      </w:r>
      <w:r w:rsidRPr="00310D49">
        <w:rPr>
          <w:lang w:val="fr-FR"/>
        </w:rPr>
        <w:tab/>
        <w:t>Dans le cadre de la mise en œuvre de la peine de travaux forcés prévue par la législation pénale en vigueur, des condamnations à cette peine sont prononcées par les tribunaux. Cependant, sur le plan procédural, cette peine est exécutée sous forme d</w:t>
      </w:r>
      <w:r w:rsidR="0035332C">
        <w:rPr>
          <w:lang w:val="fr-FR"/>
        </w:rPr>
        <w:t>’</w:t>
      </w:r>
      <w:r w:rsidRPr="00310D49">
        <w:rPr>
          <w:lang w:val="fr-FR"/>
        </w:rPr>
        <w:t>incarcération sans travaux forcés, puisque les établissements pénitentiaires n</w:t>
      </w:r>
      <w:r w:rsidR="0035332C">
        <w:rPr>
          <w:lang w:val="fr-FR"/>
        </w:rPr>
        <w:t>’</w:t>
      </w:r>
      <w:r w:rsidRPr="00310D49">
        <w:rPr>
          <w:lang w:val="fr-FR"/>
        </w:rPr>
        <w:t>appliquent pas les travaux forcés à titre de mesure punitive.</w:t>
      </w:r>
    </w:p>
    <w:p w14:paraId="627D9FA4" w14:textId="0BFBCEA8" w:rsidR="00D005FA" w:rsidRPr="00310D49" w:rsidRDefault="00D005FA" w:rsidP="00A90509">
      <w:pPr>
        <w:pStyle w:val="SingleTxtG"/>
        <w:spacing w:before="120"/>
        <w:rPr>
          <w:lang w:val="fr-FR"/>
        </w:rPr>
      </w:pPr>
      <w:r w:rsidRPr="00310D49">
        <w:rPr>
          <w:lang w:val="fr-FR"/>
        </w:rPr>
        <w:t>194.</w:t>
      </w:r>
      <w:r w:rsidRPr="00310D49">
        <w:rPr>
          <w:lang w:val="fr-FR"/>
        </w:rPr>
        <w:tab/>
        <w:t>L</w:t>
      </w:r>
      <w:r w:rsidR="0035332C">
        <w:rPr>
          <w:lang w:val="fr-FR"/>
        </w:rPr>
        <w:t>’</w:t>
      </w:r>
      <w:r w:rsidRPr="00310D49">
        <w:rPr>
          <w:lang w:val="fr-FR"/>
        </w:rPr>
        <w:t>article 399 du Code de procédure pénale dispose que toute personne condamnée à une peine d</w:t>
      </w:r>
      <w:r w:rsidR="0035332C">
        <w:rPr>
          <w:lang w:val="fr-FR"/>
        </w:rPr>
        <w:t>’</w:t>
      </w:r>
      <w:r w:rsidRPr="00310D49">
        <w:rPr>
          <w:lang w:val="fr-FR"/>
        </w:rPr>
        <w:t>emprisonnement d</w:t>
      </w:r>
      <w:r w:rsidR="0035332C">
        <w:rPr>
          <w:lang w:val="fr-FR"/>
        </w:rPr>
        <w:t>’</w:t>
      </w:r>
      <w:r w:rsidRPr="00310D49">
        <w:rPr>
          <w:lang w:val="fr-FR"/>
        </w:rPr>
        <w:t>une durée n</w:t>
      </w:r>
      <w:r w:rsidR="0035332C">
        <w:rPr>
          <w:lang w:val="fr-FR"/>
        </w:rPr>
        <w:t>’</w:t>
      </w:r>
      <w:r w:rsidRPr="00310D49">
        <w:rPr>
          <w:lang w:val="fr-FR"/>
        </w:rPr>
        <w:t>excédant pas trois mois peut demander au ministère public de la mettre au travail en dehors de l</w:t>
      </w:r>
      <w:r w:rsidR="0035332C">
        <w:rPr>
          <w:lang w:val="fr-FR"/>
        </w:rPr>
        <w:t>’</w:t>
      </w:r>
      <w:r w:rsidRPr="00310D49">
        <w:rPr>
          <w:lang w:val="fr-FR"/>
        </w:rPr>
        <w:t>établissement pénitentiaire au lieu d</w:t>
      </w:r>
      <w:r w:rsidR="0035332C">
        <w:rPr>
          <w:lang w:val="fr-FR"/>
        </w:rPr>
        <w:t>’</w:t>
      </w:r>
      <w:r w:rsidRPr="00310D49">
        <w:rPr>
          <w:lang w:val="fr-FR"/>
        </w:rPr>
        <w:t>exécuter la peine d</w:t>
      </w:r>
      <w:r w:rsidR="0035332C">
        <w:rPr>
          <w:lang w:val="fr-FR"/>
        </w:rPr>
        <w:t>’</w:t>
      </w:r>
      <w:r w:rsidRPr="00310D49">
        <w:rPr>
          <w:lang w:val="fr-FR"/>
        </w:rPr>
        <w:t>emprisonnement à son encontre, à moins que le jugement ne la prive de cette option.</w:t>
      </w:r>
    </w:p>
    <w:p w14:paraId="08623E0F" w14:textId="405F3EB5" w:rsidR="00D005FA" w:rsidRPr="00310D49" w:rsidRDefault="00D005FA" w:rsidP="00A90509">
      <w:pPr>
        <w:pStyle w:val="H1G"/>
        <w:rPr>
          <w:lang w:val="fr-FR"/>
        </w:rPr>
      </w:pPr>
      <w:r w:rsidRPr="00310D49">
        <w:rPr>
          <w:lang w:val="fr-FR"/>
        </w:rPr>
        <w:tab/>
      </w:r>
      <w:r w:rsidRPr="00310D49">
        <w:rPr>
          <w:lang w:val="fr-FR"/>
        </w:rPr>
        <w:tab/>
        <w:t>Article 9</w:t>
      </w:r>
      <w:bookmarkStart w:id="11" w:name="_Toc80715498"/>
      <w:bookmarkEnd w:id="11"/>
    </w:p>
    <w:p w14:paraId="3BF38A02" w14:textId="0E50B732" w:rsidR="00D005FA" w:rsidRPr="00310D49" w:rsidRDefault="00D005FA" w:rsidP="00A90509">
      <w:pPr>
        <w:pStyle w:val="SingleTxtG"/>
        <w:spacing w:before="120"/>
        <w:rPr>
          <w:lang w:val="fr-FR"/>
        </w:rPr>
      </w:pPr>
      <w:r w:rsidRPr="00310D49">
        <w:rPr>
          <w:lang w:val="fr-FR"/>
        </w:rPr>
        <w:t>195.</w:t>
      </w:r>
      <w:r w:rsidRPr="00310D49">
        <w:rPr>
          <w:lang w:val="fr-FR"/>
        </w:rPr>
        <w:tab/>
        <w:t xml:space="preserve">La législation en vigueur garantit le droit à la liberté et à la sécurité de la personne et prévoit que la liberté individuelle ne peut être restreinte que conformément à la loi. À cet </w:t>
      </w:r>
      <w:r w:rsidRPr="003D1B0D">
        <w:rPr>
          <w:lang w:val="fr-FR"/>
        </w:rPr>
        <w:t>égard, l</w:t>
      </w:r>
      <w:r w:rsidR="0035332C">
        <w:rPr>
          <w:lang w:val="fr-FR"/>
        </w:rPr>
        <w:t>’</w:t>
      </w:r>
      <w:r w:rsidRPr="003D1B0D">
        <w:rPr>
          <w:lang w:val="fr-FR"/>
        </w:rPr>
        <w:t>article 1</w:t>
      </w:r>
      <w:r w:rsidR="003D1B0D" w:rsidRPr="003D1B0D">
        <w:rPr>
          <w:lang w:val="fr-FR"/>
        </w:rPr>
        <w:t>1</w:t>
      </w:r>
      <w:r w:rsidRPr="00310D49">
        <w:rPr>
          <w:lang w:val="fr-FR"/>
        </w:rPr>
        <w:t xml:space="preserve"> de la Loi fondamentale précise que «</w:t>
      </w:r>
      <w:r w:rsidR="00C94881">
        <w:rPr>
          <w:lang w:val="fr-FR"/>
        </w:rPr>
        <w:t> </w:t>
      </w:r>
      <w:r w:rsidRPr="00310D49">
        <w:rPr>
          <w:lang w:val="fr-FR"/>
        </w:rPr>
        <w:t>[l]a liberté individuelle est un droit naturel, qui est garanti et ne peut être violé. Nul ne peut être arrêté, fouillé, détenu, privé de sa liberté ou empêché de se déplacer qu</w:t>
      </w:r>
      <w:r w:rsidR="0035332C">
        <w:rPr>
          <w:lang w:val="fr-FR"/>
        </w:rPr>
        <w:t>’</w:t>
      </w:r>
      <w:r w:rsidRPr="00310D49">
        <w:rPr>
          <w:lang w:val="fr-FR"/>
        </w:rPr>
        <w:t>en vertu d</w:t>
      </w:r>
      <w:r w:rsidR="0035332C">
        <w:rPr>
          <w:lang w:val="fr-FR"/>
        </w:rPr>
        <w:t>’</w:t>
      </w:r>
      <w:r w:rsidRPr="00310D49">
        <w:rPr>
          <w:lang w:val="fr-FR"/>
        </w:rPr>
        <w:t>une ordonnance judiciaire rendue conformément aux dispositions de la loi. La loi fixe la durée de la détention provisoire. La</w:t>
      </w:r>
      <w:r w:rsidR="00C94881">
        <w:rPr>
          <w:lang w:val="fr-FR"/>
        </w:rPr>
        <w:t> </w:t>
      </w:r>
      <w:r w:rsidRPr="00310D49">
        <w:rPr>
          <w:lang w:val="fr-FR"/>
        </w:rPr>
        <w:t>détention ou l</w:t>
      </w:r>
      <w:r w:rsidR="0035332C">
        <w:rPr>
          <w:lang w:val="fr-FR"/>
        </w:rPr>
        <w:t>’</w:t>
      </w:r>
      <w:r w:rsidRPr="00310D49">
        <w:rPr>
          <w:lang w:val="fr-FR"/>
        </w:rPr>
        <w:t>emprisonnement ne sont autorisés que dans les lieux soumis aux lois relatives à l</w:t>
      </w:r>
      <w:r w:rsidR="0035332C">
        <w:rPr>
          <w:lang w:val="fr-FR"/>
        </w:rPr>
        <w:t>’</w:t>
      </w:r>
      <w:r w:rsidRPr="00310D49">
        <w:rPr>
          <w:lang w:val="fr-FR"/>
        </w:rPr>
        <w:t>organisation pénitentiaire</w:t>
      </w:r>
      <w:r w:rsidR="00C94881">
        <w:rPr>
          <w:lang w:val="fr-FR"/>
        </w:rPr>
        <w:t> </w:t>
      </w:r>
      <w:r w:rsidRPr="00310D49">
        <w:rPr>
          <w:lang w:val="fr-FR"/>
        </w:rPr>
        <w:t>».</w:t>
      </w:r>
    </w:p>
    <w:p w14:paraId="09025049" w14:textId="613563C9" w:rsidR="00D005FA" w:rsidRPr="00310D49" w:rsidRDefault="00D005FA" w:rsidP="00A90509">
      <w:pPr>
        <w:pStyle w:val="SingleTxtG"/>
        <w:spacing w:before="120"/>
        <w:rPr>
          <w:u w:val="single"/>
          <w:lang w:val="fr-FR"/>
        </w:rPr>
      </w:pPr>
      <w:r w:rsidRPr="00310D49">
        <w:rPr>
          <w:lang w:val="fr-FR"/>
        </w:rPr>
        <w:t>196.</w:t>
      </w:r>
      <w:r w:rsidRPr="00310D49">
        <w:rPr>
          <w:lang w:val="fr-FR"/>
        </w:rPr>
        <w:tab/>
        <w:t>L</w:t>
      </w:r>
      <w:r w:rsidR="0035332C">
        <w:rPr>
          <w:lang w:val="fr-FR"/>
        </w:rPr>
        <w:t>’</w:t>
      </w:r>
      <w:r w:rsidRPr="00310D49">
        <w:rPr>
          <w:lang w:val="fr-FR"/>
        </w:rPr>
        <w:t>article 29 du Code de procédure pénale dispose qu</w:t>
      </w:r>
      <w:r w:rsidR="0035332C">
        <w:rPr>
          <w:lang w:val="fr-FR"/>
        </w:rPr>
        <w:t>’</w:t>
      </w:r>
      <w:r w:rsidRPr="00310D49">
        <w:rPr>
          <w:lang w:val="fr-FR"/>
        </w:rPr>
        <w:t>«</w:t>
      </w:r>
      <w:r w:rsidR="00C94881">
        <w:rPr>
          <w:lang w:val="fr-FR"/>
        </w:rPr>
        <w:t> </w:t>
      </w:r>
      <w:r w:rsidRPr="00310D49">
        <w:rPr>
          <w:lang w:val="fr-FR"/>
        </w:rPr>
        <w:t>[n]ul ne peut être arrêté ou emprisonné que sur ordre de l</w:t>
      </w:r>
      <w:r w:rsidR="0035332C">
        <w:rPr>
          <w:lang w:val="fr-FR"/>
        </w:rPr>
        <w:t>’</w:t>
      </w:r>
      <w:r w:rsidRPr="00310D49">
        <w:rPr>
          <w:lang w:val="fr-FR"/>
        </w:rPr>
        <w:t>autorité compétente habilitée à le faire par la loi. La personne visée par un tel ordre doit être traitée de manière à préserver sa dignité et ne doit pas subir de préjudice physique ou moral</w:t>
      </w:r>
      <w:r w:rsidR="00C94881">
        <w:rPr>
          <w:lang w:val="fr-FR"/>
        </w:rPr>
        <w:t>. </w:t>
      </w:r>
      <w:r w:rsidRPr="00310D49">
        <w:rPr>
          <w:lang w:val="fr-FR"/>
        </w:rPr>
        <w:t xml:space="preserve">». </w:t>
      </w:r>
    </w:p>
    <w:p w14:paraId="38CEC707" w14:textId="66B4F3F9" w:rsidR="00D005FA" w:rsidRPr="00310D49" w:rsidRDefault="00D005FA" w:rsidP="00A90509">
      <w:pPr>
        <w:pStyle w:val="SingleTxtG"/>
        <w:spacing w:before="120"/>
        <w:rPr>
          <w:lang w:val="fr-FR"/>
        </w:rPr>
      </w:pPr>
      <w:r w:rsidRPr="00310D49">
        <w:rPr>
          <w:lang w:val="fr-FR"/>
        </w:rPr>
        <w:t>197.</w:t>
      </w:r>
      <w:r w:rsidRPr="00310D49">
        <w:rPr>
          <w:lang w:val="fr-FR"/>
        </w:rPr>
        <w:tab/>
        <w:t>En vertu de l</w:t>
      </w:r>
      <w:r w:rsidR="0035332C">
        <w:rPr>
          <w:lang w:val="fr-FR"/>
        </w:rPr>
        <w:t>’</w:t>
      </w:r>
      <w:r w:rsidRPr="00310D49">
        <w:rPr>
          <w:lang w:val="fr-FR"/>
        </w:rPr>
        <w:t>article 12 de la Loi fondamentale, telle que modifiée, «</w:t>
      </w:r>
      <w:r w:rsidR="00C94881">
        <w:rPr>
          <w:lang w:val="fr-FR"/>
        </w:rPr>
        <w:t> </w:t>
      </w:r>
      <w:r w:rsidRPr="00310D49">
        <w:rPr>
          <w:lang w:val="fr-FR"/>
        </w:rPr>
        <w:t>[t]oute personne arrêtée ou détenue doit être informée du motif de son arrestation ou de sa détention. Elle doit être informée sans délai, dans une langue qu</w:t>
      </w:r>
      <w:r w:rsidR="0035332C">
        <w:rPr>
          <w:lang w:val="fr-FR"/>
        </w:rPr>
        <w:t>’</w:t>
      </w:r>
      <w:r w:rsidRPr="00310D49">
        <w:rPr>
          <w:lang w:val="fr-FR"/>
        </w:rPr>
        <w:t>elle comprend, des charges retenues contre elle. Elle doit pouvoir contacter un avocat et être déférée au tribunal sans délai</w:t>
      </w:r>
      <w:r w:rsidR="00C94881">
        <w:rPr>
          <w:lang w:val="fr-FR"/>
        </w:rPr>
        <w:t>. </w:t>
      </w:r>
      <w:r w:rsidRPr="00310D49">
        <w:rPr>
          <w:lang w:val="fr-FR"/>
        </w:rPr>
        <w:t>». En outre, selon l</w:t>
      </w:r>
      <w:r w:rsidR="0035332C">
        <w:rPr>
          <w:lang w:val="fr-FR"/>
        </w:rPr>
        <w:t>’</w:t>
      </w:r>
      <w:r w:rsidRPr="00310D49">
        <w:rPr>
          <w:lang w:val="fr-FR"/>
        </w:rPr>
        <w:t>article</w:t>
      </w:r>
      <w:r w:rsidR="00C94881">
        <w:rPr>
          <w:lang w:val="fr-FR"/>
        </w:rPr>
        <w:t> </w:t>
      </w:r>
      <w:r w:rsidRPr="00310D49">
        <w:rPr>
          <w:lang w:val="fr-FR"/>
        </w:rPr>
        <w:t>110 du Code de procédure pénale, les mandats de comparution, les mandats d</w:t>
      </w:r>
      <w:r w:rsidR="0035332C">
        <w:rPr>
          <w:lang w:val="fr-FR"/>
        </w:rPr>
        <w:t>’</w:t>
      </w:r>
      <w:r w:rsidRPr="00310D49">
        <w:rPr>
          <w:lang w:val="fr-FR"/>
        </w:rPr>
        <w:t>amener et les mandats d</w:t>
      </w:r>
      <w:r w:rsidR="0035332C">
        <w:rPr>
          <w:lang w:val="fr-FR"/>
        </w:rPr>
        <w:t>’</w:t>
      </w:r>
      <w:r w:rsidRPr="00310D49">
        <w:rPr>
          <w:lang w:val="fr-FR"/>
        </w:rPr>
        <w:t>arrêt sont signés et scellés par l</w:t>
      </w:r>
      <w:r w:rsidR="0035332C">
        <w:rPr>
          <w:lang w:val="fr-FR"/>
        </w:rPr>
        <w:t>’</w:t>
      </w:r>
      <w:r w:rsidRPr="00310D49">
        <w:rPr>
          <w:lang w:val="fr-FR"/>
        </w:rPr>
        <w:t>autorité légalement compétente et comprennent le nom, la description et le surnom du suspect, l</w:t>
      </w:r>
      <w:r w:rsidR="0035332C">
        <w:rPr>
          <w:lang w:val="fr-FR"/>
        </w:rPr>
        <w:t>’</w:t>
      </w:r>
      <w:r w:rsidRPr="00310D49">
        <w:rPr>
          <w:lang w:val="fr-FR"/>
        </w:rPr>
        <w:t>infraction dont il est accusé et les articles de loi applicables, son adresse complète et la durée de garde à vue, le cas échéant. L</w:t>
      </w:r>
      <w:r w:rsidR="0035332C">
        <w:rPr>
          <w:lang w:val="fr-FR"/>
        </w:rPr>
        <w:t>’</w:t>
      </w:r>
      <w:r w:rsidRPr="00310D49">
        <w:rPr>
          <w:lang w:val="fr-FR"/>
        </w:rPr>
        <w:t>officier chargé de l</w:t>
      </w:r>
      <w:r w:rsidR="0035332C">
        <w:rPr>
          <w:lang w:val="fr-FR"/>
        </w:rPr>
        <w:t>’</w:t>
      </w:r>
      <w:r w:rsidRPr="00310D49">
        <w:rPr>
          <w:lang w:val="fr-FR"/>
        </w:rPr>
        <w:t>exécution du mandat est tenu d</w:t>
      </w:r>
      <w:r w:rsidR="0035332C">
        <w:rPr>
          <w:lang w:val="fr-FR"/>
        </w:rPr>
        <w:t>’</w:t>
      </w:r>
      <w:r w:rsidRPr="00310D49">
        <w:rPr>
          <w:lang w:val="fr-FR"/>
        </w:rPr>
        <w:t>informer la personne qu</w:t>
      </w:r>
      <w:r w:rsidR="0035332C">
        <w:rPr>
          <w:lang w:val="fr-FR"/>
        </w:rPr>
        <w:t>’</w:t>
      </w:r>
      <w:r w:rsidRPr="00310D49">
        <w:rPr>
          <w:lang w:val="fr-FR"/>
        </w:rPr>
        <w:t>il arrête de son contenu et de lui en permettre la lecture, conformément à l</w:t>
      </w:r>
      <w:r w:rsidR="0035332C">
        <w:rPr>
          <w:lang w:val="fr-FR"/>
        </w:rPr>
        <w:t>’</w:t>
      </w:r>
      <w:r w:rsidRPr="00310D49">
        <w:rPr>
          <w:lang w:val="fr-FR"/>
        </w:rPr>
        <w:t xml:space="preserve">article 112 dudit Code. </w:t>
      </w:r>
    </w:p>
    <w:p w14:paraId="6FB62E75" w14:textId="77C070D9" w:rsidR="00D005FA" w:rsidRPr="00310D49" w:rsidRDefault="00D005FA" w:rsidP="00A90509">
      <w:pPr>
        <w:pStyle w:val="SingleTxtG"/>
        <w:spacing w:before="120"/>
        <w:rPr>
          <w:lang w:val="fr-FR"/>
        </w:rPr>
      </w:pPr>
      <w:r w:rsidRPr="00310D49">
        <w:rPr>
          <w:lang w:val="fr-FR"/>
        </w:rPr>
        <w:t>198.</w:t>
      </w:r>
      <w:r w:rsidRPr="00310D49">
        <w:rPr>
          <w:lang w:val="fr-FR"/>
        </w:rPr>
        <w:tab/>
        <w:t>Conformément aux articles 97 et 98 du Code de procédure pénale, l</w:t>
      </w:r>
      <w:r w:rsidR="0035332C">
        <w:rPr>
          <w:lang w:val="fr-FR"/>
        </w:rPr>
        <w:t>’</w:t>
      </w:r>
      <w:r w:rsidRPr="00310D49">
        <w:rPr>
          <w:lang w:val="fr-FR"/>
        </w:rPr>
        <w:t>accusé a le droit de reporter l</w:t>
      </w:r>
      <w:r w:rsidR="0035332C">
        <w:rPr>
          <w:lang w:val="fr-FR"/>
        </w:rPr>
        <w:t>’</w:t>
      </w:r>
      <w:r w:rsidRPr="00310D49">
        <w:rPr>
          <w:lang w:val="fr-FR"/>
        </w:rPr>
        <w:t>interrogatoire de vingt-quatre heures en attendant l</w:t>
      </w:r>
      <w:r w:rsidR="0035332C">
        <w:rPr>
          <w:lang w:val="fr-FR"/>
        </w:rPr>
        <w:t>’</w:t>
      </w:r>
      <w:r w:rsidRPr="00310D49">
        <w:rPr>
          <w:lang w:val="fr-FR"/>
        </w:rPr>
        <w:t>arrivée de son conseil, sauf dans les cas de flagrant délit, de nécessité, d</w:t>
      </w:r>
      <w:r w:rsidR="0035332C">
        <w:rPr>
          <w:lang w:val="fr-FR"/>
        </w:rPr>
        <w:t>’</w:t>
      </w:r>
      <w:r w:rsidRPr="00310D49">
        <w:rPr>
          <w:lang w:val="fr-FR"/>
        </w:rPr>
        <w:t>urgence ou de crainte de perdre les preuves, où le substitut du procureur est autorisé à interroger l</w:t>
      </w:r>
      <w:r w:rsidR="0035332C">
        <w:rPr>
          <w:lang w:val="fr-FR"/>
        </w:rPr>
        <w:t>’</w:t>
      </w:r>
      <w:r w:rsidRPr="00310D49">
        <w:rPr>
          <w:lang w:val="fr-FR"/>
        </w:rPr>
        <w:t>accusé avant l</w:t>
      </w:r>
      <w:r w:rsidR="0035332C">
        <w:rPr>
          <w:lang w:val="fr-FR"/>
        </w:rPr>
        <w:t>’</w:t>
      </w:r>
      <w:r w:rsidRPr="00310D49">
        <w:rPr>
          <w:lang w:val="fr-FR"/>
        </w:rPr>
        <w:t>arrivée de son conseil. Ce</w:t>
      </w:r>
      <w:r w:rsidR="00C94881">
        <w:rPr>
          <w:lang w:val="fr-FR"/>
        </w:rPr>
        <w:t> </w:t>
      </w:r>
      <w:r w:rsidRPr="00310D49">
        <w:rPr>
          <w:lang w:val="fr-FR"/>
        </w:rPr>
        <w:t xml:space="preserve">dernier </w:t>
      </w:r>
      <w:r w:rsidR="00C94881">
        <w:rPr>
          <w:lang w:val="fr-FR"/>
        </w:rPr>
        <w:t xml:space="preserve">a </w:t>
      </w:r>
      <w:r w:rsidRPr="00310D49">
        <w:rPr>
          <w:lang w:val="fr-FR"/>
        </w:rPr>
        <w:t>le droit de lire les déclarations de son client une fois l</w:t>
      </w:r>
      <w:r w:rsidR="0035332C">
        <w:rPr>
          <w:lang w:val="fr-FR"/>
        </w:rPr>
        <w:t>’</w:t>
      </w:r>
      <w:r w:rsidRPr="00310D49">
        <w:rPr>
          <w:lang w:val="fr-FR"/>
        </w:rPr>
        <w:t>interrogatoire terminé.</w:t>
      </w:r>
    </w:p>
    <w:p w14:paraId="3B213351" w14:textId="13A1537C" w:rsidR="00D005FA" w:rsidRPr="00310D49" w:rsidRDefault="00D005FA" w:rsidP="00A90509">
      <w:pPr>
        <w:pStyle w:val="SingleTxtG"/>
        <w:spacing w:before="120"/>
        <w:rPr>
          <w:lang w:val="fr-FR"/>
        </w:rPr>
      </w:pPr>
      <w:r w:rsidRPr="00310D49">
        <w:rPr>
          <w:lang w:val="fr-FR"/>
        </w:rPr>
        <w:t>199.</w:t>
      </w:r>
      <w:r w:rsidRPr="00310D49">
        <w:rPr>
          <w:lang w:val="fr-FR"/>
        </w:rPr>
        <w:tab/>
        <w:t>Les articles 3 (al</w:t>
      </w:r>
      <w:r w:rsidR="003F6A9C">
        <w:rPr>
          <w:lang w:val="fr-FR"/>
        </w:rPr>
        <w:t>. </w:t>
      </w:r>
      <w:r w:rsidRPr="00310D49">
        <w:rPr>
          <w:lang w:val="fr-FR"/>
        </w:rPr>
        <w:t xml:space="preserve">3) et 8 </w:t>
      </w:r>
      <w:r>
        <w:rPr>
          <w:lang w:val="fr-FR"/>
        </w:rPr>
        <w:t xml:space="preserve">de la </w:t>
      </w:r>
      <w:r w:rsidRPr="00310D49">
        <w:rPr>
          <w:lang w:val="fr-FR"/>
        </w:rPr>
        <w:t>loi n</w:t>
      </w:r>
      <w:r w:rsidR="003F6A9C" w:rsidRPr="003F6A9C">
        <w:rPr>
          <w:vertAlign w:val="superscript"/>
          <w:lang w:val="fr-FR"/>
        </w:rPr>
        <w:t>o</w:t>
      </w:r>
      <w:r w:rsidR="003F6A9C">
        <w:rPr>
          <w:lang w:val="fr-FR"/>
        </w:rPr>
        <w:t> </w:t>
      </w:r>
      <w:r w:rsidRPr="00310D49">
        <w:rPr>
          <w:lang w:val="fr-FR"/>
        </w:rPr>
        <w:t>7 de 1954 sur la prévention de la criminalité en vigueur en Cisjordanie et les articles</w:t>
      </w:r>
      <w:r w:rsidR="003F6A9C">
        <w:rPr>
          <w:lang w:val="fr-FR"/>
        </w:rPr>
        <w:t> </w:t>
      </w:r>
      <w:r w:rsidRPr="00310D49">
        <w:rPr>
          <w:lang w:val="fr-FR"/>
        </w:rPr>
        <w:t>3</w:t>
      </w:r>
      <w:r w:rsidR="003F6A9C">
        <w:rPr>
          <w:lang w:val="fr-FR"/>
        </w:rPr>
        <w:t> </w:t>
      </w:r>
      <w:r w:rsidRPr="00310D49">
        <w:rPr>
          <w:lang w:val="fr-FR"/>
        </w:rPr>
        <w:t>c) et 8 de la loi n</w:t>
      </w:r>
      <w:r w:rsidR="003F6A9C" w:rsidRPr="003F6A9C">
        <w:rPr>
          <w:vertAlign w:val="superscript"/>
          <w:lang w:val="fr-FR"/>
        </w:rPr>
        <w:t>o</w:t>
      </w:r>
      <w:r w:rsidR="003F6A9C">
        <w:rPr>
          <w:lang w:val="fr-FR"/>
        </w:rPr>
        <w:t> </w:t>
      </w:r>
      <w:r w:rsidRPr="00310D49">
        <w:rPr>
          <w:lang w:val="fr-FR"/>
        </w:rPr>
        <w:t>48 de 1933 sur la prévention de la criminalité en vigueur dans la bande de Gaza confèrent au l</w:t>
      </w:r>
      <w:r w:rsidR="0035332C">
        <w:rPr>
          <w:lang w:val="fr-FR"/>
        </w:rPr>
        <w:t>’</w:t>
      </w:r>
      <w:r w:rsidRPr="00310D49">
        <w:rPr>
          <w:lang w:val="fr-FR"/>
        </w:rPr>
        <w:t>Administrateur (Gouverneur) le pouvoir d</w:t>
      </w:r>
      <w:r w:rsidR="0035332C">
        <w:rPr>
          <w:lang w:val="fr-FR"/>
        </w:rPr>
        <w:t>’</w:t>
      </w:r>
      <w:r w:rsidRPr="00310D49">
        <w:rPr>
          <w:lang w:val="fr-FR"/>
        </w:rPr>
        <w:t>arrestation dans des cas particuliers afin d</w:t>
      </w:r>
      <w:r w:rsidR="0035332C">
        <w:rPr>
          <w:lang w:val="fr-FR"/>
        </w:rPr>
        <w:t>’</w:t>
      </w:r>
      <w:r w:rsidRPr="00310D49">
        <w:rPr>
          <w:lang w:val="fr-FR"/>
        </w:rPr>
        <w:t>assurer la sécurité et l</w:t>
      </w:r>
      <w:r w:rsidR="0035332C">
        <w:rPr>
          <w:lang w:val="fr-FR"/>
        </w:rPr>
        <w:t>’</w:t>
      </w:r>
      <w:r w:rsidRPr="00310D49">
        <w:rPr>
          <w:lang w:val="fr-FR"/>
        </w:rPr>
        <w:t>ordre public dans le cadre des mesures administratives. Cependant, le Gouverneur ne peut exercer ce pouvoir que dans le cas où la personne dont la liberté présente un danger pour autrui refuse de signer un acte d</w:t>
      </w:r>
      <w:r w:rsidR="0035332C">
        <w:rPr>
          <w:lang w:val="fr-FR"/>
        </w:rPr>
        <w:t>’</w:t>
      </w:r>
      <w:r w:rsidRPr="00310D49">
        <w:rPr>
          <w:lang w:val="fr-FR"/>
        </w:rPr>
        <w:t>engagement de bonne conduite, qui peut être assortie d</w:t>
      </w:r>
      <w:r w:rsidR="0035332C">
        <w:rPr>
          <w:lang w:val="fr-FR"/>
        </w:rPr>
        <w:t>’</w:t>
      </w:r>
      <w:r w:rsidRPr="00310D49">
        <w:rPr>
          <w:lang w:val="fr-FR"/>
        </w:rPr>
        <w:t>une caution. Ce pouvoir ne s</w:t>
      </w:r>
      <w:r w:rsidR="0035332C">
        <w:rPr>
          <w:lang w:val="fr-FR"/>
        </w:rPr>
        <w:t>’</w:t>
      </w:r>
      <w:r w:rsidRPr="00310D49">
        <w:rPr>
          <w:lang w:val="fr-FR"/>
        </w:rPr>
        <w:t>exerce que sur les personnes à l</w:t>
      </w:r>
      <w:r w:rsidR="0035332C">
        <w:rPr>
          <w:lang w:val="fr-FR"/>
        </w:rPr>
        <w:t>’</w:t>
      </w:r>
      <w:r w:rsidRPr="00310D49">
        <w:rPr>
          <w:lang w:val="fr-FR"/>
        </w:rPr>
        <w:t>égard desquelles il existe des motifs sérieux de croire qu</w:t>
      </w:r>
      <w:r w:rsidR="0035332C">
        <w:rPr>
          <w:lang w:val="fr-FR"/>
        </w:rPr>
        <w:t>’</w:t>
      </w:r>
      <w:r w:rsidRPr="00310D49">
        <w:rPr>
          <w:lang w:val="fr-FR"/>
        </w:rPr>
        <w:t xml:space="preserve">elles sont sur le point de commettre une infraction pénale, les voleurs réguliers ou les personnes dont la liberté sans caution présente un danger pour autrui. </w:t>
      </w:r>
    </w:p>
    <w:p w14:paraId="03BA8B2A" w14:textId="77777777" w:rsidR="00D005FA" w:rsidRPr="00310D49" w:rsidRDefault="00D005FA" w:rsidP="00A90509">
      <w:pPr>
        <w:pStyle w:val="H23G"/>
        <w:rPr>
          <w:lang w:val="fr-FR"/>
        </w:rPr>
      </w:pPr>
      <w:r w:rsidRPr="00310D49">
        <w:rPr>
          <w:lang w:val="fr-FR"/>
        </w:rPr>
        <w:lastRenderedPageBreak/>
        <w:tab/>
      </w:r>
      <w:r w:rsidRPr="00310D49">
        <w:rPr>
          <w:lang w:val="fr-FR"/>
        </w:rPr>
        <w:tab/>
        <w:t>Durée de la garde à vue et de la détention provisoire</w:t>
      </w:r>
    </w:p>
    <w:p w14:paraId="26796A7B" w14:textId="59C96A4C" w:rsidR="00D005FA" w:rsidRPr="00310D49" w:rsidRDefault="00D005FA" w:rsidP="00A90509">
      <w:pPr>
        <w:pStyle w:val="SingleTxtG"/>
        <w:spacing w:before="120"/>
        <w:rPr>
          <w:lang w:val="fr-FR"/>
        </w:rPr>
      </w:pPr>
      <w:r w:rsidRPr="00310D49">
        <w:rPr>
          <w:lang w:val="fr-FR"/>
        </w:rPr>
        <w:t>200.</w:t>
      </w:r>
      <w:r w:rsidRPr="00310D49">
        <w:rPr>
          <w:lang w:val="fr-FR"/>
        </w:rPr>
        <w:tab/>
        <w:t>Le Code de procédure pénale fait obligation à l</w:t>
      </w:r>
      <w:r w:rsidR="0035332C">
        <w:rPr>
          <w:lang w:val="fr-FR"/>
        </w:rPr>
        <w:t>’</w:t>
      </w:r>
      <w:r w:rsidRPr="00310D49">
        <w:rPr>
          <w:lang w:val="fr-FR"/>
        </w:rPr>
        <w:t xml:space="preserve">officier de police judiciaire de renvoyer dans les </w:t>
      </w:r>
      <w:r w:rsidR="003F6A9C">
        <w:rPr>
          <w:lang w:val="fr-FR"/>
        </w:rPr>
        <w:t>vingt-quatre</w:t>
      </w:r>
      <w:r w:rsidRPr="00310D49">
        <w:rPr>
          <w:lang w:val="fr-FR"/>
        </w:rPr>
        <w:t xml:space="preserve"> heures le prévenu, s</w:t>
      </w:r>
      <w:r w:rsidR="0035332C">
        <w:rPr>
          <w:lang w:val="fr-FR"/>
        </w:rPr>
        <w:t>’</w:t>
      </w:r>
      <w:r w:rsidRPr="00310D49">
        <w:rPr>
          <w:lang w:val="fr-FR"/>
        </w:rPr>
        <w:t>il n</w:t>
      </w:r>
      <w:r w:rsidR="0035332C">
        <w:rPr>
          <w:lang w:val="fr-FR"/>
        </w:rPr>
        <w:t>’</w:t>
      </w:r>
      <w:r w:rsidRPr="00310D49">
        <w:rPr>
          <w:lang w:val="fr-FR"/>
        </w:rPr>
        <w:t>a pas été mis en liberté, devant le procureur compétent. Le directeur de la maison d</w:t>
      </w:r>
      <w:r w:rsidR="0035332C">
        <w:rPr>
          <w:lang w:val="fr-FR"/>
        </w:rPr>
        <w:t>’</w:t>
      </w:r>
      <w:r w:rsidRPr="00310D49">
        <w:rPr>
          <w:lang w:val="fr-FR"/>
        </w:rPr>
        <w:t>arrêt doit alors remettre le prévenu dans les vingt-quatre heures au ministère public pour enquête. L</w:t>
      </w:r>
      <w:r w:rsidR="0035332C">
        <w:rPr>
          <w:lang w:val="fr-FR"/>
        </w:rPr>
        <w:t>’</w:t>
      </w:r>
      <w:r w:rsidRPr="00310D49">
        <w:rPr>
          <w:lang w:val="fr-FR"/>
        </w:rPr>
        <w:t xml:space="preserve">interrogatoire du prévenu doit avoir lieu dans les </w:t>
      </w:r>
      <w:r w:rsidR="003F6A9C">
        <w:rPr>
          <w:lang w:val="fr-FR"/>
        </w:rPr>
        <w:t>vingt-quatre</w:t>
      </w:r>
      <w:r w:rsidRPr="00310D49">
        <w:rPr>
          <w:lang w:val="fr-FR"/>
        </w:rPr>
        <w:t xml:space="preserve"> heures suivant son renvoi devant le procureur, qui ordonne son arrestation ou sa libération. </w:t>
      </w:r>
    </w:p>
    <w:p w14:paraId="1AF6A835" w14:textId="21E02B9D" w:rsidR="00D005FA" w:rsidRPr="00310D49" w:rsidRDefault="00D005FA" w:rsidP="00A90509">
      <w:pPr>
        <w:pStyle w:val="SingleTxtG"/>
        <w:spacing w:before="120"/>
        <w:rPr>
          <w:lang w:val="fr-FR"/>
        </w:rPr>
      </w:pPr>
      <w:r w:rsidRPr="00310D49">
        <w:rPr>
          <w:lang w:val="fr-FR"/>
        </w:rPr>
        <w:t>201.</w:t>
      </w:r>
      <w:r w:rsidRPr="00310D49">
        <w:rPr>
          <w:lang w:val="fr-FR"/>
        </w:rPr>
        <w:tab/>
        <w:t>Le procureur peut, après avoir interrogé le prévenu, le détenir pour une durée de quarante-huit heures. Le délai est prorogé par le tribunal conformément à la loi</w:t>
      </w:r>
      <w:r w:rsidR="00B02693">
        <w:rPr>
          <w:lang w:val="fr-FR"/>
        </w:rPr>
        <w:t> </w:t>
      </w:r>
      <w:r w:rsidRPr="00310D49">
        <w:rPr>
          <w:lang w:val="fr-FR"/>
        </w:rPr>
        <w:t>; autrement dit, le prévenu ne peut être détenu plus de quarante-huit heures avant qu</w:t>
      </w:r>
      <w:r w:rsidR="0035332C">
        <w:rPr>
          <w:lang w:val="fr-FR"/>
        </w:rPr>
        <w:t>’</w:t>
      </w:r>
      <w:r w:rsidRPr="00310D49">
        <w:rPr>
          <w:lang w:val="fr-FR"/>
        </w:rPr>
        <w:t xml:space="preserve">il ne soit présenté à un juge, lequel est habilité, après avoir entendu les déclarations, à prolonger sa détention pour une durée </w:t>
      </w:r>
      <w:r w:rsidRPr="003D1B0D">
        <w:rPr>
          <w:lang w:val="fr-FR"/>
        </w:rPr>
        <w:t>n</w:t>
      </w:r>
      <w:r w:rsidR="0035332C">
        <w:rPr>
          <w:lang w:val="fr-FR"/>
        </w:rPr>
        <w:t>’</w:t>
      </w:r>
      <w:r w:rsidRPr="003D1B0D">
        <w:rPr>
          <w:lang w:val="fr-FR"/>
        </w:rPr>
        <w:t>excédant pas quinze jours ou</w:t>
      </w:r>
      <w:r w:rsidRPr="00310D49">
        <w:rPr>
          <w:lang w:val="fr-FR"/>
        </w:rPr>
        <w:t xml:space="preserve"> à ordonner sa remise en liberté. Le juge peut également renouveler sa détention pour une durée maximale de quarante-cinq jours.</w:t>
      </w:r>
    </w:p>
    <w:p w14:paraId="039FC396" w14:textId="7AD654C3" w:rsidR="00D005FA" w:rsidRPr="00310D49" w:rsidRDefault="00D005FA" w:rsidP="00A90509">
      <w:pPr>
        <w:pStyle w:val="SingleTxtG"/>
        <w:spacing w:before="120"/>
        <w:rPr>
          <w:spacing w:val="-2"/>
          <w:lang w:val="fr-FR"/>
        </w:rPr>
      </w:pPr>
      <w:r w:rsidRPr="00310D49">
        <w:rPr>
          <w:lang w:val="fr-FR"/>
        </w:rPr>
        <w:t>202.</w:t>
      </w:r>
      <w:r w:rsidRPr="00310D49">
        <w:rPr>
          <w:lang w:val="fr-FR"/>
        </w:rPr>
        <w:tab/>
        <w:t>Nul ne peut être détenu pour une durée supérieure à quarante-cinq jours, à moins qu</w:t>
      </w:r>
      <w:r w:rsidR="0035332C">
        <w:rPr>
          <w:lang w:val="fr-FR"/>
        </w:rPr>
        <w:t>’</w:t>
      </w:r>
      <w:r w:rsidRPr="00310D49">
        <w:rPr>
          <w:lang w:val="fr-FR"/>
        </w:rPr>
        <w:t>une demande de détention provisoire ne soit présentée par le procureur général ou l</w:t>
      </w:r>
      <w:r w:rsidR="0035332C">
        <w:rPr>
          <w:lang w:val="fr-FR"/>
        </w:rPr>
        <w:t>’</w:t>
      </w:r>
      <w:r w:rsidRPr="00310D49">
        <w:rPr>
          <w:lang w:val="fr-FR"/>
        </w:rPr>
        <w:t>un de ses adjoints au tribunal de première instance, auquel cas la durée de la détention provisoire peut être prolongée de quarante-cinq jours supplémentaires au maximum. Le ministère public est tenu de présenter le prévenu avant l</w:t>
      </w:r>
      <w:r w:rsidR="0035332C">
        <w:rPr>
          <w:lang w:val="fr-FR"/>
        </w:rPr>
        <w:t>’</w:t>
      </w:r>
      <w:r w:rsidRPr="00310D49">
        <w:rPr>
          <w:lang w:val="fr-FR"/>
        </w:rPr>
        <w:t>expiration du délai de trois mois visé aux deux alinéas précédents à la juridiction compétente pour le juger et prolonger la durée de sa détention jusqu</w:t>
      </w:r>
      <w:r w:rsidR="0035332C">
        <w:rPr>
          <w:lang w:val="fr-FR"/>
        </w:rPr>
        <w:t>’</w:t>
      </w:r>
      <w:r w:rsidRPr="00310D49">
        <w:rPr>
          <w:lang w:val="fr-FR"/>
        </w:rPr>
        <w:t>à la fin du procès. La période de détention visée aux trois alinéas précédents ne peut en aucun cas excéder six mois à compter de la date de la mise en détention, faute de quoi le prévenu est libéré immédiatement, à moins qu</w:t>
      </w:r>
      <w:r w:rsidR="0035332C">
        <w:rPr>
          <w:lang w:val="fr-FR"/>
        </w:rPr>
        <w:t>’</w:t>
      </w:r>
      <w:r w:rsidRPr="00310D49">
        <w:rPr>
          <w:lang w:val="fr-FR"/>
        </w:rPr>
        <w:t>il ne soit déféré à la juridiction compétente pour le juger. Dans tous les cas, la détention d</w:t>
      </w:r>
      <w:r w:rsidR="0035332C">
        <w:rPr>
          <w:lang w:val="fr-FR"/>
        </w:rPr>
        <w:t>’</w:t>
      </w:r>
      <w:r w:rsidRPr="00310D49">
        <w:rPr>
          <w:lang w:val="fr-FR"/>
        </w:rPr>
        <w:t>une personne arrêtée ne peut se prolonger au</w:t>
      </w:r>
      <w:r w:rsidR="003F6A9C">
        <w:rPr>
          <w:lang w:val="fr-FR"/>
        </w:rPr>
        <w:noBreakHyphen/>
      </w:r>
      <w:r w:rsidRPr="00310D49">
        <w:rPr>
          <w:lang w:val="fr-FR"/>
        </w:rPr>
        <w:t>delà de la durée de la peine prévue pour l</w:t>
      </w:r>
      <w:r w:rsidR="0035332C">
        <w:rPr>
          <w:lang w:val="fr-FR"/>
        </w:rPr>
        <w:t>’</w:t>
      </w:r>
      <w:r w:rsidRPr="00310D49">
        <w:rPr>
          <w:lang w:val="fr-FR"/>
        </w:rPr>
        <w:t>infraction pour laquelle elle est détenue. Si le tribunal compétent acquitte l</w:t>
      </w:r>
      <w:r w:rsidR="0035332C">
        <w:rPr>
          <w:lang w:val="fr-FR"/>
        </w:rPr>
        <w:t>’</w:t>
      </w:r>
      <w:r w:rsidRPr="00310D49">
        <w:rPr>
          <w:lang w:val="fr-FR"/>
        </w:rPr>
        <w:t>accusé, celui-ci est immédiatement libéré, à moins qu</w:t>
      </w:r>
      <w:r w:rsidR="0035332C">
        <w:rPr>
          <w:lang w:val="fr-FR"/>
        </w:rPr>
        <w:t>’</w:t>
      </w:r>
      <w:r w:rsidRPr="00310D49">
        <w:rPr>
          <w:lang w:val="fr-FR"/>
        </w:rPr>
        <w:t>il ne soit détenu pour une autre raison. La période passée en détention provisoire est, le cas échéant, entièrement déduite de la peine privative de liberté prononcée.</w:t>
      </w:r>
    </w:p>
    <w:p w14:paraId="231F0C2A" w14:textId="41E50D7D" w:rsidR="00D005FA" w:rsidRPr="00310D49" w:rsidRDefault="00D005FA" w:rsidP="00A90509">
      <w:pPr>
        <w:pStyle w:val="SingleTxtG"/>
        <w:spacing w:before="120"/>
        <w:rPr>
          <w:lang w:val="fr-FR"/>
        </w:rPr>
      </w:pPr>
      <w:r w:rsidRPr="00310D49">
        <w:rPr>
          <w:lang w:val="fr-FR"/>
        </w:rPr>
        <w:t>203.</w:t>
      </w:r>
      <w:r w:rsidRPr="00310D49">
        <w:rPr>
          <w:lang w:val="fr-FR"/>
        </w:rPr>
        <w:tab/>
        <w:t>Bien que le Code de procédure pénale réglemente la question de la détention provisoire, les mesures et garanties sont subordonnées au pouvoir discrétionnaire du juge, d</w:t>
      </w:r>
      <w:r w:rsidR="0035332C">
        <w:rPr>
          <w:lang w:val="fr-FR"/>
        </w:rPr>
        <w:t>’</w:t>
      </w:r>
      <w:r w:rsidRPr="00310D49">
        <w:rPr>
          <w:lang w:val="fr-FR"/>
        </w:rPr>
        <w:t>autant plus que celui-ci peut décider de prolonger la détention après avoir entendu les déclarations du ministère public et du prévenu, ce qui peut parfois conduire à une prolongation de la période de détention. Par ailleurs, ledit Code ne fixe pas de délai pour le déroulement du procès, mais exige que le procès commence dans les six mois suivant la date de mise en détention, ce qui explique l</w:t>
      </w:r>
      <w:r w:rsidR="0035332C">
        <w:rPr>
          <w:lang w:val="fr-FR"/>
        </w:rPr>
        <w:t>’</w:t>
      </w:r>
      <w:r w:rsidRPr="00310D49">
        <w:rPr>
          <w:lang w:val="fr-FR"/>
        </w:rPr>
        <w:t>augmentation du nombre de détenus pendant la procédure de jugement.</w:t>
      </w:r>
    </w:p>
    <w:p w14:paraId="79226359" w14:textId="68E2C6EC" w:rsidR="00D005FA" w:rsidRPr="00310D49" w:rsidRDefault="00D005FA" w:rsidP="00A90509">
      <w:pPr>
        <w:pStyle w:val="SingleTxtG"/>
        <w:spacing w:before="120"/>
        <w:rPr>
          <w:lang w:val="fr-FR"/>
        </w:rPr>
      </w:pPr>
      <w:r w:rsidRPr="00310D49">
        <w:rPr>
          <w:lang w:val="fr-FR"/>
        </w:rPr>
        <w:t>204.</w:t>
      </w:r>
      <w:r w:rsidRPr="00310D49">
        <w:rPr>
          <w:lang w:val="fr-FR"/>
        </w:rPr>
        <w:tab/>
        <w:t>Le tableau ci-après montre l</w:t>
      </w:r>
      <w:r w:rsidR="0035332C">
        <w:rPr>
          <w:lang w:val="fr-FR"/>
        </w:rPr>
        <w:t>’</w:t>
      </w:r>
      <w:r w:rsidRPr="00310D49">
        <w:rPr>
          <w:lang w:val="fr-FR"/>
        </w:rPr>
        <w:t>évolution du nombre de prévenus et de condamnés détenus dans les établissement pénitentiaires soumis à la loi sur les établissements pénitentiaires, selon les données statistiques du Ministère de l</w:t>
      </w:r>
      <w:r w:rsidR="0035332C">
        <w:rPr>
          <w:lang w:val="fr-FR"/>
        </w:rPr>
        <w:t>’</w:t>
      </w:r>
      <w:r w:rsidRPr="00310D49">
        <w:rPr>
          <w:lang w:val="fr-FR"/>
        </w:rPr>
        <w:t>intérieur.</w:t>
      </w:r>
    </w:p>
    <w:p w14:paraId="374A4119" w14:textId="2B04AA1B" w:rsidR="00D005FA" w:rsidRDefault="00D005FA" w:rsidP="00A90509">
      <w:pPr>
        <w:pStyle w:val="H23G"/>
        <w:rPr>
          <w:lang w:val="fr-FR"/>
        </w:rPr>
      </w:pPr>
      <w:r w:rsidRPr="00310D49">
        <w:rPr>
          <w:lang w:val="fr-FR"/>
        </w:rPr>
        <w:tab/>
      </w:r>
      <w:r w:rsidRPr="00310D49">
        <w:rPr>
          <w:lang w:val="fr-FR"/>
        </w:rPr>
        <w:tab/>
        <w:t>Statistiques relatives au nombre de prévenus détenus dans les établissements pénitentiaires (2014-2017)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276"/>
        <w:gridCol w:w="709"/>
        <w:gridCol w:w="709"/>
        <w:gridCol w:w="850"/>
        <w:gridCol w:w="709"/>
        <w:gridCol w:w="850"/>
        <w:gridCol w:w="709"/>
        <w:gridCol w:w="709"/>
        <w:gridCol w:w="849"/>
      </w:tblGrid>
      <w:tr w:rsidR="00A90509" w:rsidRPr="00A90509" w14:paraId="04596E21" w14:textId="77777777" w:rsidTr="00A9247C">
        <w:trPr>
          <w:tblHeader/>
        </w:trPr>
        <w:tc>
          <w:tcPr>
            <w:tcW w:w="1276" w:type="dxa"/>
            <w:tcBorders>
              <w:top w:val="single" w:sz="4" w:space="0" w:color="auto"/>
            </w:tcBorders>
            <w:shd w:val="clear" w:color="auto" w:fill="auto"/>
            <w:vAlign w:val="bottom"/>
          </w:tcPr>
          <w:p w14:paraId="37F15EC4" w14:textId="5F54D9CA" w:rsidR="00A90509" w:rsidRPr="00A90509" w:rsidRDefault="00A90509" w:rsidP="00A90509">
            <w:pPr>
              <w:spacing w:before="80" w:after="80" w:line="200" w:lineRule="exact"/>
              <w:rPr>
                <w:i/>
                <w:sz w:val="16"/>
              </w:rPr>
            </w:pPr>
          </w:p>
        </w:tc>
        <w:tc>
          <w:tcPr>
            <w:tcW w:w="1418" w:type="dxa"/>
            <w:gridSpan w:val="2"/>
            <w:tcBorders>
              <w:top w:val="single" w:sz="4" w:space="0" w:color="auto"/>
              <w:bottom w:val="single" w:sz="4" w:space="0" w:color="auto"/>
            </w:tcBorders>
            <w:shd w:val="clear" w:color="auto" w:fill="auto"/>
            <w:vAlign w:val="bottom"/>
          </w:tcPr>
          <w:p w14:paraId="7DE0E4E2" w14:textId="5CE5C4BF" w:rsidR="00A90509" w:rsidRPr="00A90509" w:rsidRDefault="00A90509" w:rsidP="00A90509">
            <w:pPr>
              <w:spacing w:before="80" w:after="80" w:line="200" w:lineRule="exact"/>
              <w:jc w:val="center"/>
              <w:rPr>
                <w:i/>
                <w:sz w:val="16"/>
              </w:rPr>
            </w:pPr>
            <w:r>
              <w:rPr>
                <w:i/>
                <w:sz w:val="16"/>
              </w:rPr>
              <w:t>2014</w:t>
            </w:r>
          </w:p>
        </w:tc>
        <w:tc>
          <w:tcPr>
            <w:tcW w:w="1559" w:type="dxa"/>
            <w:gridSpan w:val="2"/>
            <w:tcBorders>
              <w:top w:val="single" w:sz="4" w:space="0" w:color="auto"/>
              <w:bottom w:val="single" w:sz="4" w:space="0" w:color="auto"/>
            </w:tcBorders>
            <w:shd w:val="clear" w:color="auto" w:fill="auto"/>
            <w:vAlign w:val="bottom"/>
          </w:tcPr>
          <w:p w14:paraId="66F4EEF2" w14:textId="16B23337" w:rsidR="00A90509" w:rsidRPr="00A90509" w:rsidRDefault="00A90509" w:rsidP="00A90509">
            <w:pPr>
              <w:spacing w:before="80" w:after="80" w:line="200" w:lineRule="exact"/>
              <w:jc w:val="center"/>
              <w:rPr>
                <w:i/>
                <w:sz w:val="16"/>
              </w:rPr>
            </w:pPr>
            <w:r>
              <w:rPr>
                <w:i/>
                <w:sz w:val="16"/>
              </w:rPr>
              <w:t>2015</w:t>
            </w:r>
          </w:p>
        </w:tc>
        <w:tc>
          <w:tcPr>
            <w:tcW w:w="1559" w:type="dxa"/>
            <w:gridSpan w:val="2"/>
            <w:tcBorders>
              <w:top w:val="single" w:sz="4" w:space="0" w:color="auto"/>
              <w:bottom w:val="single" w:sz="4" w:space="0" w:color="auto"/>
            </w:tcBorders>
            <w:shd w:val="clear" w:color="auto" w:fill="auto"/>
            <w:vAlign w:val="bottom"/>
          </w:tcPr>
          <w:p w14:paraId="03C1345D" w14:textId="549E5D01" w:rsidR="00A90509" w:rsidRPr="00A90509" w:rsidRDefault="00A90509" w:rsidP="00A90509">
            <w:pPr>
              <w:spacing w:before="80" w:after="80" w:line="200" w:lineRule="exact"/>
              <w:jc w:val="center"/>
              <w:rPr>
                <w:i/>
                <w:sz w:val="16"/>
              </w:rPr>
            </w:pPr>
            <w:r>
              <w:rPr>
                <w:i/>
                <w:sz w:val="16"/>
              </w:rPr>
              <w:t>2016</w:t>
            </w:r>
          </w:p>
        </w:tc>
        <w:tc>
          <w:tcPr>
            <w:tcW w:w="1558" w:type="dxa"/>
            <w:gridSpan w:val="2"/>
            <w:tcBorders>
              <w:top w:val="single" w:sz="4" w:space="0" w:color="auto"/>
              <w:bottom w:val="single" w:sz="4" w:space="0" w:color="auto"/>
            </w:tcBorders>
            <w:shd w:val="clear" w:color="auto" w:fill="auto"/>
            <w:vAlign w:val="bottom"/>
          </w:tcPr>
          <w:p w14:paraId="4C08B01F" w14:textId="2CACAFA7" w:rsidR="00A90509" w:rsidRPr="00A90509" w:rsidRDefault="00A90509" w:rsidP="00A90509">
            <w:pPr>
              <w:spacing w:before="80" w:after="80" w:line="200" w:lineRule="exact"/>
              <w:jc w:val="center"/>
              <w:rPr>
                <w:i/>
                <w:sz w:val="16"/>
              </w:rPr>
            </w:pPr>
            <w:r>
              <w:rPr>
                <w:i/>
                <w:sz w:val="16"/>
              </w:rPr>
              <w:t>2017</w:t>
            </w:r>
          </w:p>
        </w:tc>
      </w:tr>
      <w:tr w:rsidR="00FF5D90" w:rsidRPr="00A90509" w14:paraId="580D01DA" w14:textId="77777777" w:rsidTr="00A9247C">
        <w:tc>
          <w:tcPr>
            <w:tcW w:w="1276" w:type="dxa"/>
            <w:tcBorders>
              <w:bottom w:val="single" w:sz="12" w:space="0" w:color="auto"/>
            </w:tcBorders>
            <w:shd w:val="clear" w:color="auto" w:fill="auto"/>
            <w:vAlign w:val="bottom"/>
          </w:tcPr>
          <w:p w14:paraId="75E2ABCC" w14:textId="5534011C" w:rsidR="00A90509" w:rsidRPr="00A90509" w:rsidRDefault="00A90509" w:rsidP="00A90509">
            <w:pPr>
              <w:spacing w:before="40" w:after="40" w:line="220" w:lineRule="exact"/>
              <w:rPr>
                <w:sz w:val="18"/>
              </w:rPr>
            </w:pPr>
            <w:r>
              <w:rPr>
                <w:i/>
                <w:sz w:val="16"/>
              </w:rPr>
              <w:t>Centre</w:t>
            </w:r>
          </w:p>
        </w:tc>
        <w:tc>
          <w:tcPr>
            <w:tcW w:w="709" w:type="dxa"/>
            <w:tcBorders>
              <w:top w:val="single" w:sz="4" w:space="0" w:color="auto"/>
              <w:bottom w:val="single" w:sz="12" w:space="0" w:color="auto"/>
            </w:tcBorders>
            <w:shd w:val="clear" w:color="auto" w:fill="auto"/>
            <w:vAlign w:val="bottom"/>
          </w:tcPr>
          <w:p w14:paraId="13E599B6" w14:textId="3754C4AD" w:rsidR="00A90509" w:rsidRPr="00A90509" w:rsidRDefault="00A90509" w:rsidP="00DC7360">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6A46A478" w14:textId="366C3338" w:rsidR="00A90509" w:rsidRPr="00A90509" w:rsidRDefault="00A90509" w:rsidP="00DC7360">
            <w:pPr>
              <w:spacing w:before="80" w:after="80" w:line="200" w:lineRule="exact"/>
              <w:jc w:val="right"/>
              <w:rPr>
                <w:i/>
                <w:sz w:val="16"/>
              </w:rPr>
            </w:pPr>
            <w:r w:rsidRPr="00A90509">
              <w:rPr>
                <w:i/>
                <w:sz w:val="16"/>
              </w:rPr>
              <w:t>Femmes</w:t>
            </w:r>
          </w:p>
        </w:tc>
        <w:tc>
          <w:tcPr>
            <w:tcW w:w="850" w:type="dxa"/>
            <w:tcBorders>
              <w:top w:val="single" w:sz="4" w:space="0" w:color="auto"/>
              <w:bottom w:val="single" w:sz="12" w:space="0" w:color="auto"/>
            </w:tcBorders>
            <w:shd w:val="clear" w:color="auto" w:fill="auto"/>
            <w:vAlign w:val="bottom"/>
          </w:tcPr>
          <w:p w14:paraId="33208921" w14:textId="296A01CD" w:rsidR="00A90509" w:rsidRPr="00A90509" w:rsidRDefault="00A90509" w:rsidP="00DC7360">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0239824C" w14:textId="732D599A" w:rsidR="00A90509" w:rsidRPr="00A90509" w:rsidRDefault="00A90509" w:rsidP="00DC7360">
            <w:pPr>
              <w:spacing w:before="80" w:after="80" w:line="200" w:lineRule="exact"/>
              <w:jc w:val="right"/>
              <w:rPr>
                <w:i/>
                <w:sz w:val="16"/>
              </w:rPr>
            </w:pPr>
            <w:r w:rsidRPr="00A90509">
              <w:rPr>
                <w:i/>
                <w:sz w:val="16"/>
              </w:rPr>
              <w:t>Femmes</w:t>
            </w:r>
          </w:p>
        </w:tc>
        <w:tc>
          <w:tcPr>
            <w:tcW w:w="850" w:type="dxa"/>
            <w:tcBorders>
              <w:top w:val="single" w:sz="4" w:space="0" w:color="auto"/>
              <w:bottom w:val="single" w:sz="12" w:space="0" w:color="auto"/>
            </w:tcBorders>
            <w:shd w:val="clear" w:color="auto" w:fill="auto"/>
            <w:vAlign w:val="bottom"/>
          </w:tcPr>
          <w:p w14:paraId="73483FC6" w14:textId="560F0A1D" w:rsidR="00A90509" w:rsidRPr="00A90509" w:rsidRDefault="00A90509" w:rsidP="00DC7360">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35C3888B" w14:textId="0210FFFF" w:rsidR="00A90509" w:rsidRPr="00A90509" w:rsidRDefault="00A90509" w:rsidP="00DC7360">
            <w:pPr>
              <w:spacing w:before="80" w:after="80" w:line="200" w:lineRule="exact"/>
              <w:jc w:val="right"/>
              <w:rPr>
                <w:i/>
                <w:sz w:val="16"/>
              </w:rPr>
            </w:pPr>
            <w:r w:rsidRPr="00A90509">
              <w:rPr>
                <w:i/>
                <w:sz w:val="16"/>
              </w:rPr>
              <w:t>Femmes</w:t>
            </w:r>
          </w:p>
        </w:tc>
        <w:tc>
          <w:tcPr>
            <w:tcW w:w="709" w:type="dxa"/>
            <w:tcBorders>
              <w:top w:val="single" w:sz="4" w:space="0" w:color="auto"/>
              <w:bottom w:val="single" w:sz="12" w:space="0" w:color="auto"/>
            </w:tcBorders>
            <w:shd w:val="clear" w:color="auto" w:fill="auto"/>
            <w:vAlign w:val="bottom"/>
          </w:tcPr>
          <w:p w14:paraId="2959FF69" w14:textId="0BF17B8A" w:rsidR="00A90509" w:rsidRPr="00A90509" w:rsidRDefault="00A90509" w:rsidP="00DC7360">
            <w:pPr>
              <w:spacing w:before="80" w:after="80" w:line="200" w:lineRule="exact"/>
              <w:jc w:val="right"/>
              <w:rPr>
                <w:i/>
                <w:sz w:val="16"/>
              </w:rPr>
            </w:pPr>
            <w:r w:rsidRPr="00A90509">
              <w:rPr>
                <w:i/>
                <w:sz w:val="16"/>
              </w:rPr>
              <w:t>Hommes</w:t>
            </w:r>
          </w:p>
        </w:tc>
        <w:tc>
          <w:tcPr>
            <w:tcW w:w="849" w:type="dxa"/>
            <w:tcBorders>
              <w:top w:val="single" w:sz="4" w:space="0" w:color="auto"/>
              <w:bottom w:val="single" w:sz="12" w:space="0" w:color="auto"/>
            </w:tcBorders>
            <w:shd w:val="clear" w:color="auto" w:fill="auto"/>
            <w:vAlign w:val="bottom"/>
          </w:tcPr>
          <w:p w14:paraId="7CA81A7C" w14:textId="113D8DE3" w:rsidR="00A90509" w:rsidRPr="00A90509" w:rsidRDefault="00A90509" w:rsidP="00DC7360">
            <w:pPr>
              <w:spacing w:before="80" w:after="80" w:line="200" w:lineRule="exact"/>
              <w:jc w:val="right"/>
              <w:rPr>
                <w:i/>
                <w:sz w:val="16"/>
              </w:rPr>
            </w:pPr>
            <w:r w:rsidRPr="00A90509">
              <w:rPr>
                <w:i/>
                <w:sz w:val="16"/>
              </w:rPr>
              <w:t>Femmes</w:t>
            </w:r>
          </w:p>
        </w:tc>
      </w:tr>
      <w:tr w:rsidR="00FF5D90" w:rsidRPr="00A90509" w14:paraId="09E89F7E" w14:textId="77777777" w:rsidTr="00A9247C">
        <w:tc>
          <w:tcPr>
            <w:tcW w:w="1276" w:type="dxa"/>
            <w:tcBorders>
              <w:top w:val="single" w:sz="12" w:space="0" w:color="auto"/>
            </w:tcBorders>
            <w:shd w:val="clear" w:color="auto" w:fill="auto"/>
            <w:vAlign w:val="bottom"/>
          </w:tcPr>
          <w:p w14:paraId="060CFD50" w14:textId="6C5D13B7" w:rsidR="00A90509" w:rsidRPr="00A90509" w:rsidRDefault="00A90509" w:rsidP="00A90509">
            <w:pPr>
              <w:spacing w:before="40" w:after="40" w:line="220" w:lineRule="exact"/>
              <w:rPr>
                <w:sz w:val="18"/>
              </w:rPr>
            </w:pPr>
            <w:r w:rsidRPr="00A90509">
              <w:rPr>
                <w:sz w:val="18"/>
                <w:lang w:val="fr-FR"/>
              </w:rPr>
              <w:t>Bethléem</w:t>
            </w:r>
          </w:p>
        </w:tc>
        <w:tc>
          <w:tcPr>
            <w:tcW w:w="709" w:type="dxa"/>
            <w:tcBorders>
              <w:top w:val="single" w:sz="12" w:space="0" w:color="auto"/>
            </w:tcBorders>
            <w:shd w:val="clear" w:color="auto" w:fill="auto"/>
            <w:vAlign w:val="bottom"/>
          </w:tcPr>
          <w:p w14:paraId="3B5E95DE" w14:textId="62312EA3" w:rsidR="00A90509" w:rsidRPr="00A90509" w:rsidRDefault="00FF5D90" w:rsidP="00A90509">
            <w:pPr>
              <w:spacing w:before="40" w:after="40" w:line="220" w:lineRule="exact"/>
              <w:jc w:val="right"/>
              <w:rPr>
                <w:sz w:val="18"/>
              </w:rPr>
            </w:pPr>
            <w:r>
              <w:rPr>
                <w:sz w:val="18"/>
              </w:rPr>
              <w:t>1 011</w:t>
            </w:r>
          </w:p>
        </w:tc>
        <w:tc>
          <w:tcPr>
            <w:tcW w:w="709" w:type="dxa"/>
            <w:tcBorders>
              <w:top w:val="single" w:sz="12" w:space="0" w:color="auto"/>
            </w:tcBorders>
            <w:shd w:val="clear" w:color="auto" w:fill="auto"/>
            <w:vAlign w:val="bottom"/>
          </w:tcPr>
          <w:p w14:paraId="36A83B24" w14:textId="3C34F70C" w:rsidR="00A90509" w:rsidRPr="00A90509" w:rsidRDefault="00FF5D90" w:rsidP="00A90509">
            <w:pPr>
              <w:spacing w:before="40" w:after="40" w:line="220" w:lineRule="exact"/>
              <w:jc w:val="right"/>
              <w:rPr>
                <w:sz w:val="18"/>
              </w:rPr>
            </w:pPr>
            <w:r>
              <w:rPr>
                <w:sz w:val="18"/>
              </w:rPr>
              <w:t>50</w:t>
            </w:r>
          </w:p>
        </w:tc>
        <w:tc>
          <w:tcPr>
            <w:tcW w:w="850" w:type="dxa"/>
            <w:tcBorders>
              <w:top w:val="single" w:sz="12" w:space="0" w:color="auto"/>
            </w:tcBorders>
            <w:shd w:val="clear" w:color="auto" w:fill="auto"/>
            <w:vAlign w:val="bottom"/>
          </w:tcPr>
          <w:p w14:paraId="6EF1B795" w14:textId="25B1C0E7" w:rsidR="00A90509" w:rsidRPr="00A90509" w:rsidRDefault="00FF5D90" w:rsidP="00A90509">
            <w:pPr>
              <w:spacing w:before="40" w:after="40" w:line="220" w:lineRule="exact"/>
              <w:jc w:val="right"/>
              <w:rPr>
                <w:sz w:val="18"/>
              </w:rPr>
            </w:pPr>
            <w:r>
              <w:rPr>
                <w:sz w:val="18"/>
              </w:rPr>
              <w:t>1 034</w:t>
            </w:r>
          </w:p>
        </w:tc>
        <w:tc>
          <w:tcPr>
            <w:tcW w:w="709" w:type="dxa"/>
            <w:tcBorders>
              <w:top w:val="single" w:sz="12" w:space="0" w:color="auto"/>
            </w:tcBorders>
            <w:shd w:val="clear" w:color="auto" w:fill="auto"/>
            <w:vAlign w:val="bottom"/>
          </w:tcPr>
          <w:p w14:paraId="4A1CB15C" w14:textId="1A33E138" w:rsidR="00A90509" w:rsidRPr="00A90509" w:rsidRDefault="00FF5D90" w:rsidP="00A90509">
            <w:pPr>
              <w:spacing w:before="40" w:after="40" w:line="220" w:lineRule="exact"/>
              <w:jc w:val="right"/>
              <w:rPr>
                <w:sz w:val="18"/>
              </w:rPr>
            </w:pPr>
            <w:r>
              <w:rPr>
                <w:sz w:val="18"/>
              </w:rPr>
              <w:t>43</w:t>
            </w:r>
          </w:p>
        </w:tc>
        <w:tc>
          <w:tcPr>
            <w:tcW w:w="850" w:type="dxa"/>
            <w:tcBorders>
              <w:top w:val="single" w:sz="12" w:space="0" w:color="auto"/>
            </w:tcBorders>
            <w:shd w:val="clear" w:color="auto" w:fill="auto"/>
            <w:vAlign w:val="bottom"/>
          </w:tcPr>
          <w:p w14:paraId="49CCF55B" w14:textId="751617DE" w:rsidR="00A90509" w:rsidRPr="00A90509" w:rsidRDefault="00FF5D90" w:rsidP="00A90509">
            <w:pPr>
              <w:spacing w:before="40" w:after="40" w:line="220" w:lineRule="exact"/>
              <w:jc w:val="right"/>
              <w:rPr>
                <w:sz w:val="18"/>
              </w:rPr>
            </w:pPr>
            <w:r>
              <w:rPr>
                <w:sz w:val="18"/>
              </w:rPr>
              <w:t>1 001</w:t>
            </w:r>
          </w:p>
        </w:tc>
        <w:tc>
          <w:tcPr>
            <w:tcW w:w="709" w:type="dxa"/>
            <w:tcBorders>
              <w:top w:val="single" w:sz="12" w:space="0" w:color="auto"/>
            </w:tcBorders>
            <w:shd w:val="clear" w:color="auto" w:fill="auto"/>
            <w:vAlign w:val="bottom"/>
          </w:tcPr>
          <w:p w14:paraId="56ED8337" w14:textId="3CEBFC99" w:rsidR="00A90509" w:rsidRPr="00A90509" w:rsidRDefault="00FF5D90" w:rsidP="00A90509">
            <w:pPr>
              <w:spacing w:before="40" w:after="40" w:line="220" w:lineRule="exact"/>
              <w:jc w:val="right"/>
              <w:rPr>
                <w:sz w:val="18"/>
              </w:rPr>
            </w:pPr>
            <w:r>
              <w:rPr>
                <w:sz w:val="18"/>
              </w:rPr>
              <w:t>49</w:t>
            </w:r>
          </w:p>
        </w:tc>
        <w:tc>
          <w:tcPr>
            <w:tcW w:w="709" w:type="dxa"/>
            <w:tcBorders>
              <w:top w:val="single" w:sz="12" w:space="0" w:color="auto"/>
            </w:tcBorders>
            <w:shd w:val="clear" w:color="auto" w:fill="auto"/>
            <w:vAlign w:val="bottom"/>
          </w:tcPr>
          <w:p w14:paraId="70CFC90B" w14:textId="5A9F71A4" w:rsidR="00A90509" w:rsidRPr="00A90509" w:rsidRDefault="00FF5D90" w:rsidP="00A90509">
            <w:pPr>
              <w:spacing w:before="40" w:after="40" w:line="220" w:lineRule="exact"/>
              <w:jc w:val="right"/>
              <w:rPr>
                <w:sz w:val="18"/>
              </w:rPr>
            </w:pPr>
            <w:r>
              <w:rPr>
                <w:sz w:val="18"/>
              </w:rPr>
              <w:t>683</w:t>
            </w:r>
          </w:p>
        </w:tc>
        <w:tc>
          <w:tcPr>
            <w:tcW w:w="849" w:type="dxa"/>
            <w:tcBorders>
              <w:top w:val="single" w:sz="12" w:space="0" w:color="auto"/>
            </w:tcBorders>
            <w:shd w:val="clear" w:color="auto" w:fill="auto"/>
            <w:vAlign w:val="bottom"/>
          </w:tcPr>
          <w:p w14:paraId="6E6092B2" w14:textId="6A4F0B7F" w:rsidR="00A90509" w:rsidRPr="00A90509" w:rsidRDefault="00FF5D90" w:rsidP="00A90509">
            <w:pPr>
              <w:spacing w:before="40" w:after="40" w:line="220" w:lineRule="exact"/>
              <w:jc w:val="right"/>
              <w:rPr>
                <w:sz w:val="18"/>
              </w:rPr>
            </w:pPr>
            <w:r>
              <w:rPr>
                <w:sz w:val="18"/>
              </w:rPr>
              <w:t>38</w:t>
            </w:r>
          </w:p>
        </w:tc>
      </w:tr>
      <w:tr w:rsidR="00FF5D90" w:rsidRPr="00A90509" w14:paraId="75C25873" w14:textId="77777777" w:rsidTr="00DC7360">
        <w:tc>
          <w:tcPr>
            <w:tcW w:w="1276" w:type="dxa"/>
            <w:shd w:val="clear" w:color="auto" w:fill="auto"/>
            <w:vAlign w:val="bottom"/>
          </w:tcPr>
          <w:p w14:paraId="3C3B5CBF" w14:textId="4F6528B7" w:rsidR="00A90509" w:rsidRPr="00A90509" w:rsidRDefault="00A90509" w:rsidP="00A90509">
            <w:pPr>
              <w:spacing w:before="40" w:after="40" w:line="220" w:lineRule="exact"/>
              <w:rPr>
                <w:sz w:val="18"/>
              </w:rPr>
            </w:pPr>
            <w:r w:rsidRPr="00A90509">
              <w:rPr>
                <w:sz w:val="18"/>
                <w:lang w:val="fr-FR"/>
              </w:rPr>
              <w:t>Jénine</w:t>
            </w:r>
          </w:p>
        </w:tc>
        <w:tc>
          <w:tcPr>
            <w:tcW w:w="709" w:type="dxa"/>
            <w:shd w:val="clear" w:color="auto" w:fill="auto"/>
            <w:vAlign w:val="bottom"/>
          </w:tcPr>
          <w:p w14:paraId="4C61D929" w14:textId="7BD02926" w:rsidR="00A90509" w:rsidRPr="00A90509" w:rsidRDefault="00FF5D90" w:rsidP="00A90509">
            <w:pPr>
              <w:spacing w:before="40" w:after="40" w:line="220" w:lineRule="exact"/>
              <w:jc w:val="right"/>
              <w:rPr>
                <w:sz w:val="18"/>
              </w:rPr>
            </w:pPr>
            <w:r>
              <w:rPr>
                <w:sz w:val="18"/>
              </w:rPr>
              <w:t>2 526</w:t>
            </w:r>
          </w:p>
        </w:tc>
        <w:tc>
          <w:tcPr>
            <w:tcW w:w="709" w:type="dxa"/>
            <w:shd w:val="clear" w:color="auto" w:fill="auto"/>
            <w:vAlign w:val="bottom"/>
          </w:tcPr>
          <w:p w14:paraId="60D4E890" w14:textId="31C8472F" w:rsidR="00A90509" w:rsidRPr="00A90509" w:rsidRDefault="00FF5D90" w:rsidP="00A90509">
            <w:pPr>
              <w:spacing w:before="40" w:after="40" w:line="220" w:lineRule="exact"/>
              <w:jc w:val="right"/>
              <w:rPr>
                <w:sz w:val="18"/>
              </w:rPr>
            </w:pPr>
            <w:r>
              <w:rPr>
                <w:sz w:val="18"/>
              </w:rPr>
              <w:t>75</w:t>
            </w:r>
          </w:p>
        </w:tc>
        <w:tc>
          <w:tcPr>
            <w:tcW w:w="850" w:type="dxa"/>
            <w:shd w:val="clear" w:color="auto" w:fill="auto"/>
            <w:vAlign w:val="bottom"/>
          </w:tcPr>
          <w:p w14:paraId="62EAC104" w14:textId="517BF158" w:rsidR="00A90509" w:rsidRPr="00A90509" w:rsidRDefault="00FF5D90" w:rsidP="00A90509">
            <w:pPr>
              <w:spacing w:before="40" w:after="40" w:line="220" w:lineRule="exact"/>
              <w:jc w:val="right"/>
              <w:rPr>
                <w:sz w:val="18"/>
              </w:rPr>
            </w:pPr>
            <w:r>
              <w:rPr>
                <w:sz w:val="18"/>
              </w:rPr>
              <w:t>2 226</w:t>
            </w:r>
          </w:p>
        </w:tc>
        <w:tc>
          <w:tcPr>
            <w:tcW w:w="709" w:type="dxa"/>
            <w:shd w:val="clear" w:color="auto" w:fill="auto"/>
            <w:vAlign w:val="bottom"/>
          </w:tcPr>
          <w:p w14:paraId="62FB9516" w14:textId="1B59B331" w:rsidR="00A90509" w:rsidRPr="00A90509" w:rsidRDefault="00FF5D90" w:rsidP="00A90509">
            <w:pPr>
              <w:spacing w:before="40" w:after="40" w:line="220" w:lineRule="exact"/>
              <w:jc w:val="right"/>
              <w:rPr>
                <w:sz w:val="18"/>
              </w:rPr>
            </w:pPr>
            <w:r>
              <w:rPr>
                <w:sz w:val="18"/>
              </w:rPr>
              <w:t>71</w:t>
            </w:r>
          </w:p>
        </w:tc>
        <w:tc>
          <w:tcPr>
            <w:tcW w:w="850" w:type="dxa"/>
            <w:shd w:val="clear" w:color="auto" w:fill="auto"/>
            <w:vAlign w:val="bottom"/>
          </w:tcPr>
          <w:p w14:paraId="689356A4" w14:textId="3478B478" w:rsidR="00A90509" w:rsidRPr="00A90509" w:rsidRDefault="00FF5D90" w:rsidP="00A90509">
            <w:pPr>
              <w:spacing w:before="40" w:after="40" w:line="220" w:lineRule="exact"/>
              <w:jc w:val="right"/>
              <w:rPr>
                <w:sz w:val="18"/>
              </w:rPr>
            </w:pPr>
            <w:r>
              <w:rPr>
                <w:sz w:val="18"/>
              </w:rPr>
              <w:t>1 590</w:t>
            </w:r>
          </w:p>
        </w:tc>
        <w:tc>
          <w:tcPr>
            <w:tcW w:w="709" w:type="dxa"/>
            <w:shd w:val="clear" w:color="auto" w:fill="auto"/>
            <w:vAlign w:val="bottom"/>
          </w:tcPr>
          <w:p w14:paraId="776FAFC3" w14:textId="23FCEFFB" w:rsidR="00A90509" w:rsidRPr="00A90509" w:rsidRDefault="00FF5D90" w:rsidP="00A90509">
            <w:pPr>
              <w:spacing w:before="40" w:after="40" w:line="220" w:lineRule="exact"/>
              <w:jc w:val="right"/>
              <w:rPr>
                <w:sz w:val="18"/>
              </w:rPr>
            </w:pPr>
            <w:r>
              <w:rPr>
                <w:sz w:val="18"/>
              </w:rPr>
              <w:t>60</w:t>
            </w:r>
          </w:p>
        </w:tc>
        <w:tc>
          <w:tcPr>
            <w:tcW w:w="709" w:type="dxa"/>
            <w:shd w:val="clear" w:color="auto" w:fill="auto"/>
            <w:vAlign w:val="bottom"/>
          </w:tcPr>
          <w:p w14:paraId="12B6B20C" w14:textId="36827008" w:rsidR="00A90509" w:rsidRPr="00A90509" w:rsidRDefault="00FF5D90" w:rsidP="00A90509">
            <w:pPr>
              <w:spacing w:before="40" w:after="40" w:line="220" w:lineRule="exact"/>
              <w:jc w:val="right"/>
              <w:rPr>
                <w:sz w:val="18"/>
              </w:rPr>
            </w:pPr>
            <w:r>
              <w:rPr>
                <w:sz w:val="18"/>
              </w:rPr>
              <w:t>1 210</w:t>
            </w:r>
          </w:p>
        </w:tc>
        <w:tc>
          <w:tcPr>
            <w:tcW w:w="849" w:type="dxa"/>
            <w:shd w:val="clear" w:color="auto" w:fill="auto"/>
            <w:vAlign w:val="bottom"/>
          </w:tcPr>
          <w:p w14:paraId="05D9208C" w14:textId="2F92CCA3" w:rsidR="00A90509" w:rsidRPr="00A90509" w:rsidRDefault="00FF5D90" w:rsidP="00A90509">
            <w:pPr>
              <w:spacing w:before="40" w:after="40" w:line="220" w:lineRule="exact"/>
              <w:jc w:val="right"/>
              <w:rPr>
                <w:sz w:val="18"/>
              </w:rPr>
            </w:pPr>
            <w:r>
              <w:rPr>
                <w:sz w:val="18"/>
              </w:rPr>
              <w:t>98</w:t>
            </w:r>
          </w:p>
        </w:tc>
      </w:tr>
      <w:tr w:rsidR="00FF5D90" w:rsidRPr="00A90509" w14:paraId="5B31E3BC" w14:textId="77777777" w:rsidTr="00DC7360">
        <w:tc>
          <w:tcPr>
            <w:tcW w:w="1276" w:type="dxa"/>
            <w:shd w:val="clear" w:color="auto" w:fill="auto"/>
            <w:vAlign w:val="bottom"/>
          </w:tcPr>
          <w:p w14:paraId="3BC81975" w14:textId="59CA726B" w:rsidR="00A90509" w:rsidRPr="00A90509" w:rsidRDefault="00A90509" w:rsidP="00A90509">
            <w:pPr>
              <w:spacing w:before="40" w:after="40" w:line="220" w:lineRule="exact"/>
              <w:rPr>
                <w:sz w:val="18"/>
              </w:rPr>
            </w:pPr>
            <w:r w:rsidRPr="00A90509">
              <w:rPr>
                <w:sz w:val="18"/>
                <w:lang w:val="fr-FR"/>
              </w:rPr>
              <w:t>Naplouse</w:t>
            </w:r>
          </w:p>
        </w:tc>
        <w:tc>
          <w:tcPr>
            <w:tcW w:w="709" w:type="dxa"/>
            <w:shd w:val="clear" w:color="auto" w:fill="auto"/>
            <w:vAlign w:val="bottom"/>
          </w:tcPr>
          <w:p w14:paraId="068563B7" w14:textId="565CBA41" w:rsidR="00A90509" w:rsidRPr="00A90509" w:rsidRDefault="00FF5D90" w:rsidP="00A90509">
            <w:pPr>
              <w:spacing w:before="40" w:after="40" w:line="220" w:lineRule="exact"/>
              <w:jc w:val="right"/>
              <w:rPr>
                <w:sz w:val="18"/>
              </w:rPr>
            </w:pPr>
            <w:r>
              <w:rPr>
                <w:sz w:val="18"/>
              </w:rPr>
              <w:t>3 035</w:t>
            </w:r>
          </w:p>
        </w:tc>
        <w:tc>
          <w:tcPr>
            <w:tcW w:w="709" w:type="dxa"/>
            <w:shd w:val="clear" w:color="auto" w:fill="auto"/>
            <w:vAlign w:val="bottom"/>
          </w:tcPr>
          <w:p w14:paraId="464F1E86" w14:textId="3E623717"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6452D99D" w14:textId="4E39165E" w:rsidR="00A90509" w:rsidRPr="00A90509" w:rsidRDefault="00FF5D90" w:rsidP="00A90509">
            <w:pPr>
              <w:spacing w:before="40" w:after="40" w:line="220" w:lineRule="exact"/>
              <w:jc w:val="right"/>
              <w:rPr>
                <w:sz w:val="18"/>
              </w:rPr>
            </w:pPr>
            <w:r>
              <w:rPr>
                <w:sz w:val="18"/>
              </w:rPr>
              <w:t>1 905</w:t>
            </w:r>
          </w:p>
        </w:tc>
        <w:tc>
          <w:tcPr>
            <w:tcW w:w="709" w:type="dxa"/>
            <w:shd w:val="clear" w:color="auto" w:fill="auto"/>
            <w:vAlign w:val="bottom"/>
          </w:tcPr>
          <w:p w14:paraId="59733B31" w14:textId="7F1BF0AE"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34B2BADE" w14:textId="2F338728" w:rsidR="00A90509" w:rsidRPr="00A90509" w:rsidRDefault="00FF5D90" w:rsidP="00A90509">
            <w:pPr>
              <w:spacing w:before="40" w:after="40" w:line="220" w:lineRule="exact"/>
              <w:jc w:val="right"/>
              <w:rPr>
                <w:sz w:val="18"/>
              </w:rPr>
            </w:pPr>
            <w:r>
              <w:rPr>
                <w:sz w:val="18"/>
              </w:rPr>
              <w:t>1 744</w:t>
            </w:r>
          </w:p>
        </w:tc>
        <w:tc>
          <w:tcPr>
            <w:tcW w:w="709" w:type="dxa"/>
            <w:shd w:val="clear" w:color="auto" w:fill="auto"/>
            <w:vAlign w:val="bottom"/>
          </w:tcPr>
          <w:p w14:paraId="47B797FC" w14:textId="66D4DA74" w:rsidR="00A90509" w:rsidRPr="00A90509" w:rsidRDefault="00FF5D90" w:rsidP="00A90509">
            <w:pPr>
              <w:spacing w:before="40" w:after="40" w:line="220" w:lineRule="exact"/>
              <w:jc w:val="right"/>
              <w:rPr>
                <w:sz w:val="18"/>
              </w:rPr>
            </w:pPr>
            <w:r>
              <w:rPr>
                <w:sz w:val="18"/>
              </w:rPr>
              <w:t>0</w:t>
            </w:r>
          </w:p>
        </w:tc>
        <w:tc>
          <w:tcPr>
            <w:tcW w:w="709" w:type="dxa"/>
            <w:shd w:val="clear" w:color="auto" w:fill="auto"/>
            <w:vAlign w:val="bottom"/>
          </w:tcPr>
          <w:p w14:paraId="694E875F" w14:textId="6977FE08" w:rsidR="00A90509" w:rsidRPr="00A90509" w:rsidRDefault="00FF5D90" w:rsidP="00A90509">
            <w:pPr>
              <w:spacing w:before="40" w:after="40" w:line="220" w:lineRule="exact"/>
              <w:jc w:val="right"/>
              <w:rPr>
                <w:sz w:val="18"/>
              </w:rPr>
            </w:pPr>
            <w:r>
              <w:rPr>
                <w:sz w:val="18"/>
              </w:rPr>
              <w:t>1 174</w:t>
            </w:r>
          </w:p>
        </w:tc>
        <w:tc>
          <w:tcPr>
            <w:tcW w:w="849" w:type="dxa"/>
            <w:shd w:val="clear" w:color="auto" w:fill="auto"/>
            <w:vAlign w:val="bottom"/>
          </w:tcPr>
          <w:p w14:paraId="04AC25C7" w14:textId="3B5963E8" w:rsidR="00A90509" w:rsidRPr="00A90509" w:rsidRDefault="00FF5D90" w:rsidP="00A90509">
            <w:pPr>
              <w:spacing w:before="40" w:after="40" w:line="220" w:lineRule="exact"/>
              <w:jc w:val="right"/>
              <w:rPr>
                <w:sz w:val="18"/>
              </w:rPr>
            </w:pPr>
            <w:r>
              <w:rPr>
                <w:sz w:val="18"/>
              </w:rPr>
              <w:t>0</w:t>
            </w:r>
          </w:p>
        </w:tc>
      </w:tr>
      <w:tr w:rsidR="00FF5D90" w:rsidRPr="00A90509" w14:paraId="1A84E889" w14:textId="77777777" w:rsidTr="00DC7360">
        <w:tc>
          <w:tcPr>
            <w:tcW w:w="1276" w:type="dxa"/>
            <w:shd w:val="clear" w:color="auto" w:fill="auto"/>
            <w:vAlign w:val="bottom"/>
          </w:tcPr>
          <w:p w14:paraId="23FA9617" w14:textId="72D27162" w:rsidR="00A90509" w:rsidRPr="00A90509" w:rsidRDefault="00A90509" w:rsidP="00A90509">
            <w:pPr>
              <w:spacing w:before="40" w:after="40" w:line="220" w:lineRule="exact"/>
              <w:rPr>
                <w:sz w:val="18"/>
              </w:rPr>
            </w:pPr>
            <w:r w:rsidRPr="00A90509">
              <w:rPr>
                <w:sz w:val="18"/>
                <w:lang w:val="fr-FR"/>
              </w:rPr>
              <w:t>Ramallah</w:t>
            </w:r>
          </w:p>
        </w:tc>
        <w:tc>
          <w:tcPr>
            <w:tcW w:w="709" w:type="dxa"/>
            <w:shd w:val="clear" w:color="auto" w:fill="auto"/>
            <w:vAlign w:val="bottom"/>
          </w:tcPr>
          <w:p w14:paraId="5F5CAE52" w14:textId="44AD610E" w:rsidR="00A90509" w:rsidRPr="00A90509" w:rsidRDefault="00FF5D90" w:rsidP="00A90509">
            <w:pPr>
              <w:spacing w:before="40" w:after="40" w:line="220" w:lineRule="exact"/>
              <w:jc w:val="right"/>
              <w:rPr>
                <w:sz w:val="18"/>
              </w:rPr>
            </w:pPr>
            <w:r>
              <w:rPr>
                <w:sz w:val="18"/>
              </w:rPr>
              <w:t>2 453</w:t>
            </w:r>
          </w:p>
        </w:tc>
        <w:tc>
          <w:tcPr>
            <w:tcW w:w="709" w:type="dxa"/>
            <w:shd w:val="clear" w:color="auto" w:fill="auto"/>
            <w:vAlign w:val="bottom"/>
          </w:tcPr>
          <w:p w14:paraId="019861F3" w14:textId="74E09667" w:rsidR="00A90509" w:rsidRPr="00A90509" w:rsidRDefault="00FF5D90" w:rsidP="00A90509">
            <w:pPr>
              <w:spacing w:before="40" w:after="40" w:line="220" w:lineRule="exact"/>
              <w:jc w:val="right"/>
              <w:rPr>
                <w:sz w:val="18"/>
              </w:rPr>
            </w:pPr>
            <w:r>
              <w:rPr>
                <w:sz w:val="18"/>
              </w:rPr>
              <w:t>67</w:t>
            </w:r>
          </w:p>
        </w:tc>
        <w:tc>
          <w:tcPr>
            <w:tcW w:w="850" w:type="dxa"/>
            <w:shd w:val="clear" w:color="auto" w:fill="auto"/>
            <w:vAlign w:val="bottom"/>
          </w:tcPr>
          <w:p w14:paraId="4DF258CE" w14:textId="72C12C86" w:rsidR="00A90509" w:rsidRPr="00A90509" w:rsidRDefault="00FF5D90" w:rsidP="00A90509">
            <w:pPr>
              <w:spacing w:before="40" w:after="40" w:line="220" w:lineRule="exact"/>
              <w:jc w:val="right"/>
              <w:rPr>
                <w:sz w:val="18"/>
              </w:rPr>
            </w:pPr>
            <w:r>
              <w:rPr>
                <w:sz w:val="18"/>
              </w:rPr>
              <w:t>1 465</w:t>
            </w:r>
          </w:p>
        </w:tc>
        <w:tc>
          <w:tcPr>
            <w:tcW w:w="709" w:type="dxa"/>
            <w:shd w:val="clear" w:color="auto" w:fill="auto"/>
            <w:vAlign w:val="bottom"/>
          </w:tcPr>
          <w:p w14:paraId="6545B326" w14:textId="67FC9ABF" w:rsidR="00A90509" w:rsidRPr="00A90509" w:rsidRDefault="00FF5D90" w:rsidP="00A90509">
            <w:pPr>
              <w:spacing w:before="40" w:after="40" w:line="220" w:lineRule="exact"/>
              <w:jc w:val="right"/>
              <w:rPr>
                <w:sz w:val="18"/>
              </w:rPr>
            </w:pPr>
            <w:r>
              <w:rPr>
                <w:sz w:val="18"/>
              </w:rPr>
              <w:t>73</w:t>
            </w:r>
          </w:p>
        </w:tc>
        <w:tc>
          <w:tcPr>
            <w:tcW w:w="850" w:type="dxa"/>
            <w:shd w:val="clear" w:color="auto" w:fill="auto"/>
            <w:vAlign w:val="bottom"/>
          </w:tcPr>
          <w:p w14:paraId="3DF695B7" w14:textId="08B3F250" w:rsidR="00A90509" w:rsidRPr="00A90509" w:rsidRDefault="00FF5D90" w:rsidP="00A90509">
            <w:pPr>
              <w:spacing w:before="40" w:after="40" w:line="220" w:lineRule="exact"/>
              <w:jc w:val="right"/>
              <w:rPr>
                <w:sz w:val="18"/>
              </w:rPr>
            </w:pPr>
            <w:r>
              <w:rPr>
                <w:sz w:val="18"/>
              </w:rPr>
              <w:t>1 278</w:t>
            </w:r>
          </w:p>
        </w:tc>
        <w:tc>
          <w:tcPr>
            <w:tcW w:w="709" w:type="dxa"/>
            <w:shd w:val="clear" w:color="auto" w:fill="auto"/>
            <w:vAlign w:val="bottom"/>
          </w:tcPr>
          <w:p w14:paraId="37DA7050" w14:textId="5AADCBFC" w:rsidR="00A90509" w:rsidRPr="00A90509" w:rsidRDefault="00FF5D90" w:rsidP="00A90509">
            <w:pPr>
              <w:spacing w:before="40" w:after="40" w:line="220" w:lineRule="exact"/>
              <w:jc w:val="right"/>
              <w:rPr>
                <w:sz w:val="18"/>
              </w:rPr>
            </w:pPr>
            <w:r>
              <w:rPr>
                <w:sz w:val="18"/>
              </w:rPr>
              <w:t>84</w:t>
            </w:r>
          </w:p>
        </w:tc>
        <w:tc>
          <w:tcPr>
            <w:tcW w:w="709" w:type="dxa"/>
            <w:shd w:val="clear" w:color="auto" w:fill="auto"/>
            <w:vAlign w:val="bottom"/>
          </w:tcPr>
          <w:p w14:paraId="521376F1" w14:textId="7818BDE9" w:rsidR="00A90509" w:rsidRPr="00A90509" w:rsidRDefault="00FF5D90" w:rsidP="00A90509">
            <w:pPr>
              <w:spacing w:before="40" w:after="40" w:line="220" w:lineRule="exact"/>
              <w:jc w:val="right"/>
              <w:rPr>
                <w:sz w:val="18"/>
              </w:rPr>
            </w:pPr>
            <w:r>
              <w:rPr>
                <w:sz w:val="18"/>
              </w:rPr>
              <w:t>1 058</w:t>
            </w:r>
          </w:p>
        </w:tc>
        <w:tc>
          <w:tcPr>
            <w:tcW w:w="849" w:type="dxa"/>
            <w:shd w:val="clear" w:color="auto" w:fill="auto"/>
            <w:vAlign w:val="bottom"/>
          </w:tcPr>
          <w:p w14:paraId="4FC6D923" w14:textId="27C2DA8D" w:rsidR="00A90509" w:rsidRPr="00A90509" w:rsidRDefault="00FF5D90" w:rsidP="00A90509">
            <w:pPr>
              <w:spacing w:before="40" w:after="40" w:line="220" w:lineRule="exact"/>
              <w:jc w:val="right"/>
              <w:rPr>
                <w:sz w:val="18"/>
              </w:rPr>
            </w:pPr>
            <w:r>
              <w:rPr>
                <w:sz w:val="18"/>
              </w:rPr>
              <w:t>72</w:t>
            </w:r>
          </w:p>
        </w:tc>
      </w:tr>
      <w:tr w:rsidR="00FF5D90" w:rsidRPr="00A90509" w14:paraId="4B06A2DF" w14:textId="77777777" w:rsidTr="00DC7360">
        <w:tc>
          <w:tcPr>
            <w:tcW w:w="1276" w:type="dxa"/>
            <w:shd w:val="clear" w:color="auto" w:fill="auto"/>
            <w:vAlign w:val="bottom"/>
          </w:tcPr>
          <w:p w14:paraId="77D99AEB" w14:textId="54A6557A" w:rsidR="00A90509" w:rsidRPr="00A90509" w:rsidRDefault="00A90509" w:rsidP="00A90509">
            <w:pPr>
              <w:spacing w:before="40" w:after="40" w:line="220" w:lineRule="exact"/>
              <w:rPr>
                <w:sz w:val="18"/>
              </w:rPr>
            </w:pPr>
            <w:r w:rsidRPr="00A90509">
              <w:rPr>
                <w:sz w:val="18"/>
                <w:lang w:val="fr-FR"/>
              </w:rPr>
              <w:t>Jéricho</w:t>
            </w:r>
          </w:p>
        </w:tc>
        <w:tc>
          <w:tcPr>
            <w:tcW w:w="709" w:type="dxa"/>
            <w:shd w:val="clear" w:color="auto" w:fill="auto"/>
            <w:vAlign w:val="bottom"/>
          </w:tcPr>
          <w:p w14:paraId="721930B0" w14:textId="31ED52A3" w:rsidR="00A90509" w:rsidRPr="00A90509" w:rsidRDefault="00FF5D90" w:rsidP="00A90509">
            <w:pPr>
              <w:spacing w:before="40" w:after="40" w:line="220" w:lineRule="exact"/>
              <w:jc w:val="right"/>
              <w:rPr>
                <w:sz w:val="18"/>
              </w:rPr>
            </w:pPr>
            <w:r>
              <w:rPr>
                <w:sz w:val="18"/>
              </w:rPr>
              <w:t>1 111</w:t>
            </w:r>
          </w:p>
        </w:tc>
        <w:tc>
          <w:tcPr>
            <w:tcW w:w="709" w:type="dxa"/>
            <w:shd w:val="clear" w:color="auto" w:fill="auto"/>
            <w:vAlign w:val="bottom"/>
          </w:tcPr>
          <w:p w14:paraId="4B6DD1F0" w14:textId="1579497A" w:rsidR="00A90509" w:rsidRPr="00A90509" w:rsidRDefault="00FF5D90" w:rsidP="00A90509">
            <w:pPr>
              <w:spacing w:before="40" w:after="40" w:line="220" w:lineRule="exact"/>
              <w:jc w:val="right"/>
              <w:rPr>
                <w:sz w:val="18"/>
              </w:rPr>
            </w:pPr>
            <w:r>
              <w:rPr>
                <w:sz w:val="18"/>
              </w:rPr>
              <w:t>22</w:t>
            </w:r>
          </w:p>
        </w:tc>
        <w:tc>
          <w:tcPr>
            <w:tcW w:w="850" w:type="dxa"/>
            <w:shd w:val="clear" w:color="auto" w:fill="auto"/>
            <w:vAlign w:val="bottom"/>
          </w:tcPr>
          <w:p w14:paraId="4F1BC3B8" w14:textId="2BC6F4B1" w:rsidR="00A90509" w:rsidRPr="00A90509" w:rsidRDefault="00FF5D90" w:rsidP="00A90509">
            <w:pPr>
              <w:spacing w:before="40" w:after="40" w:line="220" w:lineRule="exact"/>
              <w:jc w:val="right"/>
              <w:rPr>
                <w:sz w:val="18"/>
              </w:rPr>
            </w:pPr>
            <w:r>
              <w:rPr>
                <w:sz w:val="18"/>
              </w:rPr>
              <w:t>1 136</w:t>
            </w:r>
          </w:p>
        </w:tc>
        <w:tc>
          <w:tcPr>
            <w:tcW w:w="709" w:type="dxa"/>
            <w:shd w:val="clear" w:color="auto" w:fill="auto"/>
            <w:vAlign w:val="bottom"/>
          </w:tcPr>
          <w:p w14:paraId="77305A62" w14:textId="1E896449" w:rsidR="00A90509" w:rsidRPr="00A90509" w:rsidRDefault="00FF5D90" w:rsidP="00A90509">
            <w:pPr>
              <w:spacing w:before="40" w:after="40" w:line="220" w:lineRule="exact"/>
              <w:jc w:val="right"/>
              <w:rPr>
                <w:sz w:val="18"/>
              </w:rPr>
            </w:pPr>
            <w:r>
              <w:rPr>
                <w:sz w:val="18"/>
              </w:rPr>
              <w:t>27</w:t>
            </w:r>
          </w:p>
        </w:tc>
        <w:tc>
          <w:tcPr>
            <w:tcW w:w="850" w:type="dxa"/>
            <w:shd w:val="clear" w:color="auto" w:fill="auto"/>
            <w:vAlign w:val="bottom"/>
          </w:tcPr>
          <w:p w14:paraId="15085B10" w14:textId="5F723C89" w:rsidR="00A90509" w:rsidRPr="00A90509" w:rsidRDefault="00FF5D90" w:rsidP="00A90509">
            <w:pPr>
              <w:spacing w:before="40" w:after="40" w:line="220" w:lineRule="exact"/>
              <w:jc w:val="right"/>
              <w:rPr>
                <w:sz w:val="18"/>
              </w:rPr>
            </w:pPr>
            <w:r>
              <w:rPr>
                <w:sz w:val="18"/>
              </w:rPr>
              <w:t>869</w:t>
            </w:r>
          </w:p>
        </w:tc>
        <w:tc>
          <w:tcPr>
            <w:tcW w:w="709" w:type="dxa"/>
            <w:shd w:val="clear" w:color="auto" w:fill="auto"/>
            <w:vAlign w:val="bottom"/>
          </w:tcPr>
          <w:p w14:paraId="7C9A3938" w14:textId="7A2B175A" w:rsidR="00A90509" w:rsidRPr="00A90509" w:rsidRDefault="00FF5D90" w:rsidP="00A90509">
            <w:pPr>
              <w:spacing w:before="40" w:after="40" w:line="220" w:lineRule="exact"/>
              <w:jc w:val="right"/>
              <w:rPr>
                <w:sz w:val="18"/>
              </w:rPr>
            </w:pPr>
            <w:r>
              <w:rPr>
                <w:sz w:val="18"/>
              </w:rPr>
              <w:t>38</w:t>
            </w:r>
          </w:p>
        </w:tc>
        <w:tc>
          <w:tcPr>
            <w:tcW w:w="709" w:type="dxa"/>
            <w:shd w:val="clear" w:color="auto" w:fill="auto"/>
            <w:vAlign w:val="bottom"/>
          </w:tcPr>
          <w:p w14:paraId="43921354" w14:textId="47C16144" w:rsidR="00A90509" w:rsidRPr="00A90509" w:rsidRDefault="00FF5D90" w:rsidP="00A90509">
            <w:pPr>
              <w:spacing w:before="40" w:after="40" w:line="220" w:lineRule="exact"/>
              <w:jc w:val="right"/>
              <w:rPr>
                <w:sz w:val="18"/>
              </w:rPr>
            </w:pPr>
            <w:r>
              <w:rPr>
                <w:sz w:val="18"/>
              </w:rPr>
              <w:t>628</w:t>
            </w:r>
          </w:p>
        </w:tc>
        <w:tc>
          <w:tcPr>
            <w:tcW w:w="849" w:type="dxa"/>
            <w:shd w:val="clear" w:color="auto" w:fill="auto"/>
            <w:vAlign w:val="bottom"/>
          </w:tcPr>
          <w:p w14:paraId="55FC4C44" w14:textId="56354AC6" w:rsidR="00A90509" w:rsidRPr="00A90509" w:rsidRDefault="00FF5D90" w:rsidP="00A90509">
            <w:pPr>
              <w:spacing w:before="40" w:after="40" w:line="220" w:lineRule="exact"/>
              <w:jc w:val="right"/>
              <w:rPr>
                <w:sz w:val="18"/>
              </w:rPr>
            </w:pPr>
            <w:r>
              <w:rPr>
                <w:sz w:val="18"/>
              </w:rPr>
              <w:t>40</w:t>
            </w:r>
          </w:p>
        </w:tc>
      </w:tr>
      <w:tr w:rsidR="00FF5D90" w:rsidRPr="00A90509" w14:paraId="3127818C" w14:textId="77777777" w:rsidTr="00DC7360">
        <w:tc>
          <w:tcPr>
            <w:tcW w:w="1276" w:type="dxa"/>
            <w:shd w:val="clear" w:color="auto" w:fill="auto"/>
            <w:vAlign w:val="bottom"/>
          </w:tcPr>
          <w:p w14:paraId="58A31A81" w14:textId="3868B10C" w:rsidR="00A90509" w:rsidRPr="00A90509" w:rsidRDefault="00A90509" w:rsidP="00A90509">
            <w:pPr>
              <w:spacing w:before="40" w:after="40" w:line="220" w:lineRule="exact"/>
              <w:rPr>
                <w:sz w:val="18"/>
              </w:rPr>
            </w:pPr>
            <w:r w:rsidRPr="00A90509">
              <w:rPr>
                <w:sz w:val="18"/>
                <w:lang w:val="fr-FR"/>
              </w:rPr>
              <w:t>Hébron</w:t>
            </w:r>
          </w:p>
        </w:tc>
        <w:tc>
          <w:tcPr>
            <w:tcW w:w="709" w:type="dxa"/>
            <w:shd w:val="clear" w:color="auto" w:fill="auto"/>
            <w:vAlign w:val="bottom"/>
          </w:tcPr>
          <w:p w14:paraId="043CAA5F" w14:textId="611E111E" w:rsidR="00A90509" w:rsidRPr="00A90509" w:rsidRDefault="00FF5D90" w:rsidP="00A90509">
            <w:pPr>
              <w:spacing w:before="40" w:after="40" w:line="220" w:lineRule="exact"/>
              <w:jc w:val="right"/>
              <w:rPr>
                <w:sz w:val="18"/>
              </w:rPr>
            </w:pPr>
            <w:r>
              <w:rPr>
                <w:sz w:val="18"/>
              </w:rPr>
              <w:t>972</w:t>
            </w:r>
          </w:p>
        </w:tc>
        <w:tc>
          <w:tcPr>
            <w:tcW w:w="709" w:type="dxa"/>
            <w:shd w:val="clear" w:color="auto" w:fill="auto"/>
            <w:vAlign w:val="bottom"/>
          </w:tcPr>
          <w:p w14:paraId="2660BA62" w14:textId="59838536"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67DAFA18" w14:textId="55EB4EDF" w:rsidR="00A90509" w:rsidRPr="00A90509" w:rsidRDefault="00FF5D90" w:rsidP="00A90509">
            <w:pPr>
              <w:spacing w:before="40" w:after="40" w:line="220" w:lineRule="exact"/>
              <w:jc w:val="right"/>
              <w:rPr>
                <w:sz w:val="18"/>
              </w:rPr>
            </w:pPr>
            <w:r>
              <w:rPr>
                <w:sz w:val="18"/>
              </w:rPr>
              <w:t>574</w:t>
            </w:r>
          </w:p>
        </w:tc>
        <w:tc>
          <w:tcPr>
            <w:tcW w:w="709" w:type="dxa"/>
            <w:shd w:val="clear" w:color="auto" w:fill="auto"/>
            <w:vAlign w:val="bottom"/>
          </w:tcPr>
          <w:p w14:paraId="56B96946" w14:textId="3F3DA56A"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22087441" w14:textId="5E11BE72" w:rsidR="00A90509" w:rsidRPr="00A90509" w:rsidRDefault="00FF5D90" w:rsidP="00A90509">
            <w:pPr>
              <w:spacing w:before="40" w:after="40" w:line="220" w:lineRule="exact"/>
              <w:jc w:val="right"/>
              <w:rPr>
                <w:sz w:val="18"/>
              </w:rPr>
            </w:pPr>
            <w:r>
              <w:rPr>
                <w:sz w:val="18"/>
              </w:rPr>
              <w:t>578</w:t>
            </w:r>
          </w:p>
        </w:tc>
        <w:tc>
          <w:tcPr>
            <w:tcW w:w="709" w:type="dxa"/>
            <w:shd w:val="clear" w:color="auto" w:fill="auto"/>
            <w:vAlign w:val="bottom"/>
          </w:tcPr>
          <w:p w14:paraId="3960A294" w14:textId="69C40FC7" w:rsidR="00A90509" w:rsidRPr="00A90509" w:rsidRDefault="00FF5D90" w:rsidP="00A90509">
            <w:pPr>
              <w:spacing w:before="40" w:after="40" w:line="220" w:lineRule="exact"/>
              <w:jc w:val="right"/>
              <w:rPr>
                <w:sz w:val="18"/>
              </w:rPr>
            </w:pPr>
            <w:r>
              <w:rPr>
                <w:sz w:val="18"/>
              </w:rPr>
              <w:t>0</w:t>
            </w:r>
          </w:p>
        </w:tc>
        <w:tc>
          <w:tcPr>
            <w:tcW w:w="709" w:type="dxa"/>
            <w:shd w:val="clear" w:color="auto" w:fill="auto"/>
            <w:vAlign w:val="bottom"/>
          </w:tcPr>
          <w:p w14:paraId="4B49CDC0" w14:textId="3EB5B5A6" w:rsidR="00A90509" w:rsidRPr="00A90509" w:rsidRDefault="00FF5D90" w:rsidP="00A90509">
            <w:pPr>
              <w:spacing w:before="40" w:after="40" w:line="220" w:lineRule="exact"/>
              <w:jc w:val="right"/>
              <w:rPr>
                <w:sz w:val="18"/>
              </w:rPr>
            </w:pPr>
            <w:r>
              <w:rPr>
                <w:sz w:val="18"/>
              </w:rPr>
              <w:t>481</w:t>
            </w:r>
          </w:p>
        </w:tc>
        <w:tc>
          <w:tcPr>
            <w:tcW w:w="849" w:type="dxa"/>
            <w:shd w:val="clear" w:color="auto" w:fill="auto"/>
            <w:vAlign w:val="bottom"/>
          </w:tcPr>
          <w:p w14:paraId="69670B40" w14:textId="5C068063" w:rsidR="00A90509" w:rsidRPr="00A90509" w:rsidRDefault="00FF5D90" w:rsidP="00A90509">
            <w:pPr>
              <w:spacing w:before="40" w:after="40" w:line="220" w:lineRule="exact"/>
              <w:jc w:val="right"/>
              <w:rPr>
                <w:sz w:val="18"/>
              </w:rPr>
            </w:pPr>
            <w:r>
              <w:rPr>
                <w:sz w:val="18"/>
              </w:rPr>
              <w:t>0</w:t>
            </w:r>
          </w:p>
        </w:tc>
      </w:tr>
      <w:tr w:rsidR="00FF5D90" w:rsidRPr="00A90509" w14:paraId="1CAEDBDC" w14:textId="77777777" w:rsidTr="00A9247C">
        <w:tc>
          <w:tcPr>
            <w:tcW w:w="1276" w:type="dxa"/>
            <w:shd w:val="clear" w:color="auto" w:fill="auto"/>
            <w:vAlign w:val="bottom"/>
          </w:tcPr>
          <w:p w14:paraId="53A1B5E5" w14:textId="0BA4A5B9" w:rsidR="00A90509" w:rsidRPr="00A90509" w:rsidRDefault="00A90509" w:rsidP="00A90509">
            <w:pPr>
              <w:spacing w:before="40" w:after="40" w:line="220" w:lineRule="exact"/>
              <w:rPr>
                <w:sz w:val="18"/>
              </w:rPr>
            </w:pPr>
            <w:r w:rsidRPr="00A90509">
              <w:rPr>
                <w:sz w:val="18"/>
                <w:lang w:val="fr-FR"/>
              </w:rPr>
              <w:t>Toulkarem</w:t>
            </w:r>
          </w:p>
        </w:tc>
        <w:tc>
          <w:tcPr>
            <w:tcW w:w="709" w:type="dxa"/>
            <w:shd w:val="clear" w:color="auto" w:fill="auto"/>
            <w:vAlign w:val="bottom"/>
          </w:tcPr>
          <w:p w14:paraId="7DCBEA74" w14:textId="37A0A9E5" w:rsidR="00A90509" w:rsidRPr="00A90509" w:rsidRDefault="00FF5D90" w:rsidP="00A90509">
            <w:pPr>
              <w:spacing w:before="40" w:after="40" w:line="220" w:lineRule="exact"/>
              <w:jc w:val="right"/>
              <w:rPr>
                <w:sz w:val="18"/>
              </w:rPr>
            </w:pPr>
            <w:r>
              <w:rPr>
                <w:sz w:val="18"/>
              </w:rPr>
              <w:t>1 265</w:t>
            </w:r>
          </w:p>
        </w:tc>
        <w:tc>
          <w:tcPr>
            <w:tcW w:w="709" w:type="dxa"/>
            <w:shd w:val="clear" w:color="auto" w:fill="auto"/>
            <w:vAlign w:val="bottom"/>
          </w:tcPr>
          <w:p w14:paraId="12EE634C" w14:textId="29A297D3"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5E641786" w14:textId="219C5AAF" w:rsidR="00A90509" w:rsidRPr="00A90509" w:rsidRDefault="00FF5D90" w:rsidP="00A90509">
            <w:pPr>
              <w:spacing w:before="40" w:after="40" w:line="220" w:lineRule="exact"/>
              <w:jc w:val="right"/>
              <w:rPr>
                <w:sz w:val="18"/>
              </w:rPr>
            </w:pPr>
            <w:r>
              <w:rPr>
                <w:sz w:val="18"/>
              </w:rPr>
              <w:t>1 052</w:t>
            </w:r>
          </w:p>
        </w:tc>
        <w:tc>
          <w:tcPr>
            <w:tcW w:w="709" w:type="dxa"/>
            <w:shd w:val="clear" w:color="auto" w:fill="auto"/>
            <w:vAlign w:val="bottom"/>
          </w:tcPr>
          <w:p w14:paraId="40E7635F" w14:textId="064FA93E" w:rsidR="00A90509" w:rsidRPr="00A90509" w:rsidRDefault="00FF5D90" w:rsidP="00A90509">
            <w:pPr>
              <w:spacing w:before="40" w:after="40" w:line="220" w:lineRule="exact"/>
              <w:jc w:val="right"/>
              <w:rPr>
                <w:sz w:val="18"/>
              </w:rPr>
            </w:pPr>
            <w:r>
              <w:rPr>
                <w:sz w:val="18"/>
              </w:rPr>
              <w:t>0</w:t>
            </w:r>
          </w:p>
        </w:tc>
        <w:tc>
          <w:tcPr>
            <w:tcW w:w="850" w:type="dxa"/>
            <w:shd w:val="clear" w:color="auto" w:fill="auto"/>
            <w:vAlign w:val="bottom"/>
          </w:tcPr>
          <w:p w14:paraId="07DBF860" w14:textId="1E3F1A6F" w:rsidR="00A90509" w:rsidRPr="00A90509" w:rsidRDefault="00FF5D90" w:rsidP="00A90509">
            <w:pPr>
              <w:spacing w:before="40" w:after="40" w:line="220" w:lineRule="exact"/>
              <w:jc w:val="right"/>
              <w:rPr>
                <w:sz w:val="18"/>
              </w:rPr>
            </w:pPr>
            <w:r>
              <w:rPr>
                <w:sz w:val="18"/>
              </w:rPr>
              <w:t>864</w:t>
            </w:r>
          </w:p>
        </w:tc>
        <w:tc>
          <w:tcPr>
            <w:tcW w:w="709" w:type="dxa"/>
            <w:shd w:val="clear" w:color="auto" w:fill="auto"/>
            <w:vAlign w:val="bottom"/>
          </w:tcPr>
          <w:p w14:paraId="1CD42B95" w14:textId="75E5CD7E" w:rsidR="00A90509" w:rsidRPr="00A90509" w:rsidRDefault="00FF5D90" w:rsidP="00A90509">
            <w:pPr>
              <w:spacing w:before="40" w:after="40" w:line="220" w:lineRule="exact"/>
              <w:jc w:val="right"/>
              <w:rPr>
                <w:sz w:val="18"/>
              </w:rPr>
            </w:pPr>
            <w:r>
              <w:rPr>
                <w:sz w:val="18"/>
              </w:rPr>
              <w:t>0</w:t>
            </w:r>
          </w:p>
        </w:tc>
        <w:tc>
          <w:tcPr>
            <w:tcW w:w="709" w:type="dxa"/>
            <w:shd w:val="clear" w:color="auto" w:fill="auto"/>
            <w:vAlign w:val="bottom"/>
          </w:tcPr>
          <w:p w14:paraId="1298A928" w14:textId="6C66D9C1" w:rsidR="00A90509" w:rsidRPr="00A90509" w:rsidRDefault="00FF5D90" w:rsidP="00A90509">
            <w:pPr>
              <w:spacing w:before="40" w:after="40" w:line="220" w:lineRule="exact"/>
              <w:jc w:val="right"/>
              <w:rPr>
                <w:sz w:val="18"/>
              </w:rPr>
            </w:pPr>
            <w:r>
              <w:rPr>
                <w:sz w:val="18"/>
              </w:rPr>
              <w:t>499</w:t>
            </w:r>
          </w:p>
        </w:tc>
        <w:tc>
          <w:tcPr>
            <w:tcW w:w="849" w:type="dxa"/>
            <w:shd w:val="clear" w:color="auto" w:fill="auto"/>
            <w:vAlign w:val="bottom"/>
          </w:tcPr>
          <w:p w14:paraId="059E1596" w14:textId="40BCABE3" w:rsidR="00A90509" w:rsidRPr="00A90509" w:rsidRDefault="00FF5D90" w:rsidP="00A90509">
            <w:pPr>
              <w:spacing w:before="40" w:after="40" w:line="220" w:lineRule="exact"/>
              <w:jc w:val="right"/>
              <w:rPr>
                <w:sz w:val="18"/>
              </w:rPr>
            </w:pPr>
            <w:r>
              <w:rPr>
                <w:sz w:val="18"/>
              </w:rPr>
              <w:t>0</w:t>
            </w:r>
          </w:p>
        </w:tc>
      </w:tr>
      <w:tr w:rsidR="00FF5D90" w:rsidRPr="00A90509" w14:paraId="20ACE457" w14:textId="77777777" w:rsidTr="00A9247C">
        <w:tc>
          <w:tcPr>
            <w:tcW w:w="1276" w:type="dxa"/>
            <w:tcBorders>
              <w:bottom w:val="single" w:sz="4" w:space="0" w:color="auto"/>
            </w:tcBorders>
            <w:shd w:val="clear" w:color="auto" w:fill="auto"/>
            <w:vAlign w:val="bottom"/>
          </w:tcPr>
          <w:p w14:paraId="7B353B85" w14:textId="6C32E336" w:rsidR="00A90509" w:rsidRPr="00A90509" w:rsidRDefault="00A90509" w:rsidP="00A90509">
            <w:pPr>
              <w:spacing w:before="40" w:after="40" w:line="220" w:lineRule="exact"/>
              <w:rPr>
                <w:sz w:val="18"/>
              </w:rPr>
            </w:pPr>
            <w:r w:rsidRPr="00A90509">
              <w:rPr>
                <w:sz w:val="18"/>
                <w:lang w:val="fr-FR"/>
              </w:rPr>
              <w:t>Total</w:t>
            </w:r>
          </w:p>
        </w:tc>
        <w:tc>
          <w:tcPr>
            <w:tcW w:w="709" w:type="dxa"/>
            <w:tcBorders>
              <w:bottom w:val="single" w:sz="4" w:space="0" w:color="auto"/>
            </w:tcBorders>
            <w:shd w:val="clear" w:color="auto" w:fill="auto"/>
            <w:vAlign w:val="bottom"/>
          </w:tcPr>
          <w:p w14:paraId="44394AC9" w14:textId="1DA60FB5" w:rsidR="00A90509" w:rsidRPr="00A90509" w:rsidRDefault="00FF5D90" w:rsidP="00A90509">
            <w:pPr>
              <w:spacing w:before="40" w:after="40" w:line="220" w:lineRule="exact"/>
              <w:jc w:val="right"/>
              <w:rPr>
                <w:sz w:val="18"/>
              </w:rPr>
            </w:pPr>
            <w:r>
              <w:rPr>
                <w:sz w:val="18"/>
              </w:rPr>
              <w:t>12 373</w:t>
            </w:r>
          </w:p>
        </w:tc>
        <w:tc>
          <w:tcPr>
            <w:tcW w:w="709" w:type="dxa"/>
            <w:tcBorders>
              <w:bottom w:val="single" w:sz="4" w:space="0" w:color="auto"/>
            </w:tcBorders>
            <w:shd w:val="clear" w:color="auto" w:fill="auto"/>
            <w:vAlign w:val="bottom"/>
          </w:tcPr>
          <w:p w14:paraId="64F6E965" w14:textId="4AA845FF" w:rsidR="00A90509" w:rsidRPr="00A90509" w:rsidRDefault="00FF5D90" w:rsidP="00A90509">
            <w:pPr>
              <w:spacing w:before="40" w:after="40" w:line="220" w:lineRule="exact"/>
              <w:jc w:val="right"/>
              <w:rPr>
                <w:sz w:val="18"/>
              </w:rPr>
            </w:pPr>
            <w:r>
              <w:rPr>
                <w:sz w:val="18"/>
              </w:rPr>
              <w:t>214</w:t>
            </w:r>
          </w:p>
        </w:tc>
        <w:tc>
          <w:tcPr>
            <w:tcW w:w="850" w:type="dxa"/>
            <w:tcBorders>
              <w:bottom w:val="single" w:sz="4" w:space="0" w:color="auto"/>
            </w:tcBorders>
            <w:shd w:val="clear" w:color="auto" w:fill="auto"/>
            <w:vAlign w:val="bottom"/>
          </w:tcPr>
          <w:p w14:paraId="6F64A280" w14:textId="6592CE7A" w:rsidR="00A90509" w:rsidRPr="00A90509" w:rsidRDefault="00FF5D90" w:rsidP="00A90509">
            <w:pPr>
              <w:spacing w:before="40" w:after="40" w:line="220" w:lineRule="exact"/>
              <w:jc w:val="right"/>
              <w:rPr>
                <w:sz w:val="18"/>
              </w:rPr>
            </w:pPr>
            <w:r>
              <w:rPr>
                <w:sz w:val="18"/>
              </w:rPr>
              <w:t>9 392</w:t>
            </w:r>
          </w:p>
        </w:tc>
        <w:tc>
          <w:tcPr>
            <w:tcW w:w="709" w:type="dxa"/>
            <w:tcBorders>
              <w:bottom w:val="single" w:sz="4" w:space="0" w:color="auto"/>
            </w:tcBorders>
            <w:shd w:val="clear" w:color="auto" w:fill="auto"/>
            <w:vAlign w:val="bottom"/>
          </w:tcPr>
          <w:p w14:paraId="02BB0E67" w14:textId="0ABA2D80" w:rsidR="00A90509" w:rsidRPr="00A90509" w:rsidRDefault="00FF5D90" w:rsidP="00A90509">
            <w:pPr>
              <w:spacing w:before="40" w:after="40" w:line="220" w:lineRule="exact"/>
              <w:jc w:val="right"/>
              <w:rPr>
                <w:sz w:val="18"/>
              </w:rPr>
            </w:pPr>
            <w:r>
              <w:rPr>
                <w:sz w:val="18"/>
              </w:rPr>
              <w:t>214</w:t>
            </w:r>
          </w:p>
        </w:tc>
        <w:tc>
          <w:tcPr>
            <w:tcW w:w="850" w:type="dxa"/>
            <w:tcBorders>
              <w:bottom w:val="single" w:sz="4" w:space="0" w:color="auto"/>
            </w:tcBorders>
            <w:shd w:val="clear" w:color="auto" w:fill="auto"/>
            <w:vAlign w:val="bottom"/>
          </w:tcPr>
          <w:p w14:paraId="5D24294F" w14:textId="718D5415" w:rsidR="00A90509" w:rsidRPr="00A90509" w:rsidRDefault="00FF5D90" w:rsidP="00A90509">
            <w:pPr>
              <w:spacing w:before="40" w:after="40" w:line="220" w:lineRule="exact"/>
              <w:jc w:val="right"/>
              <w:rPr>
                <w:sz w:val="18"/>
              </w:rPr>
            </w:pPr>
            <w:r>
              <w:rPr>
                <w:sz w:val="18"/>
              </w:rPr>
              <w:t>7 924</w:t>
            </w:r>
          </w:p>
        </w:tc>
        <w:tc>
          <w:tcPr>
            <w:tcW w:w="709" w:type="dxa"/>
            <w:tcBorders>
              <w:bottom w:val="single" w:sz="4" w:space="0" w:color="auto"/>
            </w:tcBorders>
            <w:shd w:val="clear" w:color="auto" w:fill="auto"/>
            <w:vAlign w:val="bottom"/>
          </w:tcPr>
          <w:p w14:paraId="4F5195C4" w14:textId="7BB46250" w:rsidR="00A90509" w:rsidRPr="00A90509" w:rsidRDefault="00FF5D90" w:rsidP="00A90509">
            <w:pPr>
              <w:spacing w:before="40" w:after="40" w:line="220" w:lineRule="exact"/>
              <w:jc w:val="right"/>
              <w:rPr>
                <w:sz w:val="18"/>
              </w:rPr>
            </w:pPr>
            <w:r>
              <w:rPr>
                <w:sz w:val="18"/>
              </w:rPr>
              <w:t>231</w:t>
            </w:r>
          </w:p>
        </w:tc>
        <w:tc>
          <w:tcPr>
            <w:tcW w:w="709" w:type="dxa"/>
            <w:tcBorders>
              <w:bottom w:val="single" w:sz="4" w:space="0" w:color="auto"/>
            </w:tcBorders>
            <w:shd w:val="clear" w:color="auto" w:fill="auto"/>
            <w:vAlign w:val="bottom"/>
          </w:tcPr>
          <w:p w14:paraId="07EB576C" w14:textId="18321F31" w:rsidR="00A90509" w:rsidRPr="00A90509" w:rsidRDefault="00FF5D90" w:rsidP="00A90509">
            <w:pPr>
              <w:spacing w:before="40" w:after="40" w:line="220" w:lineRule="exact"/>
              <w:jc w:val="right"/>
              <w:rPr>
                <w:sz w:val="18"/>
              </w:rPr>
            </w:pPr>
            <w:r>
              <w:rPr>
                <w:sz w:val="18"/>
              </w:rPr>
              <w:t>5 733</w:t>
            </w:r>
          </w:p>
        </w:tc>
        <w:tc>
          <w:tcPr>
            <w:tcW w:w="849" w:type="dxa"/>
            <w:tcBorders>
              <w:bottom w:val="single" w:sz="4" w:space="0" w:color="auto"/>
            </w:tcBorders>
            <w:shd w:val="clear" w:color="auto" w:fill="auto"/>
            <w:vAlign w:val="bottom"/>
          </w:tcPr>
          <w:p w14:paraId="6A858E31" w14:textId="32601E71" w:rsidR="00A90509" w:rsidRPr="00A90509" w:rsidRDefault="00FF5D90" w:rsidP="00A90509">
            <w:pPr>
              <w:spacing w:before="40" w:after="40" w:line="220" w:lineRule="exact"/>
              <w:jc w:val="right"/>
              <w:rPr>
                <w:sz w:val="18"/>
              </w:rPr>
            </w:pPr>
            <w:r>
              <w:rPr>
                <w:sz w:val="18"/>
              </w:rPr>
              <w:t>248</w:t>
            </w:r>
          </w:p>
        </w:tc>
      </w:tr>
      <w:tr w:rsidR="00FF5D90" w:rsidRPr="00A90509" w14:paraId="30340288" w14:textId="77777777" w:rsidTr="00A9247C">
        <w:tc>
          <w:tcPr>
            <w:tcW w:w="1276" w:type="dxa"/>
            <w:tcBorders>
              <w:top w:val="single" w:sz="4" w:space="0" w:color="auto"/>
              <w:bottom w:val="single" w:sz="12" w:space="0" w:color="auto"/>
            </w:tcBorders>
            <w:shd w:val="clear" w:color="auto" w:fill="auto"/>
            <w:vAlign w:val="bottom"/>
          </w:tcPr>
          <w:p w14:paraId="23C09EB8" w14:textId="0CDE857A" w:rsidR="00FF5D90" w:rsidRPr="00A90509" w:rsidRDefault="00FF5D90" w:rsidP="00FF5D90">
            <w:pPr>
              <w:spacing w:before="80" w:after="80" w:line="220" w:lineRule="exact"/>
              <w:ind w:left="170"/>
              <w:rPr>
                <w:sz w:val="18"/>
              </w:rPr>
            </w:pPr>
            <w:r w:rsidRPr="00A90509">
              <w:rPr>
                <w:b/>
                <w:bCs/>
                <w:sz w:val="18"/>
                <w:lang w:val="fr-FR"/>
              </w:rPr>
              <w:t>Total général</w:t>
            </w:r>
          </w:p>
        </w:tc>
        <w:tc>
          <w:tcPr>
            <w:tcW w:w="1418" w:type="dxa"/>
            <w:gridSpan w:val="2"/>
            <w:tcBorders>
              <w:top w:val="single" w:sz="4" w:space="0" w:color="auto"/>
              <w:bottom w:val="single" w:sz="12" w:space="0" w:color="auto"/>
            </w:tcBorders>
            <w:shd w:val="clear" w:color="auto" w:fill="auto"/>
            <w:vAlign w:val="bottom"/>
          </w:tcPr>
          <w:p w14:paraId="20DD3F77" w14:textId="2408FF1A" w:rsidR="00FF5D90" w:rsidRPr="00FF5D90" w:rsidRDefault="00FF5D90" w:rsidP="00DC7360">
            <w:pPr>
              <w:spacing w:before="80" w:after="80" w:line="220" w:lineRule="exact"/>
              <w:jc w:val="center"/>
              <w:rPr>
                <w:b/>
                <w:bCs/>
                <w:sz w:val="18"/>
              </w:rPr>
            </w:pPr>
            <w:r w:rsidRPr="00FF5D90">
              <w:rPr>
                <w:b/>
                <w:bCs/>
                <w:sz w:val="18"/>
              </w:rPr>
              <w:t>12 587</w:t>
            </w:r>
          </w:p>
        </w:tc>
        <w:tc>
          <w:tcPr>
            <w:tcW w:w="1559" w:type="dxa"/>
            <w:gridSpan w:val="2"/>
            <w:tcBorders>
              <w:top w:val="single" w:sz="4" w:space="0" w:color="auto"/>
              <w:bottom w:val="single" w:sz="12" w:space="0" w:color="auto"/>
            </w:tcBorders>
            <w:shd w:val="clear" w:color="auto" w:fill="auto"/>
            <w:vAlign w:val="bottom"/>
          </w:tcPr>
          <w:p w14:paraId="26635100" w14:textId="70E5D233" w:rsidR="00FF5D90" w:rsidRPr="00FF5D90" w:rsidRDefault="00FF5D90" w:rsidP="00DC7360">
            <w:pPr>
              <w:spacing w:before="80" w:after="80" w:line="220" w:lineRule="exact"/>
              <w:jc w:val="center"/>
              <w:rPr>
                <w:b/>
                <w:bCs/>
                <w:sz w:val="18"/>
              </w:rPr>
            </w:pPr>
            <w:r w:rsidRPr="00FF5D90">
              <w:rPr>
                <w:b/>
                <w:bCs/>
                <w:sz w:val="18"/>
              </w:rPr>
              <w:t>9 606</w:t>
            </w:r>
          </w:p>
        </w:tc>
        <w:tc>
          <w:tcPr>
            <w:tcW w:w="1559" w:type="dxa"/>
            <w:gridSpan w:val="2"/>
            <w:tcBorders>
              <w:top w:val="single" w:sz="4" w:space="0" w:color="auto"/>
              <w:bottom w:val="single" w:sz="12" w:space="0" w:color="auto"/>
            </w:tcBorders>
            <w:shd w:val="clear" w:color="auto" w:fill="auto"/>
            <w:vAlign w:val="bottom"/>
          </w:tcPr>
          <w:p w14:paraId="3C2BDF68" w14:textId="27F0C1D1" w:rsidR="00FF5D90" w:rsidRPr="00FF5D90" w:rsidRDefault="00FF5D90" w:rsidP="00DC7360">
            <w:pPr>
              <w:spacing w:before="80" w:after="80" w:line="220" w:lineRule="exact"/>
              <w:jc w:val="center"/>
              <w:rPr>
                <w:b/>
                <w:bCs/>
                <w:sz w:val="18"/>
              </w:rPr>
            </w:pPr>
            <w:r w:rsidRPr="00FF5D90">
              <w:rPr>
                <w:b/>
                <w:bCs/>
                <w:sz w:val="18"/>
              </w:rPr>
              <w:t>8 155</w:t>
            </w:r>
          </w:p>
        </w:tc>
        <w:tc>
          <w:tcPr>
            <w:tcW w:w="1558" w:type="dxa"/>
            <w:gridSpan w:val="2"/>
            <w:tcBorders>
              <w:top w:val="single" w:sz="4" w:space="0" w:color="auto"/>
              <w:bottom w:val="single" w:sz="12" w:space="0" w:color="auto"/>
            </w:tcBorders>
            <w:shd w:val="clear" w:color="auto" w:fill="auto"/>
            <w:vAlign w:val="bottom"/>
          </w:tcPr>
          <w:p w14:paraId="31E819D6" w14:textId="63C1F82A" w:rsidR="00FF5D90" w:rsidRPr="00FF5D90" w:rsidRDefault="00FF5D90" w:rsidP="00DC7360">
            <w:pPr>
              <w:spacing w:before="80" w:after="80" w:line="220" w:lineRule="exact"/>
              <w:jc w:val="center"/>
              <w:rPr>
                <w:b/>
                <w:bCs/>
                <w:sz w:val="18"/>
              </w:rPr>
            </w:pPr>
            <w:r w:rsidRPr="00FF5D90">
              <w:rPr>
                <w:b/>
                <w:bCs/>
                <w:sz w:val="18"/>
              </w:rPr>
              <w:t>5 981</w:t>
            </w:r>
          </w:p>
        </w:tc>
      </w:tr>
    </w:tbl>
    <w:p w14:paraId="30CAC446" w14:textId="5BBFA573" w:rsidR="00D005FA" w:rsidRDefault="00D005FA" w:rsidP="00A9247C">
      <w:pPr>
        <w:pStyle w:val="H23G"/>
        <w:rPr>
          <w:lang w:val="fr-FR"/>
        </w:rPr>
      </w:pPr>
      <w:r w:rsidRPr="00310D49">
        <w:rPr>
          <w:lang w:val="fr-FR"/>
        </w:rPr>
        <w:lastRenderedPageBreak/>
        <w:tab/>
      </w:r>
      <w:r w:rsidRPr="00310D49">
        <w:rPr>
          <w:lang w:val="fr-FR"/>
        </w:rPr>
        <w:tab/>
        <w:t xml:space="preserve">Statistiques relatives au nombre de condamnés purgeant leur peine </w:t>
      </w:r>
      <w:r w:rsidR="00BE2D6C">
        <w:rPr>
          <w:lang w:val="fr-FR"/>
        </w:rPr>
        <w:br/>
      </w:r>
      <w:r w:rsidRPr="00310D49">
        <w:rPr>
          <w:lang w:val="fr-FR"/>
        </w:rPr>
        <w:t>dans les établissements pénitentiaires (2014-2017)</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276"/>
        <w:gridCol w:w="709"/>
        <w:gridCol w:w="709"/>
        <w:gridCol w:w="850"/>
        <w:gridCol w:w="709"/>
        <w:gridCol w:w="850"/>
        <w:gridCol w:w="709"/>
        <w:gridCol w:w="709"/>
        <w:gridCol w:w="849"/>
      </w:tblGrid>
      <w:tr w:rsidR="00A9247C" w:rsidRPr="00A90509" w14:paraId="53E5293A" w14:textId="77777777" w:rsidTr="000643E5">
        <w:trPr>
          <w:tblHeader/>
        </w:trPr>
        <w:tc>
          <w:tcPr>
            <w:tcW w:w="1276" w:type="dxa"/>
            <w:tcBorders>
              <w:top w:val="single" w:sz="4" w:space="0" w:color="auto"/>
            </w:tcBorders>
            <w:shd w:val="clear" w:color="auto" w:fill="auto"/>
            <w:vAlign w:val="bottom"/>
          </w:tcPr>
          <w:p w14:paraId="1FF2F6FC" w14:textId="77777777" w:rsidR="00A9247C" w:rsidRPr="00A90509" w:rsidRDefault="00A9247C" w:rsidP="000643E5">
            <w:pPr>
              <w:spacing w:before="80" w:after="80" w:line="200" w:lineRule="exact"/>
              <w:rPr>
                <w:i/>
                <w:sz w:val="16"/>
              </w:rPr>
            </w:pPr>
          </w:p>
        </w:tc>
        <w:tc>
          <w:tcPr>
            <w:tcW w:w="1418" w:type="dxa"/>
            <w:gridSpan w:val="2"/>
            <w:tcBorders>
              <w:top w:val="single" w:sz="4" w:space="0" w:color="auto"/>
              <w:bottom w:val="single" w:sz="4" w:space="0" w:color="auto"/>
            </w:tcBorders>
            <w:shd w:val="clear" w:color="auto" w:fill="auto"/>
            <w:vAlign w:val="bottom"/>
          </w:tcPr>
          <w:p w14:paraId="46F9D805" w14:textId="77777777" w:rsidR="00A9247C" w:rsidRPr="00A90509" w:rsidRDefault="00A9247C" w:rsidP="000643E5">
            <w:pPr>
              <w:spacing w:before="80" w:after="80" w:line="200" w:lineRule="exact"/>
              <w:jc w:val="center"/>
              <w:rPr>
                <w:i/>
                <w:sz w:val="16"/>
              </w:rPr>
            </w:pPr>
            <w:r>
              <w:rPr>
                <w:i/>
                <w:sz w:val="16"/>
              </w:rPr>
              <w:t>2014</w:t>
            </w:r>
          </w:p>
        </w:tc>
        <w:tc>
          <w:tcPr>
            <w:tcW w:w="1559" w:type="dxa"/>
            <w:gridSpan w:val="2"/>
            <w:tcBorders>
              <w:top w:val="single" w:sz="4" w:space="0" w:color="auto"/>
              <w:bottom w:val="single" w:sz="4" w:space="0" w:color="auto"/>
            </w:tcBorders>
            <w:shd w:val="clear" w:color="auto" w:fill="auto"/>
            <w:vAlign w:val="bottom"/>
          </w:tcPr>
          <w:p w14:paraId="79E113AD" w14:textId="77777777" w:rsidR="00A9247C" w:rsidRPr="00A90509" w:rsidRDefault="00A9247C" w:rsidP="000643E5">
            <w:pPr>
              <w:spacing w:before="80" w:after="80" w:line="200" w:lineRule="exact"/>
              <w:jc w:val="center"/>
              <w:rPr>
                <w:i/>
                <w:sz w:val="16"/>
              </w:rPr>
            </w:pPr>
            <w:r>
              <w:rPr>
                <w:i/>
                <w:sz w:val="16"/>
              </w:rPr>
              <w:t>2015</w:t>
            </w:r>
          </w:p>
        </w:tc>
        <w:tc>
          <w:tcPr>
            <w:tcW w:w="1559" w:type="dxa"/>
            <w:gridSpan w:val="2"/>
            <w:tcBorders>
              <w:top w:val="single" w:sz="4" w:space="0" w:color="auto"/>
              <w:bottom w:val="single" w:sz="4" w:space="0" w:color="auto"/>
            </w:tcBorders>
            <w:shd w:val="clear" w:color="auto" w:fill="auto"/>
            <w:vAlign w:val="bottom"/>
          </w:tcPr>
          <w:p w14:paraId="4ABCC836" w14:textId="77777777" w:rsidR="00A9247C" w:rsidRPr="00A90509" w:rsidRDefault="00A9247C" w:rsidP="000643E5">
            <w:pPr>
              <w:spacing w:before="80" w:after="80" w:line="200" w:lineRule="exact"/>
              <w:jc w:val="center"/>
              <w:rPr>
                <w:i/>
                <w:sz w:val="16"/>
              </w:rPr>
            </w:pPr>
            <w:r>
              <w:rPr>
                <w:i/>
                <w:sz w:val="16"/>
              </w:rPr>
              <w:t>2016</w:t>
            </w:r>
          </w:p>
        </w:tc>
        <w:tc>
          <w:tcPr>
            <w:tcW w:w="1558" w:type="dxa"/>
            <w:gridSpan w:val="2"/>
            <w:tcBorders>
              <w:top w:val="single" w:sz="4" w:space="0" w:color="auto"/>
              <w:bottom w:val="single" w:sz="4" w:space="0" w:color="auto"/>
            </w:tcBorders>
            <w:shd w:val="clear" w:color="auto" w:fill="auto"/>
            <w:vAlign w:val="bottom"/>
          </w:tcPr>
          <w:p w14:paraId="47599CE7" w14:textId="77777777" w:rsidR="00A9247C" w:rsidRPr="00A90509" w:rsidRDefault="00A9247C" w:rsidP="000643E5">
            <w:pPr>
              <w:spacing w:before="80" w:after="80" w:line="200" w:lineRule="exact"/>
              <w:jc w:val="center"/>
              <w:rPr>
                <w:i/>
                <w:sz w:val="16"/>
              </w:rPr>
            </w:pPr>
            <w:r>
              <w:rPr>
                <w:i/>
                <w:sz w:val="16"/>
              </w:rPr>
              <w:t>2017</w:t>
            </w:r>
          </w:p>
        </w:tc>
      </w:tr>
      <w:tr w:rsidR="00A9247C" w:rsidRPr="00A90509" w14:paraId="5D647CDB" w14:textId="77777777" w:rsidTr="000643E5">
        <w:tc>
          <w:tcPr>
            <w:tcW w:w="1276" w:type="dxa"/>
            <w:tcBorders>
              <w:bottom w:val="single" w:sz="12" w:space="0" w:color="auto"/>
            </w:tcBorders>
            <w:shd w:val="clear" w:color="auto" w:fill="auto"/>
            <w:vAlign w:val="bottom"/>
          </w:tcPr>
          <w:p w14:paraId="196B71B6" w14:textId="77777777" w:rsidR="00A9247C" w:rsidRPr="00A90509" w:rsidRDefault="00A9247C" w:rsidP="000643E5">
            <w:pPr>
              <w:spacing w:before="40" w:after="40" w:line="220" w:lineRule="exact"/>
              <w:rPr>
                <w:sz w:val="18"/>
              </w:rPr>
            </w:pPr>
            <w:r>
              <w:rPr>
                <w:i/>
                <w:sz w:val="16"/>
              </w:rPr>
              <w:t>Centre</w:t>
            </w:r>
          </w:p>
        </w:tc>
        <w:tc>
          <w:tcPr>
            <w:tcW w:w="709" w:type="dxa"/>
            <w:tcBorders>
              <w:top w:val="single" w:sz="4" w:space="0" w:color="auto"/>
              <w:bottom w:val="single" w:sz="12" w:space="0" w:color="auto"/>
            </w:tcBorders>
            <w:shd w:val="clear" w:color="auto" w:fill="auto"/>
            <w:vAlign w:val="bottom"/>
          </w:tcPr>
          <w:p w14:paraId="49F60C36" w14:textId="77777777" w:rsidR="00A9247C" w:rsidRPr="00A90509" w:rsidRDefault="00A9247C" w:rsidP="000643E5">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7F3F5D30" w14:textId="77777777" w:rsidR="00A9247C" w:rsidRPr="00A90509" w:rsidRDefault="00A9247C" w:rsidP="000643E5">
            <w:pPr>
              <w:spacing w:before="80" w:after="80" w:line="200" w:lineRule="exact"/>
              <w:jc w:val="right"/>
              <w:rPr>
                <w:i/>
                <w:sz w:val="16"/>
              </w:rPr>
            </w:pPr>
            <w:r w:rsidRPr="00A90509">
              <w:rPr>
                <w:i/>
                <w:sz w:val="16"/>
              </w:rPr>
              <w:t>Femmes</w:t>
            </w:r>
          </w:p>
        </w:tc>
        <w:tc>
          <w:tcPr>
            <w:tcW w:w="850" w:type="dxa"/>
            <w:tcBorders>
              <w:top w:val="single" w:sz="4" w:space="0" w:color="auto"/>
              <w:bottom w:val="single" w:sz="12" w:space="0" w:color="auto"/>
            </w:tcBorders>
            <w:shd w:val="clear" w:color="auto" w:fill="auto"/>
            <w:vAlign w:val="bottom"/>
          </w:tcPr>
          <w:p w14:paraId="3CE6F805" w14:textId="77777777" w:rsidR="00A9247C" w:rsidRPr="00A90509" w:rsidRDefault="00A9247C" w:rsidP="000643E5">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03C59BC8" w14:textId="77777777" w:rsidR="00A9247C" w:rsidRPr="00A90509" w:rsidRDefault="00A9247C" w:rsidP="000643E5">
            <w:pPr>
              <w:spacing w:before="80" w:after="80" w:line="200" w:lineRule="exact"/>
              <w:jc w:val="right"/>
              <w:rPr>
                <w:i/>
                <w:sz w:val="16"/>
              </w:rPr>
            </w:pPr>
            <w:r w:rsidRPr="00A90509">
              <w:rPr>
                <w:i/>
                <w:sz w:val="16"/>
              </w:rPr>
              <w:t>Femmes</w:t>
            </w:r>
          </w:p>
        </w:tc>
        <w:tc>
          <w:tcPr>
            <w:tcW w:w="850" w:type="dxa"/>
            <w:tcBorders>
              <w:top w:val="single" w:sz="4" w:space="0" w:color="auto"/>
              <w:bottom w:val="single" w:sz="12" w:space="0" w:color="auto"/>
            </w:tcBorders>
            <w:shd w:val="clear" w:color="auto" w:fill="auto"/>
            <w:vAlign w:val="bottom"/>
          </w:tcPr>
          <w:p w14:paraId="4EF5F177" w14:textId="77777777" w:rsidR="00A9247C" w:rsidRPr="00A90509" w:rsidRDefault="00A9247C" w:rsidP="000643E5">
            <w:pPr>
              <w:spacing w:before="80" w:after="80" w:line="200" w:lineRule="exact"/>
              <w:jc w:val="right"/>
              <w:rPr>
                <w:i/>
                <w:sz w:val="16"/>
              </w:rPr>
            </w:pPr>
            <w:r w:rsidRPr="00A90509">
              <w:rPr>
                <w:i/>
                <w:sz w:val="16"/>
              </w:rPr>
              <w:t>Hommes</w:t>
            </w:r>
          </w:p>
        </w:tc>
        <w:tc>
          <w:tcPr>
            <w:tcW w:w="709" w:type="dxa"/>
            <w:tcBorders>
              <w:top w:val="single" w:sz="4" w:space="0" w:color="auto"/>
              <w:bottom w:val="single" w:sz="12" w:space="0" w:color="auto"/>
            </w:tcBorders>
            <w:shd w:val="clear" w:color="auto" w:fill="auto"/>
            <w:vAlign w:val="bottom"/>
          </w:tcPr>
          <w:p w14:paraId="4C3D49B5" w14:textId="77777777" w:rsidR="00A9247C" w:rsidRPr="00A90509" w:rsidRDefault="00A9247C" w:rsidP="000643E5">
            <w:pPr>
              <w:spacing w:before="80" w:after="80" w:line="200" w:lineRule="exact"/>
              <w:jc w:val="right"/>
              <w:rPr>
                <w:i/>
                <w:sz w:val="16"/>
              </w:rPr>
            </w:pPr>
            <w:r w:rsidRPr="00A90509">
              <w:rPr>
                <w:i/>
                <w:sz w:val="16"/>
              </w:rPr>
              <w:t>Femmes</w:t>
            </w:r>
          </w:p>
        </w:tc>
        <w:tc>
          <w:tcPr>
            <w:tcW w:w="709" w:type="dxa"/>
            <w:tcBorders>
              <w:top w:val="single" w:sz="4" w:space="0" w:color="auto"/>
              <w:bottom w:val="single" w:sz="12" w:space="0" w:color="auto"/>
            </w:tcBorders>
            <w:shd w:val="clear" w:color="auto" w:fill="auto"/>
            <w:vAlign w:val="bottom"/>
          </w:tcPr>
          <w:p w14:paraId="664178AC" w14:textId="77777777" w:rsidR="00A9247C" w:rsidRPr="00A90509" w:rsidRDefault="00A9247C" w:rsidP="000643E5">
            <w:pPr>
              <w:spacing w:before="80" w:after="80" w:line="200" w:lineRule="exact"/>
              <w:jc w:val="right"/>
              <w:rPr>
                <w:i/>
                <w:sz w:val="16"/>
              </w:rPr>
            </w:pPr>
            <w:r w:rsidRPr="00A90509">
              <w:rPr>
                <w:i/>
                <w:sz w:val="16"/>
              </w:rPr>
              <w:t>Hommes</w:t>
            </w:r>
          </w:p>
        </w:tc>
        <w:tc>
          <w:tcPr>
            <w:tcW w:w="849" w:type="dxa"/>
            <w:tcBorders>
              <w:top w:val="single" w:sz="4" w:space="0" w:color="auto"/>
              <w:bottom w:val="single" w:sz="12" w:space="0" w:color="auto"/>
            </w:tcBorders>
            <w:shd w:val="clear" w:color="auto" w:fill="auto"/>
            <w:vAlign w:val="bottom"/>
          </w:tcPr>
          <w:p w14:paraId="78BF491B" w14:textId="77777777" w:rsidR="00A9247C" w:rsidRPr="00A90509" w:rsidRDefault="00A9247C" w:rsidP="000643E5">
            <w:pPr>
              <w:spacing w:before="80" w:after="80" w:line="200" w:lineRule="exact"/>
              <w:jc w:val="right"/>
              <w:rPr>
                <w:i/>
                <w:sz w:val="16"/>
              </w:rPr>
            </w:pPr>
            <w:r w:rsidRPr="00A90509">
              <w:rPr>
                <w:i/>
                <w:sz w:val="16"/>
              </w:rPr>
              <w:t>Femmes</w:t>
            </w:r>
          </w:p>
        </w:tc>
      </w:tr>
      <w:tr w:rsidR="00A9247C" w:rsidRPr="00A90509" w14:paraId="7A797419" w14:textId="77777777" w:rsidTr="000643E5">
        <w:tc>
          <w:tcPr>
            <w:tcW w:w="1276" w:type="dxa"/>
            <w:tcBorders>
              <w:top w:val="single" w:sz="12" w:space="0" w:color="auto"/>
            </w:tcBorders>
            <w:shd w:val="clear" w:color="auto" w:fill="auto"/>
            <w:vAlign w:val="bottom"/>
          </w:tcPr>
          <w:p w14:paraId="7316B4B3" w14:textId="77777777" w:rsidR="00A9247C" w:rsidRPr="00A90509" w:rsidRDefault="00A9247C" w:rsidP="000643E5">
            <w:pPr>
              <w:spacing w:before="40" w:after="40" w:line="220" w:lineRule="exact"/>
              <w:rPr>
                <w:sz w:val="18"/>
              </w:rPr>
            </w:pPr>
            <w:r w:rsidRPr="00A90509">
              <w:rPr>
                <w:sz w:val="18"/>
                <w:lang w:val="fr-FR"/>
              </w:rPr>
              <w:t>Bethléem</w:t>
            </w:r>
          </w:p>
        </w:tc>
        <w:tc>
          <w:tcPr>
            <w:tcW w:w="709" w:type="dxa"/>
            <w:tcBorders>
              <w:top w:val="single" w:sz="12" w:space="0" w:color="auto"/>
            </w:tcBorders>
            <w:shd w:val="clear" w:color="auto" w:fill="auto"/>
            <w:vAlign w:val="bottom"/>
          </w:tcPr>
          <w:p w14:paraId="491F1A62" w14:textId="3C54467F" w:rsidR="00A9247C" w:rsidRPr="00A90509" w:rsidRDefault="00A9247C" w:rsidP="000643E5">
            <w:pPr>
              <w:spacing w:before="40" w:after="40" w:line="220" w:lineRule="exact"/>
              <w:jc w:val="right"/>
              <w:rPr>
                <w:sz w:val="18"/>
              </w:rPr>
            </w:pPr>
            <w:r>
              <w:rPr>
                <w:sz w:val="18"/>
              </w:rPr>
              <w:t>457</w:t>
            </w:r>
          </w:p>
        </w:tc>
        <w:tc>
          <w:tcPr>
            <w:tcW w:w="709" w:type="dxa"/>
            <w:tcBorders>
              <w:top w:val="single" w:sz="12" w:space="0" w:color="auto"/>
            </w:tcBorders>
            <w:shd w:val="clear" w:color="auto" w:fill="auto"/>
            <w:vAlign w:val="bottom"/>
          </w:tcPr>
          <w:p w14:paraId="4943F60C" w14:textId="71AAD8C3" w:rsidR="00A9247C" w:rsidRPr="00A90509" w:rsidRDefault="00A9247C" w:rsidP="000643E5">
            <w:pPr>
              <w:spacing w:before="40" w:after="40" w:line="220" w:lineRule="exact"/>
              <w:jc w:val="right"/>
              <w:rPr>
                <w:sz w:val="18"/>
              </w:rPr>
            </w:pPr>
            <w:r>
              <w:rPr>
                <w:sz w:val="18"/>
              </w:rPr>
              <w:t>23</w:t>
            </w:r>
          </w:p>
        </w:tc>
        <w:tc>
          <w:tcPr>
            <w:tcW w:w="850" w:type="dxa"/>
            <w:tcBorders>
              <w:top w:val="single" w:sz="12" w:space="0" w:color="auto"/>
            </w:tcBorders>
            <w:shd w:val="clear" w:color="auto" w:fill="auto"/>
            <w:vAlign w:val="bottom"/>
          </w:tcPr>
          <w:p w14:paraId="4F42F909" w14:textId="0DFA7ECD" w:rsidR="00A9247C" w:rsidRPr="00A90509" w:rsidRDefault="00A9247C" w:rsidP="000643E5">
            <w:pPr>
              <w:spacing w:before="40" w:after="40" w:line="220" w:lineRule="exact"/>
              <w:jc w:val="right"/>
              <w:rPr>
                <w:sz w:val="18"/>
              </w:rPr>
            </w:pPr>
            <w:r>
              <w:rPr>
                <w:sz w:val="18"/>
              </w:rPr>
              <w:t>531</w:t>
            </w:r>
          </w:p>
        </w:tc>
        <w:tc>
          <w:tcPr>
            <w:tcW w:w="709" w:type="dxa"/>
            <w:tcBorders>
              <w:top w:val="single" w:sz="12" w:space="0" w:color="auto"/>
            </w:tcBorders>
            <w:shd w:val="clear" w:color="auto" w:fill="auto"/>
            <w:vAlign w:val="bottom"/>
          </w:tcPr>
          <w:p w14:paraId="57589D78" w14:textId="47545DAF" w:rsidR="00A9247C" w:rsidRPr="00A90509" w:rsidRDefault="00A9247C" w:rsidP="000643E5">
            <w:pPr>
              <w:spacing w:before="40" w:after="40" w:line="220" w:lineRule="exact"/>
              <w:jc w:val="right"/>
              <w:rPr>
                <w:sz w:val="18"/>
              </w:rPr>
            </w:pPr>
            <w:r>
              <w:rPr>
                <w:sz w:val="18"/>
              </w:rPr>
              <w:t>16</w:t>
            </w:r>
          </w:p>
        </w:tc>
        <w:tc>
          <w:tcPr>
            <w:tcW w:w="850" w:type="dxa"/>
            <w:tcBorders>
              <w:top w:val="single" w:sz="12" w:space="0" w:color="auto"/>
            </w:tcBorders>
            <w:shd w:val="clear" w:color="auto" w:fill="auto"/>
            <w:vAlign w:val="bottom"/>
          </w:tcPr>
          <w:p w14:paraId="7D9DDE34" w14:textId="74D00740" w:rsidR="00A9247C" w:rsidRPr="00A90509" w:rsidRDefault="00A9247C" w:rsidP="000643E5">
            <w:pPr>
              <w:spacing w:before="40" w:after="40" w:line="220" w:lineRule="exact"/>
              <w:jc w:val="right"/>
              <w:rPr>
                <w:sz w:val="18"/>
              </w:rPr>
            </w:pPr>
            <w:r>
              <w:rPr>
                <w:sz w:val="18"/>
              </w:rPr>
              <w:t>466</w:t>
            </w:r>
          </w:p>
        </w:tc>
        <w:tc>
          <w:tcPr>
            <w:tcW w:w="709" w:type="dxa"/>
            <w:tcBorders>
              <w:top w:val="single" w:sz="12" w:space="0" w:color="auto"/>
            </w:tcBorders>
            <w:shd w:val="clear" w:color="auto" w:fill="auto"/>
            <w:vAlign w:val="bottom"/>
          </w:tcPr>
          <w:p w14:paraId="2C627A63" w14:textId="05814EDB" w:rsidR="00A9247C" w:rsidRPr="00A90509" w:rsidRDefault="00A9247C" w:rsidP="000643E5">
            <w:pPr>
              <w:spacing w:before="40" w:after="40" w:line="220" w:lineRule="exact"/>
              <w:jc w:val="right"/>
              <w:rPr>
                <w:sz w:val="18"/>
              </w:rPr>
            </w:pPr>
            <w:r>
              <w:rPr>
                <w:sz w:val="18"/>
              </w:rPr>
              <w:t>12</w:t>
            </w:r>
          </w:p>
        </w:tc>
        <w:tc>
          <w:tcPr>
            <w:tcW w:w="709" w:type="dxa"/>
            <w:tcBorders>
              <w:top w:val="single" w:sz="12" w:space="0" w:color="auto"/>
            </w:tcBorders>
            <w:shd w:val="clear" w:color="auto" w:fill="auto"/>
            <w:vAlign w:val="bottom"/>
          </w:tcPr>
          <w:p w14:paraId="58FDE76E" w14:textId="60350BA4" w:rsidR="00A9247C" w:rsidRPr="00A90509" w:rsidRDefault="00A9247C" w:rsidP="000643E5">
            <w:pPr>
              <w:spacing w:before="40" w:after="40" w:line="220" w:lineRule="exact"/>
              <w:jc w:val="right"/>
              <w:rPr>
                <w:sz w:val="18"/>
              </w:rPr>
            </w:pPr>
            <w:r>
              <w:rPr>
                <w:sz w:val="18"/>
              </w:rPr>
              <w:t>297</w:t>
            </w:r>
          </w:p>
        </w:tc>
        <w:tc>
          <w:tcPr>
            <w:tcW w:w="849" w:type="dxa"/>
            <w:tcBorders>
              <w:top w:val="single" w:sz="12" w:space="0" w:color="auto"/>
            </w:tcBorders>
            <w:shd w:val="clear" w:color="auto" w:fill="auto"/>
            <w:vAlign w:val="bottom"/>
          </w:tcPr>
          <w:p w14:paraId="1FA43B08" w14:textId="40860B3D" w:rsidR="00A9247C" w:rsidRPr="00A90509" w:rsidRDefault="00A9247C" w:rsidP="000643E5">
            <w:pPr>
              <w:spacing w:before="40" w:after="40" w:line="220" w:lineRule="exact"/>
              <w:jc w:val="right"/>
              <w:rPr>
                <w:sz w:val="18"/>
              </w:rPr>
            </w:pPr>
            <w:r>
              <w:rPr>
                <w:sz w:val="18"/>
              </w:rPr>
              <w:t>22</w:t>
            </w:r>
          </w:p>
        </w:tc>
      </w:tr>
      <w:tr w:rsidR="00A9247C" w:rsidRPr="00A90509" w14:paraId="4CE2C26C" w14:textId="77777777" w:rsidTr="000643E5">
        <w:tc>
          <w:tcPr>
            <w:tcW w:w="1276" w:type="dxa"/>
            <w:shd w:val="clear" w:color="auto" w:fill="auto"/>
            <w:vAlign w:val="bottom"/>
          </w:tcPr>
          <w:p w14:paraId="2067ED41" w14:textId="77777777" w:rsidR="00A9247C" w:rsidRPr="00A90509" w:rsidRDefault="00A9247C" w:rsidP="000643E5">
            <w:pPr>
              <w:spacing w:before="40" w:after="40" w:line="220" w:lineRule="exact"/>
              <w:rPr>
                <w:sz w:val="18"/>
              </w:rPr>
            </w:pPr>
            <w:r w:rsidRPr="00A90509">
              <w:rPr>
                <w:sz w:val="18"/>
                <w:lang w:val="fr-FR"/>
              </w:rPr>
              <w:t>Jénine</w:t>
            </w:r>
          </w:p>
        </w:tc>
        <w:tc>
          <w:tcPr>
            <w:tcW w:w="709" w:type="dxa"/>
            <w:shd w:val="clear" w:color="auto" w:fill="auto"/>
            <w:vAlign w:val="bottom"/>
          </w:tcPr>
          <w:p w14:paraId="4E0587FE" w14:textId="039A4E10" w:rsidR="00A9247C" w:rsidRPr="00A90509" w:rsidRDefault="00A9247C" w:rsidP="000643E5">
            <w:pPr>
              <w:spacing w:before="40" w:after="40" w:line="220" w:lineRule="exact"/>
              <w:jc w:val="right"/>
              <w:rPr>
                <w:sz w:val="18"/>
              </w:rPr>
            </w:pPr>
            <w:r>
              <w:rPr>
                <w:sz w:val="18"/>
              </w:rPr>
              <w:t>1 096</w:t>
            </w:r>
          </w:p>
        </w:tc>
        <w:tc>
          <w:tcPr>
            <w:tcW w:w="709" w:type="dxa"/>
            <w:shd w:val="clear" w:color="auto" w:fill="auto"/>
            <w:vAlign w:val="bottom"/>
          </w:tcPr>
          <w:p w14:paraId="453EE9A6" w14:textId="2A3ADF0C" w:rsidR="00A9247C" w:rsidRPr="00A90509" w:rsidRDefault="00A9247C" w:rsidP="000643E5">
            <w:pPr>
              <w:spacing w:before="40" w:after="40" w:line="220" w:lineRule="exact"/>
              <w:jc w:val="right"/>
              <w:rPr>
                <w:sz w:val="18"/>
              </w:rPr>
            </w:pPr>
            <w:r>
              <w:rPr>
                <w:sz w:val="18"/>
              </w:rPr>
              <w:t>23</w:t>
            </w:r>
          </w:p>
        </w:tc>
        <w:tc>
          <w:tcPr>
            <w:tcW w:w="850" w:type="dxa"/>
            <w:shd w:val="clear" w:color="auto" w:fill="auto"/>
            <w:vAlign w:val="bottom"/>
          </w:tcPr>
          <w:p w14:paraId="19965EFF" w14:textId="5DFEDBDE" w:rsidR="00A9247C" w:rsidRPr="00A90509" w:rsidRDefault="00A9247C" w:rsidP="000643E5">
            <w:pPr>
              <w:spacing w:before="40" w:after="40" w:line="220" w:lineRule="exact"/>
              <w:jc w:val="right"/>
              <w:rPr>
                <w:sz w:val="18"/>
              </w:rPr>
            </w:pPr>
            <w:r>
              <w:rPr>
                <w:sz w:val="18"/>
              </w:rPr>
              <w:t>1 016</w:t>
            </w:r>
          </w:p>
        </w:tc>
        <w:tc>
          <w:tcPr>
            <w:tcW w:w="709" w:type="dxa"/>
            <w:shd w:val="clear" w:color="auto" w:fill="auto"/>
            <w:vAlign w:val="bottom"/>
          </w:tcPr>
          <w:p w14:paraId="38C7205F" w14:textId="75373361" w:rsidR="00A9247C" w:rsidRPr="00A90509" w:rsidRDefault="00A9247C" w:rsidP="000643E5">
            <w:pPr>
              <w:spacing w:before="40" w:after="40" w:line="220" w:lineRule="exact"/>
              <w:jc w:val="right"/>
              <w:rPr>
                <w:sz w:val="18"/>
              </w:rPr>
            </w:pPr>
            <w:r>
              <w:rPr>
                <w:sz w:val="18"/>
              </w:rPr>
              <w:t>22</w:t>
            </w:r>
          </w:p>
        </w:tc>
        <w:tc>
          <w:tcPr>
            <w:tcW w:w="850" w:type="dxa"/>
            <w:shd w:val="clear" w:color="auto" w:fill="auto"/>
            <w:vAlign w:val="bottom"/>
          </w:tcPr>
          <w:p w14:paraId="4A31BE25" w14:textId="4965496E" w:rsidR="00A9247C" w:rsidRPr="00A90509" w:rsidRDefault="00A9247C" w:rsidP="000643E5">
            <w:pPr>
              <w:spacing w:before="40" w:after="40" w:line="220" w:lineRule="exact"/>
              <w:jc w:val="right"/>
              <w:rPr>
                <w:sz w:val="18"/>
              </w:rPr>
            </w:pPr>
            <w:r>
              <w:rPr>
                <w:sz w:val="18"/>
              </w:rPr>
              <w:t>763</w:t>
            </w:r>
          </w:p>
        </w:tc>
        <w:tc>
          <w:tcPr>
            <w:tcW w:w="709" w:type="dxa"/>
            <w:shd w:val="clear" w:color="auto" w:fill="auto"/>
            <w:vAlign w:val="bottom"/>
          </w:tcPr>
          <w:p w14:paraId="71585EEA" w14:textId="2772BD9A" w:rsidR="00A9247C" w:rsidRPr="00A90509" w:rsidRDefault="00A9247C" w:rsidP="000643E5">
            <w:pPr>
              <w:spacing w:before="40" w:after="40" w:line="220" w:lineRule="exact"/>
              <w:jc w:val="right"/>
              <w:rPr>
                <w:sz w:val="18"/>
              </w:rPr>
            </w:pPr>
            <w:r>
              <w:rPr>
                <w:sz w:val="18"/>
              </w:rPr>
              <w:t>29</w:t>
            </w:r>
          </w:p>
        </w:tc>
        <w:tc>
          <w:tcPr>
            <w:tcW w:w="709" w:type="dxa"/>
            <w:shd w:val="clear" w:color="auto" w:fill="auto"/>
            <w:vAlign w:val="bottom"/>
          </w:tcPr>
          <w:p w14:paraId="663E302A" w14:textId="0A8CC908" w:rsidR="00A9247C" w:rsidRPr="00A90509" w:rsidRDefault="00A9247C" w:rsidP="000643E5">
            <w:pPr>
              <w:spacing w:before="40" w:after="40" w:line="220" w:lineRule="exact"/>
              <w:jc w:val="right"/>
              <w:rPr>
                <w:sz w:val="18"/>
              </w:rPr>
            </w:pPr>
            <w:r>
              <w:rPr>
                <w:sz w:val="18"/>
              </w:rPr>
              <w:t>664</w:t>
            </w:r>
          </w:p>
        </w:tc>
        <w:tc>
          <w:tcPr>
            <w:tcW w:w="849" w:type="dxa"/>
            <w:shd w:val="clear" w:color="auto" w:fill="auto"/>
            <w:vAlign w:val="bottom"/>
          </w:tcPr>
          <w:p w14:paraId="7ACAB084" w14:textId="003E4265" w:rsidR="00A9247C" w:rsidRPr="00A90509" w:rsidRDefault="00A9247C" w:rsidP="000643E5">
            <w:pPr>
              <w:spacing w:before="40" w:after="40" w:line="220" w:lineRule="exact"/>
              <w:jc w:val="right"/>
              <w:rPr>
                <w:sz w:val="18"/>
              </w:rPr>
            </w:pPr>
            <w:r>
              <w:rPr>
                <w:sz w:val="18"/>
              </w:rPr>
              <w:t>41</w:t>
            </w:r>
          </w:p>
        </w:tc>
      </w:tr>
      <w:tr w:rsidR="00A9247C" w:rsidRPr="00A90509" w14:paraId="792D9B7B" w14:textId="77777777" w:rsidTr="000643E5">
        <w:tc>
          <w:tcPr>
            <w:tcW w:w="1276" w:type="dxa"/>
            <w:shd w:val="clear" w:color="auto" w:fill="auto"/>
            <w:vAlign w:val="bottom"/>
          </w:tcPr>
          <w:p w14:paraId="3249767D" w14:textId="77777777" w:rsidR="00A9247C" w:rsidRPr="00A90509" w:rsidRDefault="00A9247C" w:rsidP="000643E5">
            <w:pPr>
              <w:spacing w:before="40" w:after="40" w:line="220" w:lineRule="exact"/>
              <w:rPr>
                <w:sz w:val="18"/>
              </w:rPr>
            </w:pPr>
            <w:r w:rsidRPr="00A90509">
              <w:rPr>
                <w:sz w:val="18"/>
                <w:lang w:val="fr-FR"/>
              </w:rPr>
              <w:t>Naplouse</w:t>
            </w:r>
          </w:p>
        </w:tc>
        <w:tc>
          <w:tcPr>
            <w:tcW w:w="709" w:type="dxa"/>
            <w:shd w:val="clear" w:color="auto" w:fill="auto"/>
            <w:vAlign w:val="bottom"/>
          </w:tcPr>
          <w:p w14:paraId="4753574D" w14:textId="6C7EA163" w:rsidR="00A9247C" w:rsidRPr="00A90509" w:rsidRDefault="00A9247C" w:rsidP="000643E5">
            <w:pPr>
              <w:spacing w:before="40" w:after="40" w:line="220" w:lineRule="exact"/>
              <w:jc w:val="right"/>
              <w:rPr>
                <w:sz w:val="18"/>
              </w:rPr>
            </w:pPr>
            <w:r>
              <w:rPr>
                <w:sz w:val="18"/>
              </w:rPr>
              <w:t>1 517</w:t>
            </w:r>
          </w:p>
        </w:tc>
        <w:tc>
          <w:tcPr>
            <w:tcW w:w="709" w:type="dxa"/>
            <w:shd w:val="clear" w:color="auto" w:fill="auto"/>
            <w:vAlign w:val="bottom"/>
          </w:tcPr>
          <w:p w14:paraId="63490029"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029800E9" w14:textId="7D3692B6" w:rsidR="00A9247C" w:rsidRPr="00A90509" w:rsidRDefault="00A9247C" w:rsidP="000643E5">
            <w:pPr>
              <w:spacing w:before="40" w:after="40" w:line="220" w:lineRule="exact"/>
              <w:jc w:val="right"/>
              <w:rPr>
                <w:sz w:val="18"/>
              </w:rPr>
            </w:pPr>
            <w:r>
              <w:rPr>
                <w:sz w:val="18"/>
              </w:rPr>
              <w:t>835</w:t>
            </w:r>
          </w:p>
        </w:tc>
        <w:tc>
          <w:tcPr>
            <w:tcW w:w="709" w:type="dxa"/>
            <w:shd w:val="clear" w:color="auto" w:fill="auto"/>
            <w:vAlign w:val="bottom"/>
          </w:tcPr>
          <w:p w14:paraId="1C67A039"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4E7A5950" w14:textId="43D77189" w:rsidR="00A9247C" w:rsidRPr="00A90509" w:rsidRDefault="00A9247C" w:rsidP="000643E5">
            <w:pPr>
              <w:spacing w:before="40" w:after="40" w:line="220" w:lineRule="exact"/>
              <w:jc w:val="right"/>
              <w:rPr>
                <w:sz w:val="18"/>
              </w:rPr>
            </w:pPr>
            <w:r>
              <w:rPr>
                <w:sz w:val="18"/>
              </w:rPr>
              <w:t>805</w:t>
            </w:r>
          </w:p>
        </w:tc>
        <w:tc>
          <w:tcPr>
            <w:tcW w:w="709" w:type="dxa"/>
            <w:shd w:val="clear" w:color="auto" w:fill="auto"/>
            <w:vAlign w:val="bottom"/>
          </w:tcPr>
          <w:p w14:paraId="46C14228" w14:textId="77777777" w:rsidR="00A9247C" w:rsidRPr="00A90509" w:rsidRDefault="00A9247C" w:rsidP="000643E5">
            <w:pPr>
              <w:spacing w:before="40" w:after="40" w:line="220" w:lineRule="exact"/>
              <w:jc w:val="right"/>
              <w:rPr>
                <w:sz w:val="18"/>
              </w:rPr>
            </w:pPr>
            <w:r>
              <w:rPr>
                <w:sz w:val="18"/>
              </w:rPr>
              <w:t>0</w:t>
            </w:r>
          </w:p>
        </w:tc>
        <w:tc>
          <w:tcPr>
            <w:tcW w:w="709" w:type="dxa"/>
            <w:shd w:val="clear" w:color="auto" w:fill="auto"/>
            <w:vAlign w:val="bottom"/>
          </w:tcPr>
          <w:p w14:paraId="7F13C82D" w14:textId="67A47C8E" w:rsidR="00A9247C" w:rsidRPr="00A90509" w:rsidRDefault="00A9247C" w:rsidP="000643E5">
            <w:pPr>
              <w:spacing w:before="40" w:after="40" w:line="220" w:lineRule="exact"/>
              <w:jc w:val="right"/>
              <w:rPr>
                <w:sz w:val="18"/>
              </w:rPr>
            </w:pPr>
            <w:r>
              <w:rPr>
                <w:sz w:val="18"/>
              </w:rPr>
              <w:t>512</w:t>
            </w:r>
          </w:p>
        </w:tc>
        <w:tc>
          <w:tcPr>
            <w:tcW w:w="849" w:type="dxa"/>
            <w:shd w:val="clear" w:color="auto" w:fill="auto"/>
            <w:vAlign w:val="bottom"/>
          </w:tcPr>
          <w:p w14:paraId="34F369C6" w14:textId="77777777" w:rsidR="00A9247C" w:rsidRPr="00A90509" w:rsidRDefault="00A9247C" w:rsidP="000643E5">
            <w:pPr>
              <w:spacing w:before="40" w:after="40" w:line="220" w:lineRule="exact"/>
              <w:jc w:val="right"/>
              <w:rPr>
                <w:sz w:val="18"/>
              </w:rPr>
            </w:pPr>
            <w:r>
              <w:rPr>
                <w:sz w:val="18"/>
              </w:rPr>
              <w:t>0</w:t>
            </w:r>
          </w:p>
        </w:tc>
      </w:tr>
      <w:tr w:rsidR="00A9247C" w:rsidRPr="00A90509" w14:paraId="53AF2F7D" w14:textId="77777777" w:rsidTr="000643E5">
        <w:tc>
          <w:tcPr>
            <w:tcW w:w="1276" w:type="dxa"/>
            <w:shd w:val="clear" w:color="auto" w:fill="auto"/>
            <w:vAlign w:val="bottom"/>
          </w:tcPr>
          <w:p w14:paraId="65B2B39E" w14:textId="77777777" w:rsidR="00A9247C" w:rsidRPr="00A90509" w:rsidRDefault="00A9247C" w:rsidP="000643E5">
            <w:pPr>
              <w:spacing w:before="40" w:after="40" w:line="220" w:lineRule="exact"/>
              <w:rPr>
                <w:sz w:val="18"/>
              </w:rPr>
            </w:pPr>
            <w:r w:rsidRPr="00A90509">
              <w:rPr>
                <w:sz w:val="18"/>
                <w:lang w:val="fr-FR"/>
              </w:rPr>
              <w:t>Ramallah</w:t>
            </w:r>
          </w:p>
        </w:tc>
        <w:tc>
          <w:tcPr>
            <w:tcW w:w="709" w:type="dxa"/>
            <w:shd w:val="clear" w:color="auto" w:fill="auto"/>
            <w:vAlign w:val="bottom"/>
          </w:tcPr>
          <w:p w14:paraId="13A1B102" w14:textId="44301D64" w:rsidR="00A9247C" w:rsidRPr="00A90509" w:rsidRDefault="00A9247C" w:rsidP="000643E5">
            <w:pPr>
              <w:spacing w:before="40" w:after="40" w:line="220" w:lineRule="exact"/>
              <w:jc w:val="right"/>
              <w:rPr>
                <w:sz w:val="18"/>
              </w:rPr>
            </w:pPr>
            <w:r>
              <w:rPr>
                <w:sz w:val="18"/>
              </w:rPr>
              <w:t>1 087</w:t>
            </w:r>
          </w:p>
        </w:tc>
        <w:tc>
          <w:tcPr>
            <w:tcW w:w="709" w:type="dxa"/>
            <w:shd w:val="clear" w:color="auto" w:fill="auto"/>
            <w:vAlign w:val="bottom"/>
          </w:tcPr>
          <w:p w14:paraId="3D104FD3" w14:textId="4E3A146E" w:rsidR="00A9247C" w:rsidRPr="00A90509" w:rsidRDefault="00B920DE" w:rsidP="000643E5">
            <w:pPr>
              <w:spacing w:before="40" w:after="40" w:line="220" w:lineRule="exact"/>
              <w:jc w:val="right"/>
              <w:rPr>
                <w:sz w:val="18"/>
              </w:rPr>
            </w:pPr>
            <w:r>
              <w:rPr>
                <w:sz w:val="18"/>
              </w:rPr>
              <w:t>14</w:t>
            </w:r>
          </w:p>
        </w:tc>
        <w:tc>
          <w:tcPr>
            <w:tcW w:w="850" w:type="dxa"/>
            <w:shd w:val="clear" w:color="auto" w:fill="auto"/>
            <w:vAlign w:val="bottom"/>
          </w:tcPr>
          <w:p w14:paraId="35D33109" w14:textId="71010515" w:rsidR="00A9247C" w:rsidRPr="00A90509" w:rsidRDefault="00B920DE" w:rsidP="000643E5">
            <w:pPr>
              <w:spacing w:before="40" w:after="40" w:line="220" w:lineRule="exact"/>
              <w:jc w:val="right"/>
              <w:rPr>
                <w:sz w:val="18"/>
              </w:rPr>
            </w:pPr>
            <w:r>
              <w:rPr>
                <w:sz w:val="18"/>
              </w:rPr>
              <w:t>573</w:t>
            </w:r>
          </w:p>
        </w:tc>
        <w:tc>
          <w:tcPr>
            <w:tcW w:w="709" w:type="dxa"/>
            <w:shd w:val="clear" w:color="auto" w:fill="auto"/>
            <w:vAlign w:val="bottom"/>
          </w:tcPr>
          <w:p w14:paraId="020D08E1" w14:textId="51A12E41" w:rsidR="00A9247C" w:rsidRPr="00A90509" w:rsidRDefault="00B920DE" w:rsidP="000643E5">
            <w:pPr>
              <w:spacing w:before="40" w:after="40" w:line="220" w:lineRule="exact"/>
              <w:jc w:val="right"/>
              <w:rPr>
                <w:sz w:val="18"/>
              </w:rPr>
            </w:pPr>
            <w:r>
              <w:rPr>
                <w:sz w:val="18"/>
              </w:rPr>
              <w:t>21</w:t>
            </w:r>
          </w:p>
        </w:tc>
        <w:tc>
          <w:tcPr>
            <w:tcW w:w="850" w:type="dxa"/>
            <w:shd w:val="clear" w:color="auto" w:fill="auto"/>
            <w:vAlign w:val="bottom"/>
          </w:tcPr>
          <w:p w14:paraId="491A54B6" w14:textId="2FA4C9C8" w:rsidR="00A9247C" w:rsidRPr="00A90509" w:rsidRDefault="00B920DE" w:rsidP="000643E5">
            <w:pPr>
              <w:spacing w:before="40" w:after="40" w:line="220" w:lineRule="exact"/>
              <w:jc w:val="right"/>
              <w:rPr>
                <w:sz w:val="18"/>
              </w:rPr>
            </w:pPr>
            <w:r>
              <w:rPr>
                <w:sz w:val="18"/>
              </w:rPr>
              <w:t>568</w:t>
            </w:r>
          </w:p>
        </w:tc>
        <w:tc>
          <w:tcPr>
            <w:tcW w:w="709" w:type="dxa"/>
            <w:shd w:val="clear" w:color="auto" w:fill="auto"/>
            <w:vAlign w:val="bottom"/>
          </w:tcPr>
          <w:p w14:paraId="1230B412" w14:textId="3A56C883" w:rsidR="00A9247C" w:rsidRPr="00A90509" w:rsidRDefault="00B920DE" w:rsidP="000643E5">
            <w:pPr>
              <w:spacing w:before="40" w:after="40" w:line="220" w:lineRule="exact"/>
              <w:jc w:val="right"/>
              <w:rPr>
                <w:sz w:val="18"/>
              </w:rPr>
            </w:pPr>
            <w:r>
              <w:rPr>
                <w:sz w:val="18"/>
              </w:rPr>
              <w:t>32</w:t>
            </w:r>
          </w:p>
        </w:tc>
        <w:tc>
          <w:tcPr>
            <w:tcW w:w="709" w:type="dxa"/>
            <w:shd w:val="clear" w:color="auto" w:fill="auto"/>
            <w:vAlign w:val="bottom"/>
          </w:tcPr>
          <w:p w14:paraId="7178DADF" w14:textId="3A235015" w:rsidR="00A9247C" w:rsidRPr="00A90509" w:rsidRDefault="00B920DE" w:rsidP="000643E5">
            <w:pPr>
              <w:spacing w:before="40" w:after="40" w:line="220" w:lineRule="exact"/>
              <w:jc w:val="right"/>
              <w:rPr>
                <w:sz w:val="18"/>
              </w:rPr>
            </w:pPr>
            <w:r>
              <w:rPr>
                <w:sz w:val="18"/>
              </w:rPr>
              <w:t>482</w:t>
            </w:r>
          </w:p>
        </w:tc>
        <w:tc>
          <w:tcPr>
            <w:tcW w:w="849" w:type="dxa"/>
            <w:shd w:val="clear" w:color="auto" w:fill="auto"/>
            <w:vAlign w:val="bottom"/>
          </w:tcPr>
          <w:p w14:paraId="44719007" w14:textId="4DEEE055" w:rsidR="00A9247C" w:rsidRPr="00A90509" w:rsidRDefault="00B920DE" w:rsidP="000643E5">
            <w:pPr>
              <w:spacing w:before="40" w:after="40" w:line="220" w:lineRule="exact"/>
              <w:jc w:val="right"/>
              <w:rPr>
                <w:sz w:val="18"/>
              </w:rPr>
            </w:pPr>
            <w:r>
              <w:rPr>
                <w:sz w:val="18"/>
              </w:rPr>
              <w:t>22</w:t>
            </w:r>
          </w:p>
        </w:tc>
      </w:tr>
      <w:tr w:rsidR="00A9247C" w:rsidRPr="00A90509" w14:paraId="5BBE11E2" w14:textId="77777777" w:rsidTr="000643E5">
        <w:tc>
          <w:tcPr>
            <w:tcW w:w="1276" w:type="dxa"/>
            <w:shd w:val="clear" w:color="auto" w:fill="auto"/>
            <w:vAlign w:val="bottom"/>
          </w:tcPr>
          <w:p w14:paraId="02BDAB2D" w14:textId="77777777" w:rsidR="00A9247C" w:rsidRPr="00A90509" w:rsidRDefault="00A9247C" w:rsidP="000643E5">
            <w:pPr>
              <w:spacing w:before="40" w:after="40" w:line="220" w:lineRule="exact"/>
              <w:rPr>
                <w:sz w:val="18"/>
              </w:rPr>
            </w:pPr>
            <w:r w:rsidRPr="00A90509">
              <w:rPr>
                <w:sz w:val="18"/>
                <w:lang w:val="fr-FR"/>
              </w:rPr>
              <w:t>Jéricho</w:t>
            </w:r>
          </w:p>
        </w:tc>
        <w:tc>
          <w:tcPr>
            <w:tcW w:w="709" w:type="dxa"/>
            <w:shd w:val="clear" w:color="auto" w:fill="auto"/>
            <w:vAlign w:val="bottom"/>
          </w:tcPr>
          <w:p w14:paraId="415C8BE1" w14:textId="19990033" w:rsidR="00A9247C" w:rsidRPr="00A90509" w:rsidRDefault="00B920DE" w:rsidP="000643E5">
            <w:pPr>
              <w:spacing w:before="40" w:after="40" w:line="220" w:lineRule="exact"/>
              <w:jc w:val="right"/>
              <w:rPr>
                <w:sz w:val="18"/>
              </w:rPr>
            </w:pPr>
            <w:r>
              <w:rPr>
                <w:sz w:val="18"/>
              </w:rPr>
              <w:t>507</w:t>
            </w:r>
          </w:p>
        </w:tc>
        <w:tc>
          <w:tcPr>
            <w:tcW w:w="709" w:type="dxa"/>
            <w:shd w:val="clear" w:color="auto" w:fill="auto"/>
            <w:vAlign w:val="bottom"/>
          </w:tcPr>
          <w:p w14:paraId="166F08DD" w14:textId="09001DBB" w:rsidR="00A9247C" w:rsidRPr="00A90509" w:rsidRDefault="00B920DE" w:rsidP="000643E5">
            <w:pPr>
              <w:spacing w:before="40" w:after="40" w:line="220" w:lineRule="exact"/>
              <w:jc w:val="right"/>
              <w:rPr>
                <w:sz w:val="18"/>
              </w:rPr>
            </w:pPr>
            <w:r>
              <w:rPr>
                <w:sz w:val="18"/>
              </w:rPr>
              <w:t>7</w:t>
            </w:r>
          </w:p>
        </w:tc>
        <w:tc>
          <w:tcPr>
            <w:tcW w:w="850" w:type="dxa"/>
            <w:shd w:val="clear" w:color="auto" w:fill="auto"/>
            <w:vAlign w:val="bottom"/>
          </w:tcPr>
          <w:p w14:paraId="3CB3D3C3" w14:textId="44D4D489" w:rsidR="00A9247C" w:rsidRPr="00A90509" w:rsidRDefault="00B920DE" w:rsidP="000643E5">
            <w:pPr>
              <w:spacing w:before="40" w:after="40" w:line="220" w:lineRule="exact"/>
              <w:jc w:val="right"/>
              <w:rPr>
                <w:sz w:val="18"/>
              </w:rPr>
            </w:pPr>
            <w:r>
              <w:rPr>
                <w:sz w:val="18"/>
              </w:rPr>
              <w:t>569</w:t>
            </w:r>
          </w:p>
        </w:tc>
        <w:tc>
          <w:tcPr>
            <w:tcW w:w="709" w:type="dxa"/>
            <w:shd w:val="clear" w:color="auto" w:fill="auto"/>
            <w:vAlign w:val="bottom"/>
          </w:tcPr>
          <w:p w14:paraId="59CFB2A2" w14:textId="344E2469" w:rsidR="00A9247C" w:rsidRPr="00A90509" w:rsidRDefault="00B920DE" w:rsidP="000643E5">
            <w:pPr>
              <w:spacing w:before="40" w:after="40" w:line="220" w:lineRule="exact"/>
              <w:jc w:val="right"/>
              <w:rPr>
                <w:sz w:val="18"/>
              </w:rPr>
            </w:pPr>
            <w:r>
              <w:rPr>
                <w:sz w:val="18"/>
              </w:rPr>
              <w:t>13</w:t>
            </w:r>
          </w:p>
        </w:tc>
        <w:tc>
          <w:tcPr>
            <w:tcW w:w="850" w:type="dxa"/>
            <w:shd w:val="clear" w:color="auto" w:fill="auto"/>
            <w:vAlign w:val="bottom"/>
          </w:tcPr>
          <w:p w14:paraId="1004E60B" w14:textId="3A71FB23" w:rsidR="00A9247C" w:rsidRPr="00A90509" w:rsidRDefault="00B920DE" w:rsidP="000643E5">
            <w:pPr>
              <w:spacing w:before="40" w:after="40" w:line="220" w:lineRule="exact"/>
              <w:jc w:val="right"/>
              <w:rPr>
                <w:sz w:val="18"/>
              </w:rPr>
            </w:pPr>
            <w:r>
              <w:rPr>
                <w:sz w:val="18"/>
              </w:rPr>
              <w:t>419</w:t>
            </w:r>
          </w:p>
        </w:tc>
        <w:tc>
          <w:tcPr>
            <w:tcW w:w="709" w:type="dxa"/>
            <w:shd w:val="clear" w:color="auto" w:fill="auto"/>
            <w:vAlign w:val="bottom"/>
          </w:tcPr>
          <w:p w14:paraId="26F9EAC5" w14:textId="10C6FEC6" w:rsidR="00A9247C" w:rsidRPr="00A90509" w:rsidRDefault="00B920DE" w:rsidP="000643E5">
            <w:pPr>
              <w:spacing w:before="40" w:after="40" w:line="220" w:lineRule="exact"/>
              <w:jc w:val="right"/>
              <w:rPr>
                <w:sz w:val="18"/>
              </w:rPr>
            </w:pPr>
            <w:r>
              <w:rPr>
                <w:sz w:val="18"/>
              </w:rPr>
              <w:t>20</w:t>
            </w:r>
          </w:p>
        </w:tc>
        <w:tc>
          <w:tcPr>
            <w:tcW w:w="709" w:type="dxa"/>
            <w:shd w:val="clear" w:color="auto" w:fill="auto"/>
            <w:vAlign w:val="bottom"/>
          </w:tcPr>
          <w:p w14:paraId="5CB058F0" w14:textId="4D62A506" w:rsidR="00A9247C" w:rsidRPr="00A90509" w:rsidRDefault="00B920DE" w:rsidP="000643E5">
            <w:pPr>
              <w:spacing w:before="40" w:after="40" w:line="220" w:lineRule="exact"/>
              <w:jc w:val="right"/>
              <w:rPr>
                <w:sz w:val="18"/>
              </w:rPr>
            </w:pPr>
            <w:r>
              <w:rPr>
                <w:sz w:val="18"/>
              </w:rPr>
              <w:t>286</w:t>
            </w:r>
          </w:p>
        </w:tc>
        <w:tc>
          <w:tcPr>
            <w:tcW w:w="849" w:type="dxa"/>
            <w:shd w:val="clear" w:color="auto" w:fill="auto"/>
            <w:vAlign w:val="bottom"/>
          </w:tcPr>
          <w:p w14:paraId="7450D310" w14:textId="6F31E962" w:rsidR="00A9247C" w:rsidRPr="00A90509" w:rsidRDefault="00B920DE" w:rsidP="000643E5">
            <w:pPr>
              <w:spacing w:before="40" w:after="40" w:line="220" w:lineRule="exact"/>
              <w:jc w:val="right"/>
              <w:rPr>
                <w:sz w:val="18"/>
              </w:rPr>
            </w:pPr>
            <w:r>
              <w:rPr>
                <w:sz w:val="18"/>
              </w:rPr>
              <w:t>17</w:t>
            </w:r>
          </w:p>
        </w:tc>
      </w:tr>
      <w:tr w:rsidR="00A9247C" w:rsidRPr="00A90509" w14:paraId="696FC707" w14:textId="77777777" w:rsidTr="000643E5">
        <w:tc>
          <w:tcPr>
            <w:tcW w:w="1276" w:type="dxa"/>
            <w:shd w:val="clear" w:color="auto" w:fill="auto"/>
            <w:vAlign w:val="bottom"/>
          </w:tcPr>
          <w:p w14:paraId="25C0FBB9" w14:textId="77777777" w:rsidR="00A9247C" w:rsidRPr="00A90509" w:rsidRDefault="00A9247C" w:rsidP="000643E5">
            <w:pPr>
              <w:spacing w:before="40" w:after="40" w:line="220" w:lineRule="exact"/>
              <w:rPr>
                <w:sz w:val="18"/>
              </w:rPr>
            </w:pPr>
            <w:r w:rsidRPr="00A90509">
              <w:rPr>
                <w:sz w:val="18"/>
                <w:lang w:val="fr-FR"/>
              </w:rPr>
              <w:t>Hébron</w:t>
            </w:r>
          </w:p>
        </w:tc>
        <w:tc>
          <w:tcPr>
            <w:tcW w:w="709" w:type="dxa"/>
            <w:shd w:val="clear" w:color="auto" w:fill="auto"/>
            <w:vAlign w:val="bottom"/>
          </w:tcPr>
          <w:p w14:paraId="77859BE8" w14:textId="7A2565AC" w:rsidR="00A9247C" w:rsidRPr="00A90509" w:rsidRDefault="00B920DE" w:rsidP="000643E5">
            <w:pPr>
              <w:spacing w:before="40" w:after="40" w:line="220" w:lineRule="exact"/>
              <w:jc w:val="right"/>
              <w:rPr>
                <w:sz w:val="18"/>
              </w:rPr>
            </w:pPr>
            <w:r>
              <w:rPr>
                <w:sz w:val="18"/>
              </w:rPr>
              <w:t>449</w:t>
            </w:r>
          </w:p>
        </w:tc>
        <w:tc>
          <w:tcPr>
            <w:tcW w:w="709" w:type="dxa"/>
            <w:shd w:val="clear" w:color="auto" w:fill="auto"/>
            <w:vAlign w:val="bottom"/>
          </w:tcPr>
          <w:p w14:paraId="5BBAF9DB"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2F103A06" w14:textId="2B99D9AC" w:rsidR="00A9247C" w:rsidRPr="00A90509" w:rsidRDefault="00B920DE" w:rsidP="000643E5">
            <w:pPr>
              <w:spacing w:before="40" w:after="40" w:line="220" w:lineRule="exact"/>
              <w:jc w:val="right"/>
              <w:rPr>
                <w:sz w:val="18"/>
              </w:rPr>
            </w:pPr>
            <w:r>
              <w:rPr>
                <w:sz w:val="18"/>
              </w:rPr>
              <w:t>261</w:t>
            </w:r>
          </w:p>
        </w:tc>
        <w:tc>
          <w:tcPr>
            <w:tcW w:w="709" w:type="dxa"/>
            <w:shd w:val="clear" w:color="auto" w:fill="auto"/>
            <w:vAlign w:val="bottom"/>
          </w:tcPr>
          <w:p w14:paraId="1C8ECE80"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2D94C191" w14:textId="7432EA49" w:rsidR="00A9247C" w:rsidRPr="00A90509" w:rsidRDefault="00BE2D6C" w:rsidP="000643E5">
            <w:pPr>
              <w:spacing w:before="40" w:after="40" w:line="220" w:lineRule="exact"/>
              <w:jc w:val="right"/>
              <w:rPr>
                <w:sz w:val="18"/>
              </w:rPr>
            </w:pPr>
            <w:r>
              <w:rPr>
                <w:sz w:val="18"/>
              </w:rPr>
              <w:t>251</w:t>
            </w:r>
          </w:p>
        </w:tc>
        <w:tc>
          <w:tcPr>
            <w:tcW w:w="709" w:type="dxa"/>
            <w:shd w:val="clear" w:color="auto" w:fill="auto"/>
            <w:vAlign w:val="bottom"/>
          </w:tcPr>
          <w:p w14:paraId="3ED2B2F0" w14:textId="77777777" w:rsidR="00A9247C" w:rsidRPr="00A90509" w:rsidRDefault="00A9247C" w:rsidP="000643E5">
            <w:pPr>
              <w:spacing w:before="40" w:after="40" w:line="220" w:lineRule="exact"/>
              <w:jc w:val="right"/>
              <w:rPr>
                <w:sz w:val="18"/>
              </w:rPr>
            </w:pPr>
            <w:r>
              <w:rPr>
                <w:sz w:val="18"/>
              </w:rPr>
              <w:t>0</w:t>
            </w:r>
          </w:p>
        </w:tc>
        <w:tc>
          <w:tcPr>
            <w:tcW w:w="709" w:type="dxa"/>
            <w:shd w:val="clear" w:color="auto" w:fill="auto"/>
            <w:vAlign w:val="bottom"/>
          </w:tcPr>
          <w:p w14:paraId="3427842B" w14:textId="4B952BB5" w:rsidR="00A9247C" w:rsidRPr="00A90509" w:rsidRDefault="00BE2D6C" w:rsidP="000643E5">
            <w:pPr>
              <w:spacing w:before="40" w:after="40" w:line="220" w:lineRule="exact"/>
              <w:jc w:val="right"/>
              <w:rPr>
                <w:sz w:val="18"/>
              </w:rPr>
            </w:pPr>
            <w:r>
              <w:rPr>
                <w:sz w:val="18"/>
              </w:rPr>
              <w:t>179</w:t>
            </w:r>
          </w:p>
        </w:tc>
        <w:tc>
          <w:tcPr>
            <w:tcW w:w="849" w:type="dxa"/>
            <w:shd w:val="clear" w:color="auto" w:fill="auto"/>
            <w:vAlign w:val="bottom"/>
          </w:tcPr>
          <w:p w14:paraId="6B063D6F" w14:textId="77777777" w:rsidR="00A9247C" w:rsidRPr="00A90509" w:rsidRDefault="00A9247C" w:rsidP="000643E5">
            <w:pPr>
              <w:spacing w:before="40" w:after="40" w:line="220" w:lineRule="exact"/>
              <w:jc w:val="right"/>
              <w:rPr>
                <w:sz w:val="18"/>
              </w:rPr>
            </w:pPr>
            <w:r>
              <w:rPr>
                <w:sz w:val="18"/>
              </w:rPr>
              <w:t>0</w:t>
            </w:r>
          </w:p>
        </w:tc>
      </w:tr>
      <w:tr w:rsidR="00A9247C" w:rsidRPr="00A90509" w14:paraId="4ED5E6FE" w14:textId="77777777" w:rsidTr="000643E5">
        <w:tc>
          <w:tcPr>
            <w:tcW w:w="1276" w:type="dxa"/>
            <w:shd w:val="clear" w:color="auto" w:fill="auto"/>
            <w:vAlign w:val="bottom"/>
          </w:tcPr>
          <w:p w14:paraId="0033538E" w14:textId="77777777" w:rsidR="00A9247C" w:rsidRPr="00A90509" w:rsidRDefault="00A9247C" w:rsidP="000643E5">
            <w:pPr>
              <w:spacing w:before="40" w:after="40" w:line="220" w:lineRule="exact"/>
              <w:rPr>
                <w:sz w:val="18"/>
              </w:rPr>
            </w:pPr>
            <w:r w:rsidRPr="00A90509">
              <w:rPr>
                <w:sz w:val="18"/>
                <w:lang w:val="fr-FR"/>
              </w:rPr>
              <w:t>Toulkarem</w:t>
            </w:r>
          </w:p>
        </w:tc>
        <w:tc>
          <w:tcPr>
            <w:tcW w:w="709" w:type="dxa"/>
            <w:shd w:val="clear" w:color="auto" w:fill="auto"/>
            <w:vAlign w:val="bottom"/>
          </w:tcPr>
          <w:p w14:paraId="4C19134D" w14:textId="6B367C43" w:rsidR="00A9247C" w:rsidRPr="00A90509" w:rsidRDefault="00BE2D6C" w:rsidP="000643E5">
            <w:pPr>
              <w:spacing w:before="40" w:after="40" w:line="220" w:lineRule="exact"/>
              <w:jc w:val="right"/>
              <w:rPr>
                <w:sz w:val="18"/>
              </w:rPr>
            </w:pPr>
            <w:r>
              <w:rPr>
                <w:sz w:val="18"/>
              </w:rPr>
              <w:t>503</w:t>
            </w:r>
          </w:p>
        </w:tc>
        <w:tc>
          <w:tcPr>
            <w:tcW w:w="709" w:type="dxa"/>
            <w:shd w:val="clear" w:color="auto" w:fill="auto"/>
            <w:vAlign w:val="bottom"/>
          </w:tcPr>
          <w:p w14:paraId="79064AF6"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0176AD5E" w14:textId="226FB46E" w:rsidR="00A9247C" w:rsidRPr="00A90509" w:rsidRDefault="00BE2D6C" w:rsidP="000643E5">
            <w:pPr>
              <w:spacing w:before="40" w:after="40" w:line="220" w:lineRule="exact"/>
              <w:jc w:val="right"/>
              <w:rPr>
                <w:sz w:val="18"/>
              </w:rPr>
            </w:pPr>
            <w:r>
              <w:rPr>
                <w:sz w:val="18"/>
              </w:rPr>
              <w:t>452</w:t>
            </w:r>
          </w:p>
        </w:tc>
        <w:tc>
          <w:tcPr>
            <w:tcW w:w="709" w:type="dxa"/>
            <w:shd w:val="clear" w:color="auto" w:fill="auto"/>
            <w:vAlign w:val="bottom"/>
          </w:tcPr>
          <w:p w14:paraId="40E59523" w14:textId="77777777" w:rsidR="00A9247C" w:rsidRPr="00A90509" w:rsidRDefault="00A9247C" w:rsidP="000643E5">
            <w:pPr>
              <w:spacing w:before="40" w:after="40" w:line="220" w:lineRule="exact"/>
              <w:jc w:val="right"/>
              <w:rPr>
                <w:sz w:val="18"/>
              </w:rPr>
            </w:pPr>
            <w:r>
              <w:rPr>
                <w:sz w:val="18"/>
              </w:rPr>
              <w:t>0</w:t>
            </w:r>
          </w:p>
        </w:tc>
        <w:tc>
          <w:tcPr>
            <w:tcW w:w="850" w:type="dxa"/>
            <w:shd w:val="clear" w:color="auto" w:fill="auto"/>
            <w:vAlign w:val="bottom"/>
          </w:tcPr>
          <w:p w14:paraId="42973D14" w14:textId="3EB1E694" w:rsidR="00A9247C" w:rsidRPr="00A90509" w:rsidRDefault="00BE2D6C" w:rsidP="000643E5">
            <w:pPr>
              <w:spacing w:before="40" w:after="40" w:line="220" w:lineRule="exact"/>
              <w:jc w:val="right"/>
              <w:rPr>
                <w:sz w:val="18"/>
              </w:rPr>
            </w:pPr>
            <w:r>
              <w:rPr>
                <w:sz w:val="18"/>
              </w:rPr>
              <w:t>382</w:t>
            </w:r>
          </w:p>
        </w:tc>
        <w:tc>
          <w:tcPr>
            <w:tcW w:w="709" w:type="dxa"/>
            <w:shd w:val="clear" w:color="auto" w:fill="auto"/>
            <w:vAlign w:val="bottom"/>
          </w:tcPr>
          <w:p w14:paraId="3F0EF3A5" w14:textId="77777777" w:rsidR="00A9247C" w:rsidRPr="00A90509" w:rsidRDefault="00A9247C" w:rsidP="000643E5">
            <w:pPr>
              <w:spacing w:before="40" w:after="40" w:line="220" w:lineRule="exact"/>
              <w:jc w:val="right"/>
              <w:rPr>
                <w:sz w:val="18"/>
              </w:rPr>
            </w:pPr>
            <w:r>
              <w:rPr>
                <w:sz w:val="18"/>
              </w:rPr>
              <w:t>0</w:t>
            </w:r>
          </w:p>
        </w:tc>
        <w:tc>
          <w:tcPr>
            <w:tcW w:w="709" w:type="dxa"/>
            <w:shd w:val="clear" w:color="auto" w:fill="auto"/>
            <w:vAlign w:val="bottom"/>
          </w:tcPr>
          <w:p w14:paraId="3BA5D071" w14:textId="498C58AD" w:rsidR="00A9247C" w:rsidRPr="00A90509" w:rsidRDefault="00BE2D6C" w:rsidP="000643E5">
            <w:pPr>
              <w:spacing w:before="40" w:after="40" w:line="220" w:lineRule="exact"/>
              <w:jc w:val="right"/>
              <w:rPr>
                <w:sz w:val="18"/>
              </w:rPr>
            </w:pPr>
            <w:r>
              <w:rPr>
                <w:sz w:val="18"/>
              </w:rPr>
              <w:t>209</w:t>
            </w:r>
          </w:p>
        </w:tc>
        <w:tc>
          <w:tcPr>
            <w:tcW w:w="849" w:type="dxa"/>
            <w:shd w:val="clear" w:color="auto" w:fill="auto"/>
            <w:vAlign w:val="bottom"/>
          </w:tcPr>
          <w:p w14:paraId="633A4E2C" w14:textId="77777777" w:rsidR="00A9247C" w:rsidRPr="00A90509" w:rsidRDefault="00A9247C" w:rsidP="000643E5">
            <w:pPr>
              <w:spacing w:before="40" w:after="40" w:line="220" w:lineRule="exact"/>
              <w:jc w:val="right"/>
              <w:rPr>
                <w:sz w:val="18"/>
              </w:rPr>
            </w:pPr>
            <w:r>
              <w:rPr>
                <w:sz w:val="18"/>
              </w:rPr>
              <w:t>0</w:t>
            </w:r>
          </w:p>
        </w:tc>
      </w:tr>
      <w:tr w:rsidR="00A9247C" w:rsidRPr="00A90509" w14:paraId="6F6983CB" w14:textId="77777777" w:rsidTr="000643E5">
        <w:tc>
          <w:tcPr>
            <w:tcW w:w="1276" w:type="dxa"/>
            <w:tcBorders>
              <w:bottom w:val="single" w:sz="4" w:space="0" w:color="auto"/>
            </w:tcBorders>
            <w:shd w:val="clear" w:color="auto" w:fill="auto"/>
            <w:vAlign w:val="bottom"/>
          </w:tcPr>
          <w:p w14:paraId="7F0B8585" w14:textId="77777777" w:rsidR="00A9247C" w:rsidRPr="00A90509" w:rsidRDefault="00A9247C" w:rsidP="000643E5">
            <w:pPr>
              <w:spacing w:before="40" w:after="40" w:line="220" w:lineRule="exact"/>
              <w:rPr>
                <w:sz w:val="18"/>
              </w:rPr>
            </w:pPr>
            <w:r w:rsidRPr="00A90509">
              <w:rPr>
                <w:sz w:val="18"/>
                <w:lang w:val="fr-FR"/>
              </w:rPr>
              <w:t>Total</w:t>
            </w:r>
          </w:p>
        </w:tc>
        <w:tc>
          <w:tcPr>
            <w:tcW w:w="709" w:type="dxa"/>
            <w:tcBorders>
              <w:bottom w:val="single" w:sz="4" w:space="0" w:color="auto"/>
            </w:tcBorders>
            <w:shd w:val="clear" w:color="auto" w:fill="auto"/>
            <w:vAlign w:val="bottom"/>
          </w:tcPr>
          <w:p w14:paraId="780E4B0E" w14:textId="7444D464" w:rsidR="00A9247C" w:rsidRPr="00A90509" w:rsidRDefault="00BE2D6C" w:rsidP="000643E5">
            <w:pPr>
              <w:spacing w:before="40" w:after="40" w:line="220" w:lineRule="exact"/>
              <w:jc w:val="right"/>
              <w:rPr>
                <w:sz w:val="18"/>
              </w:rPr>
            </w:pPr>
            <w:r>
              <w:rPr>
                <w:sz w:val="18"/>
              </w:rPr>
              <w:t>5 616</w:t>
            </w:r>
          </w:p>
        </w:tc>
        <w:tc>
          <w:tcPr>
            <w:tcW w:w="709" w:type="dxa"/>
            <w:tcBorders>
              <w:bottom w:val="single" w:sz="4" w:space="0" w:color="auto"/>
            </w:tcBorders>
            <w:shd w:val="clear" w:color="auto" w:fill="auto"/>
            <w:vAlign w:val="bottom"/>
          </w:tcPr>
          <w:p w14:paraId="57624F25" w14:textId="7F633195" w:rsidR="00A9247C" w:rsidRPr="00A90509" w:rsidRDefault="00BE2D6C" w:rsidP="000643E5">
            <w:pPr>
              <w:spacing w:before="40" w:after="40" w:line="220" w:lineRule="exact"/>
              <w:jc w:val="right"/>
              <w:rPr>
                <w:sz w:val="18"/>
              </w:rPr>
            </w:pPr>
            <w:r>
              <w:rPr>
                <w:sz w:val="18"/>
              </w:rPr>
              <w:t>67</w:t>
            </w:r>
          </w:p>
        </w:tc>
        <w:tc>
          <w:tcPr>
            <w:tcW w:w="850" w:type="dxa"/>
            <w:tcBorders>
              <w:bottom w:val="single" w:sz="4" w:space="0" w:color="auto"/>
            </w:tcBorders>
            <w:shd w:val="clear" w:color="auto" w:fill="auto"/>
            <w:vAlign w:val="bottom"/>
          </w:tcPr>
          <w:p w14:paraId="71833068" w14:textId="2E3B4125" w:rsidR="00A9247C" w:rsidRPr="00A90509" w:rsidRDefault="00BE2D6C" w:rsidP="000643E5">
            <w:pPr>
              <w:spacing w:before="40" w:after="40" w:line="220" w:lineRule="exact"/>
              <w:jc w:val="right"/>
              <w:rPr>
                <w:sz w:val="18"/>
              </w:rPr>
            </w:pPr>
            <w:r>
              <w:rPr>
                <w:sz w:val="18"/>
              </w:rPr>
              <w:t>4 237</w:t>
            </w:r>
          </w:p>
        </w:tc>
        <w:tc>
          <w:tcPr>
            <w:tcW w:w="709" w:type="dxa"/>
            <w:tcBorders>
              <w:bottom w:val="single" w:sz="4" w:space="0" w:color="auto"/>
            </w:tcBorders>
            <w:shd w:val="clear" w:color="auto" w:fill="auto"/>
            <w:vAlign w:val="bottom"/>
          </w:tcPr>
          <w:p w14:paraId="50E4EA2F" w14:textId="131A9208" w:rsidR="00A9247C" w:rsidRPr="00A90509" w:rsidRDefault="00BE2D6C" w:rsidP="000643E5">
            <w:pPr>
              <w:spacing w:before="40" w:after="40" w:line="220" w:lineRule="exact"/>
              <w:jc w:val="right"/>
              <w:rPr>
                <w:sz w:val="18"/>
              </w:rPr>
            </w:pPr>
            <w:r>
              <w:rPr>
                <w:sz w:val="18"/>
              </w:rPr>
              <w:t>72</w:t>
            </w:r>
          </w:p>
        </w:tc>
        <w:tc>
          <w:tcPr>
            <w:tcW w:w="850" w:type="dxa"/>
            <w:tcBorders>
              <w:bottom w:val="single" w:sz="4" w:space="0" w:color="auto"/>
            </w:tcBorders>
            <w:shd w:val="clear" w:color="auto" w:fill="auto"/>
            <w:vAlign w:val="bottom"/>
          </w:tcPr>
          <w:p w14:paraId="78F8F632" w14:textId="6F36B8C2" w:rsidR="00A9247C" w:rsidRPr="00A90509" w:rsidRDefault="00BE2D6C" w:rsidP="000643E5">
            <w:pPr>
              <w:spacing w:before="40" w:after="40" w:line="220" w:lineRule="exact"/>
              <w:jc w:val="right"/>
              <w:rPr>
                <w:sz w:val="18"/>
              </w:rPr>
            </w:pPr>
            <w:r>
              <w:rPr>
                <w:sz w:val="18"/>
              </w:rPr>
              <w:t>3 654</w:t>
            </w:r>
          </w:p>
        </w:tc>
        <w:tc>
          <w:tcPr>
            <w:tcW w:w="709" w:type="dxa"/>
            <w:tcBorders>
              <w:bottom w:val="single" w:sz="4" w:space="0" w:color="auto"/>
            </w:tcBorders>
            <w:shd w:val="clear" w:color="auto" w:fill="auto"/>
            <w:vAlign w:val="bottom"/>
          </w:tcPr>
          <w:p w14:paraId="0209D64D" w14:textId="0BFF002C" w:rsidR="00A9247C" w:rsidRPr="00A90509" w:rsidRDefault="00BE2D6C" w:rsidP="000643E5">
            <w:pPr>
              <w:spacing w:before="40" w:after="40" w:line="220" w:lineRule="exact"/>
              <w:jc w:val="right"/>
              <w:rPr>
                <w:sz w:val="18"/>
              </w:rPr>
            </w:pPr>
            <w:r>
              <w:rPr>
                <w:sz w:val="18"/>
              </w:rPr>
              <w:t>93</w:t>
            </w:r>
          </w:p>
        </w:tc>
        <w:tc>
          <w:tcPr>
            <w:tcW w:w="709" w:type="dxa"/>
            <w:tcBorders>
              <w:bottom w:val="single" w:sz="4" w:space="0" w:color="auto"/>
            </w:tcBorders>
            <w:shd w:val="clear" w:color="auto" w:fill="auto"/>
            <w:vAlign w:val="bottom"/>
          </w:tcPr>
          <w:p w14:paraId="4E6EFE72" w14:textId="21A4DD98" w:rsidR="00A9247C" w:rsidRPr="00A90509" w:rsidRDefault="00BE2D6C" w:rsidP="000643E5">
            <w:pPr>
              <w:spacing w:before="40" w:after="40" w:line="220" w:lineRule="exact"/>
              <w:jc w:val="right"/>
              <w:rPr>
                <w:sz w:val="18"/>
              </w:rPr>
            </w:pPr>
            <w:r>
              <w:rPr>
                <w:sz w:val="18"/>
              </w:rPr>
              <w:t>2 629</w:t>
            </w:r>
          </w:p>
        </w:tc>
        <w:tc>
          <w:tcPr>
            <w:tcW w:w="849" w:type="dxa"/>
            <w:tcBorders>
              <w:bottom w:val="single" w:sz="4" w:space="0" w:color="auto"/>
            </w:tcBorders>
            <w:shd w:val="clear" w:color="auto" w:fill="auto"/>
            <w:vAlign w:val="bottom"/>
          </w:tcPr>
          <w:p w14:paraId="13243748" w14:textId="0758EE52" w:rsidR="00A9247C" w:rsidRPr="00A90509" w:rsidRDefault="00BE2D6C" w:rsidP="000643E5">
            <w:pPr>
              <w:spacing w:before="40" w:after="40" w:line="220" w:lineRule="exact"/>
              <w:jc w:val="right"/>
              <w:rPr>
                <w:sz w:val="18"/>
              </w:rPr>
            </w:pPr>
            <w:r>
              <w:rPr>
                <w:sz w:val="18"/>
              </w:rPr>
              <w:t>102</w:t>
            </w:r>
          </w:p>
        </w:tc>
      </w:tr>
      <w:tr w:rsidR="00A9247C" w:rsidRPr="00A90509" w14:paraId="2D021E73" w14:textId="77777777" w:rsidTr="000643E5">
        <w:tc>
          <w:tcPr>
            <w:tcW w:w="1276" w:type="dxa"/>
            <w:tcBorders>
              <w:top w:val="single" w:sz="4" w:space="0" w:color="auto"/>
              <w:bottom w:val="single" w:sz="12" w:space="0" w:color="auto"/>
            </w:tcBorders>
            <w:shd w:val="clear" w:color="auto" w:fill="auto"/>
            <w:vAlign w:val="bottom"/>
          </w:tcPr>
          <w:p w14:paraId="3DF1FD41" w14:textId="77777777" w:rsidR="00A9247C" w:rsidRPr="00A90509" w:rsidRDefault="00A9247C" w:rsidP="000643E5">
            <w:pPr>
              <w:spacing w:before="80" w:after="80" w:line="220" w:lineRule="exact"/>
              <w:ind w:left="170"/>
              <w:rPr>
                <w:sz w:val="18"/>
              </w:rPr>
            </w:pPr>
            <w:r w:rsidRPr="00A90509">
              <w:rPr>
                <w:b/>
                <w:bCs/>
                <w:sz w:val="18"/>
                <w:lang w:val="fr-FR"/>
              </w:rPr>
              <w:t>Total général</w:t>
            </w:r>
          </w:p>
        </w:tc>
        <w:tc>
          <w:tcPr>
            <w:tcW w:w="1418" w:type="dxa"/>
            <w:gridSpan w:val="2"/>
            <w:tcBorders>
              <w:top w:val="single" w:sz="4" w:space="0" w:color="auto"/>
              <w:bottom w:val="single" w:sz="12" w:space="0" w:color="auto"/>
            </w:tcBorders>
            <w:shd w:val="clear" w:color="auto" w:fill="auto"/>
            <w:vAlign w:val="bottom"/>
          </w:tcPr>
          <w:p w14:paraId="078D7FDB" w14:textId="0359757F" w:rsidR="00A9247C" w:rsidRPr="00FF5D90" w:rsidRDefault="00BE2D6C" w:rsidP="000643E5">
            <w:pPr>
              <w:spacing w:before="80" w:after="80" w:line="220" w:lineRule="exact"/>
              <w:jc w:val="center"/>
              <w:rPr>
                <w:b/>
                <w:bCs/>
                <w:sz w:val="18"/>
              </w:rPr>
            </w:pPr>
            <w:r>
              <w:rPr>
                <w:b/>
                <w:bCs/>
                <w:sz w:val="18"/>
              </w:rPr>
              <w:t>5 683</w:t>
            </w:r>
          </w:p>
        </w:tc>
        <w:tc>
          <w:tcPr>
            <w:tcW w:w="1559" w:type="dxa"/>
            <w:gridSpan w:val="2"/>
            <w:tcBorders>
              <w:top w:val="single" w:sz="4" w:space="0" w:color="auto"/>
              <w:bottom w:val="single" w:sz="12" w:space="0" w:color="auto"/>
            </w:tcBorders>
            <w:shd w:val="clear" w:color="auto" w:fill="auto"/>
            <w:vAlign w:val="bottom"/>
          </w:tcPr>
          <w:p w14:paraId="5A6EB4D9" w14:textId="103B3B7A" w:rsidR="00A9247C" w:rsidRPr="00FF5D90" w:rsidRDefault="00BE2D6C" w:rsidP="000643E5">
            <w:pPr>
              <w:spacing w:before="80" w:after="80" w:line="220" w:lineRule="exact"/>
              <w:jc w:val="center"/>
              <w:rPr>
                <w:b/>
                <w:bCs/>
                <w:sz w:val="18"/>
              </w:rPr>
            </w:pPr>
            <w:r>
              <w:rPr>
                <w:b/>
                <w:bCs/>
                <w:sz w:val="18"/>
              </w:rPr>
              <w:t>4 309</w:t>
            </w:r>
          </w:p>
        </w:tc>
        <w:tc>
          <w:tcPr>
            <w:tcW w:w="1559" w:type="dxa"/>
            <w:gridSpan w:val="2"/>
            <w:tcBorders>
              <w:top w:val="single" w:sz="4" w:space="0" w:color="auto"/>
              <w:bottom w:val="single" w:sz="12" w:space="0" w:color="auto"/>
            </w:tcBorders>
            <w:shd w:val="clear" w:color="auto" w:fill="auto"/>
            <w:vAlign w:val="bottom"/>
          </w:tcPr>
          <w:p w14:paraId="641CBCD3" w14:textId="11919D3D" w:rsidR="00A9247C" w:rsidRPr="00FF5D90" w:rsidRDefault="00BE2D6C" w:rsidP="000643E5">
            <w:pPr>
              <w:spacing w:before="80" w:after="80" w:line="220" w:lineRule="exact"/>
              <w:jc w:val="center"/>
              <w:rPr>
                <w:b/>
                <w:bCs/>
                <w:sz w:val="18"/>
              </w:rPr>
            </w:pPr>
            <w:r>
              <w:rPr>
                <w:b/>
                <w:bCs/>
                <w:sz w:val="18"/>
              </w:rPr>
              <w:t>3 747</w:t>
            </w:r>
          </w:p>
        </w:tc>
        <w:tc>
          <w:tcPr>
            <w:tcW w:w="1558" w:type="dxa"/>
            <w:gridSpan w:val="2"/>
            <w:tcBorders>
              <w:top w:val="single" w:sz="4" w:space="0" w:color="auto"/>
              <w:bottom w:val="single" w:sz="12" w:space="0" w:color="auto"/>
            </w:tcBorders>
            <w:shd w:val="clear" w:color="auto" w:fill="auto"/>
            <w:vAlign w:val="bottom"/>
          </w:tcPr>
          <w:p w14:paraId="3D84DC3E" w14:textId="201359EC" w:rsidR="00A9247C" w:rsidRPr="00FF5D90" w:rsidRDefault="00BE2D6C" w:rsidP="000643E5">
            <w:pPr>
              <w:spacing w:before="80" w:after="80" w:line="220" w:lineRule="exact"/>
              <w:jc w:val="center"/>
              <w:rPr>
                <w:b/>
                <w:bCs/>
                <w:sz w:val="18"/>
              </w:rPr>
            </w:pPr>
            <w:r>
              <w:rPr>
                <w:b/>
                <w:bCs/>
                <w:sz w:val="18"/>
              </w:rPr>
              <w:t>2 731</w:t>
            </w:r>
          </w:p>
        </w:tc>
      </w:tr>
    </w:tbl>
    <w:p w14:paraId="5C03507F" w14:textId="272E45FE" w:rsidR="00D005FA" w:rsidRPr="00310D49" w:rsidRDefault="00D005FA" w:rsidP="00BE2D6C">
      <w:pPr>
        <w:pStyle w:val="H23G"/>
        <w:rPr>
          <w:lang w:val="fr-FR"/>
        </w:rPr>
      </w:pPr>
      <w:r w:rsidRPr="00310D49">
        <w:rPr>
          <w:lang w:val="fr-FR"/>
        </w:rPr>
        <w:tab/>
      </w:r>
      <w:r w:rsidRPr="00310D49">
        <w:rPr>
          <w:lang w:val="fr-FR"/>
        </w:rPr>
        <w:tab/>
        <w:t xml:space="preserve">Statistiques relatives au nombre de détenus et de condamnés incarcérés </w:t>
      </w:r>
      <w:r w:rsidR="00BE2D6C">
        <w:rPr>
          <w:lang w:val="fr-FR"/>
        </w:rPr>
        <w:br/>
      </w:r>
      <w:r w:rsidRPr="00310D49">
        <w:rPr>
          <w:lang w:val="fr-FR"/>
        </w:rPr>
        <w:t>dans les établissements pénitentiaires relevant de l</w:t>
      </w:r>
      <w:r w:rsidR="0035332C">
        <w:rPr>
          <w:lang w:val="fr-FR"/>
        </w:rPr>
        <w:t>’</w:t>
      </w:r>
      <w:r w:rsidRPr="00310D49">
        <w:rPr>
          <w:lang w:val="fr-FR"/>
        </w:rPr>
        <w:t>armée</w:t>
      </w:r>
    </w:p>
    <w:tbl>
      <w:tblPr>
        <w:tblW w:w="7370" w:type="dxa"/>
        <w:tblInd w:w="1134" w:type="dxa"/>
        <w:tblLayout w:type="fixed"/>
        <w:tblCellMar>
          <w:left w:w="0" w:type="dxa"/>
          <w:right w:w="0" w:type="dxa"/>
        </w:tblCellMar>
        <w:tblLook w:val="04A0" w:firstRow="1" w:lastRow="0" w:firstColumn="1" w:lastColumn="0" w:noHBand="0" w:noVBand="1"/>
      </w:tblPr>
      <w:tblGrid>
        <w:gridCol w:w="2855"/>
        <w:gridCol w:w="2248"/>
        <w:gridCol w:w="2267"/>
      </w:tblGrid>
      <w:tr w:rsidR="00BE2D6C" w:rsidRPr="00BE2D6C" w14:paraId="6D3C40A7" w14:textId="77777777" w:rsidTr="00BE2D6C">
        <w:trPr>
          <w:tblHeader/>
        </w:trPr>
        <w:tc>
          <w:tcPr>
            <w:tcW w:w="2855" w:type="dxa"/>
            <w:tcBorders>
              <w:top w:val="single" w:sz="4" w:space="0" w:color="auto"/>
              <w:bottom w:val="single" w:sz="12" w:space="0" w:color="auto"/>
            </w:tcBorders>
            <w:shd w:val="clear" w:color="auto" w:fill="auto"/>
            <w:vAlign w:val="bottom"/>
          </w:tcPr>
          <w:p w14:paraId="0633FC05" w14:textId="77777777" w:rsidR="00D005FA" w:rsidRPr="00BE2D6C" w:rsidRDefault="00D005FA" w:rsidP="00BE2D6C">
            <w:pPr>
              <w:keepNext/>
              <w:suppressAutoHyphens w:val="0"/>
              <w:spacing w:before="80" w:after="80" w:line="200" w:lineRule="exact"/>
              <w:rPr>
                <w:i/>
                <w:sz w:val="16"/>
                <w:lang w:val="fr-FR"/>
              </w:rPr>
            </w:pPr>
            <w:r w:rsidRPr="00BE2D6C">
              <w:rPr>
                <w:i/>
                <w:sz w:val="16"/>
                <w:lang w:val="fr-FR"/>
              </w:rPr>
              <w:t>Année</w:t>
            </w:r>
          </w:p>
        </w:tc>
        <w:tc>
          <w:tcPr>
            <w:tcW w:w="2248" w:type="dxa"/>
            <w:tcBorders>
              <w:top w:val="single" w:sz="4" w:space="0" w:color="auto"/>
              <w:bottom w:val="single" w:sz="12" w:space="0" w:color="auto"/>
            </w:tcBorders>
            <w:shd w:val="clear" w:color="auto" w:fill="auto"/>
            <w:vAlign w:val="bottom"/>
          </w:tcPr>
          <w:p w14:paraId="1358042A" w14:textId="77777777" w:rsidR="00D005FA" w:rsidRPr="00BE2D6C" w:rsidRDefault="00D005FA" w:rsidP="00BE2D6C">
            <w:pPr>
              <w:keepNext/>
              <w:suppressAutoHyphens w:val="0"/>
              <w:spacing w:before="80" w:after="80" w:line="200" w:lineRule="exact"/>
              <w:jc w:val="right"/>
              <w:rPr>
                <w:i/>
                <w:sz w:val="16"/>
                <w:lang w:val="fr-FR"/>
              </w:rPr>
            </w:pPr>
            <w:r w:rsidRPr="00BE2D6C">
              <w:rPr>
                <w:i/>
                <w:sz w:val="16"/>
                <w:lang w:val="fr-FR"/>
              </w:rPr>
              <w:t>Nombre de détenus</w:t>
            </w:r>
          </w:p>
        </w:tc>
        <w:tc>
          <w:tcPr>
            <w:tcW w:w="2267" w:type="dxa"/>
            <w:tcBorders>
              <w:top w:val="single" w:sz="4" w:space="0" w:color="auto"/>
              <w:bottom w:val="single" w:sz="12" w:space="0" w:color="auto"/>
            </w:tcBorders>
            <w:shd w:val="clear" w:color="auto" w:fill="auto"/>
            <w:vAlign w:val="bottom"/>
          </w:tcPr>
          <w:p w14:paraId="32A48983" w14:textId="77777777" w:rsidR="00D005FA" w:rsidRPr="00BE2D6C" w:rsidRDefault="00D005FA" w:rsidP="00BE2D6C">
            <w:pPr>
              <w:keepNext/>
              <w:suppressAutoHyphens w:val="0"/>
              <w:spacing w:before="80" w:after="80" w:line="200" w:lineRule="exact"/>
              <w:jc w:val="right"/>
              <w:rPr>
                <w:i/>
                <w:sz w:val="16"/>
                <w:lang w:val="fr-FR"/>
              </w:rPr>
            </w:pPr>
            <w:r w:rsidRPr="00BE2D6C">
              <w:rPr>
                <w:i/>
                <w:sz w:val="16"/>
                <w:lang w:val="fr-FR"/>
              </w:rPr>
              <w:t>Nombre de condamnés</w:t>
            </w:r>
          </w:p>
        </w:tc>
      </w:tr>
      <w:tr w:rsidR="00BE2D6C" w:rsidRPr="00BE2D6C" w14:paraId="235A1A81" w14:textId="77777777" w:rsidTr="00BE2D6C">
        <w:tc>
          <w:tcPr>
            <w:tcW w:w="2855" w:type="dxa"/>
            <w:tcBorders>
              <w:top w:val="single" w:sz="12" w:space="0" w:color="auto"/>
            </w:tcBorders>
            <w:shd w:val="clear" w:color="auto" w:fill="auto"/>
          </w:tcPr>
          <w:p w14:paraId="3B892D3F" w14:textId="77777777" w:rsidR="00D005FA" w:rsidRPr="00BE2D6C" w:rsidRDefault="00D005FA" w:rsidP="00BE2D6C">
            <w:pPr>
              <w:keepNext/>
              <w:suppressAutoHyphens w:val="0"/>
              <w:spacing w:before="40" w:after="40" w:line="220" w:lineRule="exact"/>
              <w:rPr>
                <w:sz w:val="18"/>
                <w:lang w:val="fr-FR"/>
              </w:rPr>
            </w:pPr>
            <w:r w:rsidRPr="00BE2D6C">
              <w:rPr>
                <w:sz w:val="18"/>
                <w:lang w:val="fr-FR"/>
              </w:rPr>
              <w:t>2014</w:t>
            </w:r>
          </w:p>
        </w:tc>
        <w:tc>
          <w:tcPr>
            <w:tcW w:w="2248" w:type="dxa"/>
            <w:tcBorders>
              <w:top w:val="single" w:sz="12" w:space="0" w:color="auto"/>
            </w:tcBorders>
            <w:shd w:val="clear" w:color="auto" w:fill="auto"/>
            <w:vAlign w:val="bottom"/>
          </w:tcPr>
          <w:p w14:paraId="189996FE"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190</w:t>
            </w:r>
          </w:p>
        </w:tc>
        <w:tc>
          <w:tcPr>
            <w:tcW w:w="2267" w:type="dxa"/>
            <w:tcBorders>
              <w:top w:val="single" w:sz="12" w:space="0" w:color="auto"/>
            </w:tcBorders>
            <w:shd w:val="clear" w:color="auto" w:fill="auto"/>
            <w:vAlign w:val="bottom"/>
          </w:tcPr>
          <w:p w14:paraId="57423E3A"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498</w:t>
            </w:r>
          </w:p>
        </w:tc>
      </w:tr>
      <w:tr w:rsidR="00D005FA" w:rsidRPr="00BE2D6C" w14:paraId="73B58B26" w14:textId="77777777" w:rsidTr="00BE2D6C">
        <w:tc>
          <w:tcPr>
            <w:tcW w:w="2855" w:type="dxa"/>
            <w:shd w:val="clear" w:color="auto" w:fill="auto"/>
          </w:tcPr>
          <w:p w14:paraId="52B77BC3" w14:textId="77777777" w:rsidR="00D005FA" w:rsidRPr="00BE2D6C" w:rsidRDefault="00D005FA" w:rsidP="00BE2D6C">
            <w:pPr>
              <w:keepNext/>
              <w:suppressAutoHyphens w:val="0"/>
              <w:spacing w:before="40" w:after="40" w:line="220" w:lineRule="exact"/>
              <w:rPr>
                <w:sz w:val="18"/>
                <w:lang w:val="fr-FR"/>
              </w:rPr>
            </w:pPr>
            <w:r w:rsidRPr="00BE2D6C">
              <w:rPr>
                <w:sz w:val="18"/>
                <w:lang w:val="fr-FR"/>
              </w:rPr>
              <w:t>2015</w:t>
            </w:r>
          </w:p>
        </w:tc>
        <w:tc>
          <w:tcPr>
            <w:tcW w:w="2248" w:type="dxa"/>
            <w:shd w:val="clear" w:color="auto" w:fill="auto"/>
            <w:vAlign w:val="bottom"/>
          </w:tcPr>
          <w:p w14:paraId="6413CAD1"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267</w:t>
            </w:r>
          </w:p>
        </w:tc>
        <w:tc>
          <w:tcPr>
            <w:tcW w:w="2267" w:type="dxa"/>
            <w:shd w:val="clear" w:color="auto" w:fill="auto"/>
            <w:vAlign w:val="bottom"/>
          </w:tcPr>
          <w:p w14:paraId="6658B21A"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496</w:t>
            </w:r>
          </w:p>
        </w:tc>
      </w:tr>
      <w:tr w:rsidR="00D005FA" w:rsidRPr="00BE2D6C" w14:paraId="4AF4B8DD" w14:textId="77777777" w:rsidTr="00BE2D6C">
        <w:tc>
          <w:tcPr>
            <w:tcW w:w="2855" w:type="dxa"/>
            <w:shd w:val="clear" w:color="auto" w:fill="auto"/>
          </w:tcPr>
          <w:p w14:paraId="16A82CBD" w14:textId="77777777" w:rsidR="00D005FA" w:rsidRPr="00BE2D6C" w:rsidRDefault="00D005FA" w:rsidP="00BE2D6C">
            <w:pPr>
              <w:keepNext/>
              <w:suppressAutoHyphens w:val="0"/>
              <w:spacing w:before="40" w:after="40" w:line="220" w:lineRule="exact"/>
              <w:rPr>
                <w:sz w:val="18"/>
                <w:lang w:val="fr-FR"/>
              </w:rPr>
            </w:pPr>
            <w:r w:rsidRPr="00BE2D6C">
              <w:rPr>
                <w:sz w:val="18"/>
                <w:lang w:val="fr-FR"/>
              </w:rPr>
              <w:t>2016</w:t>
            </w:r>
          </w:p>
        </w:tc>
        <w:tc>
          <w:tcPr>
            <w:tcW w:w="2248" w:type="dxa"/>
            <w:shd w:val="clear" w:color="auto" w:fill="auto"/>
            <w:vAlign w:val="bottom"/>
          </w:tcPr>
          <w:p w14:paraId="4CC912EB"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322</w:t>
            </w:r>
          </w:p>
        </w:tc>
        <w:tc>
          <w:tcPr>
            <w:tcW w:w="2267" w:type="dxa"/>
            <w:shd w:val="clear" w:color="auto" w:fill="auto"/>
            <w:vAlign w:val="bottom"/>
          </w:tcPr>
          <w:p w14:paraId="58E7AD6B"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575</w:t>
            </w:r>
          </w:p>
        </w:tc>
      </w:tr>
      <w:tr w:rsidR="00BE2D6C" w:rsidRPr="00BE2D6C" w14:paraId="2F87D043" w14:textId="77777777" w:rsidTr="00BE2D6C">
        <w:tc>
          <w:tcPr>
            <w:tcW w:w="2855" w:type="dxa"/>
            <w:shd w:val="clear" w:color="auto" w:fill="auto"/>
          </w:tcPr>
          <w:p w14:paraId="2964CBB5" w14:textId="77777777" w:rsidR="00D005FA" w:rsidRPr="00BE2D6C" w:rsidRDefault="00D005FA" w:rsidP="00BE2D6C">
            <w:pPr>
              <w:keepNext/>
              <w:suppressAutoHyphens w:val="0"/>
              <w:spacing w:before="40" w:after="40" w:line="220" w:lineRule="exact"/>
              <w:rPr>
                <w:sz w:val="18"/>
                <w:lang w:val="fr-FR"/>
              </w:rPr>
            </w:pPr>
            <w:r w:rsidRPr="00BE2D6C">
              <w:rPr>
                <w:sz w:val="18"/>
                <w:lang w:val="fr-FR"/>
              </w:rPr>
              <w:t>2017</w:t>
            </w:r>
          </w:p>
        </w:tc>
        <w:tc>
          <w:tcPr>
            <w:tcW w:w="2248" w:type="dxa"/>
            <w:shd w:val="clear" w:color="auto" w:fill="auto"/>
            <w:vAlign w:val="bottom"/>
          </w:tcPr>
          <w:p w14:paraId="1AE794EE"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327</w:t>
            </w:r>
          </w:p>
        </w:tc>
        <w:tc>
          <w:tcPr>
            <w:tcW w:w="2267" w:type="dxa"/>
            <w:shd w:val="clear" w:color="auto" w:fill="auto"/>
            <w:vAlign w:val="bottom"/>
          </w:tcPr>
          <w:p w14:paraId="41492E73"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605</w:t>
            </w:r>
          </w:p>
        </w:tc>
      </w:tr>
      <w:tr w:rsidR="00BE2D6C" w:rsidRPr="00BE2D6C" w14:paraId="3ED24591" w14:textId="77777777" w:rsidTr="00BE2D6C">
        <w:tc>
          <w:tcPr>
            <w:tcW w:w="2855" w:type="dxa"/>
            <w:tcBorders>
              <w:bottom w:val="single" w:sz="12" w:space="0" w:color="auto"/>
            </w:tcBorders>
            <w:shd w:val="clear" w:color="auto" w:fill="auto"/>
          </w:tcPr>
          <w:p w14:paraId="084D760E" w14:textId="77777777" w:rsidR="00D005FA" w:rsidRPr="00BE2D6C" w:rsidRDefault="00D005FA" w:rsidP="00BE2D6C">
            <w:pPr>
              <w:keepNext/>
              <w:suppressAutoHyphens w:val="0"/>
              <w:spacing w:before="40" w:after="40" w:line="220" w:lineRule="exact"/>
              <w:rPr>
                <w:sz w:val="18"/>
                <w:lang w:val="fr-FR"/>
              </w:rPr>
            </w:pPr>
            <w:r w:rsidRPr="003D1B0D">
              <w:rPr>
                <w:sz w:val="18"/>
                <w:lang w:val="fr-FR"/>
              </w:rPr>
              <w:t>2018</w:t>
            </w:r>
          </w:p>
        </w:tc>
        <w:tc>
          <w:tcPr>
            <w:tcW w:w="2248" w:type="dxa"/>
            <w:tcBorders>
              <w:bottom w:val="single" w:sz="12" w:space="0" w:color="auto"/>
            </w:tcBorders>
            <w:shd w:val="clear" w:color="auto" w:fill="auto"/>
            <w:vAlign w:val="bottom"/>
          </w:tcPr>
          <w:p w14:paraId="1EB6B727"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49</w:t>
            </w:r>
          </w:p>
        </w:tc>
        <w:tc>
          <w:tcPr>
            <w:tcW w:w="2267" w:type="dxa"/>
            <w:tcBorders>
              <w:bottom w:val="single" w:sz="12" w:space="0" w:color="auto"/>
            </w:tcBorders>
            <w:shd w:val="clear" w:color="auto" w:fill="auto"/>
            <w:vAlign w:val="bottom"/>
          </w:tcPr>
          <w:p w14:paraId="629D1241" w14:textId="77777777" w:rsidR="00D005FA" w:rsidRPr="00BE2D6C" w:rsidRDefault="00D005FA" w:rsidP="00BE2D6C">
            <w:pPr>
              <w:keepNext/>
              <w:suppressAutoHyphens w:val="0"/>
              <w:spacing w:before="40" w:after="40" w:line="220" w:lineRule="exact"/>
              <w:jc w:val="right"/>
              <w:rPr>
                <w:sz w:val="18"/>
                <w:rtl/>
                <w:lang w:val="fr-FR"/>
              </w:rPr>
            </w:pPr>
            <w:r w:rsidRPr="00BE2D6C">
              <w:rPr>
                <w:sz w:val="18"/>
                <w:lang w:val="fr-FR"/>
              </w:rPr>
              <w:t>112</w:t>
            </w:r>
          </w:p>
        </w:tc>
      </w:tr>
    </w:tbl>
    <w:p w14:paraId="23C3B27B" w14:textId="0E595CFF" w:rsidR="00D005FA" w:rsidRPr="00310D49" w:rsidRDefault="00D005FA" w:rsidP="003F6A9C">
      <w:pPr>
        <w:pStyle w:val="SingleTxtG"/>
        <w:spacing w:before="240"/>
        <w:rPr>
          <w:spacing w:val="-2"/>
          <w:lang w:val="fr-FR"/>
        </w:rPr>
      </w:pPr>
      <w:r w:rsidRPr="00310D49">
        <w:rPr>
          <w:lang w:val="fr-FR"/>
        </w:rPr>
        <w:t>205.</w:t>
      </w:r>
      <w:r w:rsidRPr="00310D49">
        <w:rPr>
          <w:lang w:val="fr-FR"/>
        </w:rPr>
        <w:tab/>
        <w:t>Les articles 62 et 63 de la loi sur les établissements pénitentiaires prévoient les sanctions disciplinaires qui peuvent être infligées à une personne détenue, à savoir l</w:t>
      </w:r>
      <w:r w:rsidR="0035332C">
        <w:rPr>
          <w:lang w:val="fr-FR"/>
        </w:rPr>
        <w:t>’</w:t>
      </w:r>
      <w:r w:rsidRPr="00310D49">
        <w:rPr>
          <w:lang w:val="fr-FR"/>
        </w:rPr>
        <w:t>avertissement, la mise à l</w:t>
      </w:r>
      <w:r w:rsidR="0035332C">
        <w:rPr>
          <w:lang w:val="fr-FR"/>
        </w:rPr>
        <w:t>’</w:t>
      </w:r>
      <w:r w:rsidRPr="00310D49">
        <w:rPr>
          <w:lang w:val="fr-FR"/>
        </w:rPr>
        <w:t>isolement pour une période n</w:t>
      </w:r>
      <w:r w:rsidR="0035332C">
        <w:rPr>
          <w:lang w:val="fr-FR"/>
        </w:rPr>
        <w:t>’</w:t>
      </w:r>
      <w:r w:rsidRPr="00310D49">
        <w:rPr>
          <w:lang w:val="fr-FR"/>
        </w:rPr>
        <w:t>excédant pas une semaine ou la privation pendant une période n</w:t>
      </w:r>
      <w:r w:rsidR="0035332C">
        <w:rPr>
          <w:lang w:val="fr-FR"/>
        </w:rPr>
        <w:t>’</w:t>
      </w:r>
      <w:r w:rsidRPr="00310D49">
        <w:rPr>
          <w:lang w:val="fr-FR"/>
        </w:rPr>
        <w:t>excédant pas trente jours de certains privilèges prévus pour la catégorie de détenus dont elle fait partie. En outre, aucune de ces sanctions disciplinaires ne peut être infligée avant qu</w:t>
      </w:r>
      <w:r w:rsidR="0035332C">
        <w:rPr>
          <w:lang w:val="fr-FR"/>
        </w:rPr>
        <w:t>’</w:t>
      </w:r>
      <w:r w:rsidRPr="00310D49">
        <w:rPr>
          <w:lang w:val="fr-FR"/>
        </w:rPr>
        <w:t>une enquête ait été menée, que le détenu ait été entendu et qu</w:t>
      </w:r>
      <w:r w:rsidR="0035332C">
        <w:rPr>
          <w:lang w:val="fr-FR"/>
        </w:rPr>
        <w:t>’</w:t>
      </w:r>
      <w:r w:rsidRPr="00310D49">
        <w:rPr>
          <w:lang w:val="fr-FR"/>
        </w:rPr>
        <w:t>il ait eu la possibilité de se défendre. La décision de sanction doit être motivée et consignée au registre des sanctions.</w:t>
      </w:r>
    </w:p>
    <w:p w14:paraId="25A2D441" w14:textId="6A000936" w:rsidR="00D005FA" w:rsidRPr="00310D49" w:rsidRDefault="00D005FA" w:rsidP="00BE2D6C">
      <w:pPr>
        <w:pStyle w:val="SingleTxtG"/>
        <w:spacing w:before="120"/>
        <w:rPr>
          <w:spacing w:val="-4"/>
          <w:lang w:val="fr-FR"/>
        </w:rPr>
      </w:pPr>
      <w:r w:rsidRPr="00310D49">
        <w:rPr>
          <w:lang w:val="fr-FR"/>
        </w:rPr>
        <w:t>206.</w:t>
      </w:r>
      <w:r w:rsidRPr="00310D49">
        <w:rPr>
          <w:lang w:val="fr-FR"/>
        </w:rPr>
        <w:tab/>
        <w:t>Le fichier des empreintes digitales appartenant aux auteurs d</w:t>
      </w:r>
      <w:r w:rsidR="0035332C">
        <w:rPr>
          <w:lang w:val="fr-FR"/>
        </w:rPr>
        <w:t>’</w:t>
      </w:r>
      <w:r w:rsidRPr="00310D49">
        <w:rPr>
          <w:lang w:val="fr-FR"/>
        </w:rPr>
        <w:t>infractions pénales a été introduit dans les postes de police, conformément à l</w:t>
      </w:r>
      <w:r w:rsidR="0035332C">
        <w:rPr>
          <w:lang w:val="fr-FR"/>
        </w:rPr>
        <w:t>’</w:t>
      </w:r>
      <w:r w:rsidRPr="00310D49">
        <w:rPr>
          <w:lang w:val="fr-FR"/>
        </w:rPr>
        <w:t>arrêté du Ministre de l</w:t>
      </w:r>
      <w:r w:rsidR="0035332C">
        <w:rPr>
          <w:lang w:val="fr-FR"/>
        </w:rPr>
        <w:t>’</w:t>
      </w:r>
      <w:r w:rsidRPr="00310D49">
        <w:rPr>
          <w:lang w:val="fr-FR"/>
        </w:rPr>
        <w:t>intérieur de 2012. Ce registre est consacré à l</w:t>
      </w:r>
      <w:r w:rsidR="0035332C">
        <w:rPr>
          <w:lang w:val="fr-FR"/>
        </w:rPr>
        <w:t>’</w:t>
      </w:r>
      <w:r w:rsidRPr="00310D49">
        <w:rPr>
          <w:lang w:val="fr-FR"/>
        </w:rPr>
        <w:t>enregistrement et à la conservation des empreintes digitales et des données des suspects, prévenus et condamnés ainsi que des personnes détenues dans les établissements pénitentiaires et les maisons d</w:t>
      </w:r>
      <w:r w:rsidR="0035332C">
        <w:rPr>
          <w:lang w:val="fr-FR"/>
        </w:rPr>
        <w:t>’</w:t>
      </w:r>
      <w:r w:rsidRPr="00310D49">
        <w:rPr>
          <w:lang w:val="fr-FR"/>
        </w:rPr>
        <w:t>arrêt. Il contient également les empreintes digitales ou toutes autres traces relevées sur les scènes de crime par les spécialistes et les experts de la police.</w:t>
      </w:r>
    </w:p>
    <w:p w14:paraId="72B58499" w14:textId="77777777" w:rsidR="00D005FA" w:rsidRPr="00310D49" w:rsidRDefault="00D005FA" w:rsidP="00BE2D6C">
      <w:pPr>
        <w:pStyle w:val="H23G"/>
        <w:rPr>
          <w:lang w:val="fr-FR"/>
        </w:rPr>
      </w:pPr>
      <w:r w:rsidRPr="00310D49">
        <w:rPr>
          <w:lang w:val="fr-FR"/>
        </w:rPr>
        <w:tab/>
      </w:r>
      <w:r w:rsidRPr="00310D49">
        <w:rPr>
          <w:lang w:val="fr-FR"/>
        </w:rPr>
        <w:tab/>
        <w:t>Contrôle</w:t>
      </w:r>
    </w:p>
    <w:p w14:paraId="38ACCA42" w14:textId="297C6C0C" w:rsidR="00D005FA" w:rsidRPr="00310D49" w:rsidRDefault="00D005FA" w:rsidP="00BE2D6C">
      <w:pPr>
        <w:pStyle w:val="SingleTxtG"/>
        <w:spacing w:before="120"/>
        <w:rPr>
          <w:lang w:val="fr-FR"/>
        </w:rPr>
      </w:pPr>
      <w:r w:rsidRPr="00310D49">
        <w:rPr>
          <w:lang w:val="fr-FR"/>
        </w:rPr>
        <w:t>207.</w:t>
      </w:r>
      <w:r w:rsidRPr="00310D49">
        <w:rPr>
          <w:lang w:val="fr-FR"/>
        </w:rPr>
        <w:tab/>
        <w:t>Comme indiqué précédemment, les lois palestiniennes confèrent le pouvoir d</w:t>
      </w:r>
      <w:r w:rsidR="0035332C">
        <w:rPr>
          <w:lang w:val="fr-FR"/>
        </w:rPr>
        <w:t>’</w:t>
      </w:r>
      <w:r w:rsidRPr="00310D49">
        <w:rPr>
          <w:lang w:val="fr-FR"/>
        </w:rPr>
        <w:t>inspecter les centres de détention à plusieurs parties et prévoient la tenue de registres dans lesquels sont consignés les mouvements d</w:t>
      </w:r>
      <w:r w:rsidR="0035332C">
        <w:rPr>
          <w:lang w:val="fr-FR"/>
        </w:rPr>
        <w:t>’</w:t>
      </w:r>
      <w:r w:rsidRPr="00310D49">
        <w:rPr>
          <w:lang w:val="fr-FR"/>
        </w:rPr>
        <w:t>entrée et de sortie des détenus afin de s</w:t>
      </w:r>
      <w:r w:rsidR="0035332C">
        <w:rPr>
          <w:lang w:val="fr-FR"/>
        </w:rPr>
        <w:t>’</w:t>
      </w:r>
      <w:r w:rsidRPr="00310D49">
        <w:rPr>
          <w:lang w:val="fr-FR"/>
        </w:rPr>
        <w:t>assurer que nul n</w:t>
      </w:r>
      <w:r w:rsidR="0035332C">
        <w:rPr>
          <w:lang w:val="fr-FR"/>
        </w:rPr>
        <w:t>’</w:t>
      </w:r>
      <w:r w:rsidRPr="00310D49">
        <w:rPr>
          <w:lang w:val="fr-FR"/>
        </w:rPr>
        <w:t>est détenu illégalement.</w:t>
      </w:r>
    </w:p>
    <w:p w14:paraId="57D81660" w14:textId="660E7F4D" w:rsidR="00D005FA" w:rsidRPr="00310D49" w:rsidRDefault="00D005FA" w:rsidP="00BE2D6C">
      <w:pPr>
        <w:pStyle w:val="SingleTxtG"/>
        <w:spacing w:before="120"/>
        <w:rPr>
          <w:lang w:val="fr-FR"/>
        </w:rPr>
      </w:pPr>
      <w:r w:rsidRPr="00310D49">
        <w:rPr>
          <w:lang w:val="fr-FR"/>
        </w:rPr>
        <w:t>208.</w:t>
      </w:r>
      <w:r w:rsidRPr="00310D49">
        <w:rPr>
          <w:lang w:val="fr-FR"/>
        </w:rPr>
        <w:tab/>
        <w:t>Le Code pénal de 1960 prévoit des peines pour sanctionner l</w:t>
      </w:r>
      <w:r w:rsidR="0035332C">
        <w:rPr>
          <w:lang w:val="fr-FR"/>
        </w:rPr>
        <w:t>’</w:t>
      </w:r>
      <w:r w:rsidRPr="00310D49">
        <w:rPr>
          <w:lang w:val="fr-FR"/>
        </w:rPr>
        <w:t>arrestation ou l</w:t>
      </w:r>
      <w:r w:rsidR="0035332C">
        <w:rPr>
          <w:lang w:val="fr-FR"/>
        </w:rPr>
        <w:t>’</w:t>
      </w:r>
      <w:r w:rsidRPr="00310D49">
        <w:rPr>
          <w:lang w:val="fr-FR"/>
        </w:rPr>
        <w:t>emprisonnement illégal de personnes. À cet égard</w:t>
      </w:r>
      <w:r w:rsidRPr="003D1B0D">
        <w:rPr>
          <w:lang w:val="fr-FR"/>
        </w:rPr>
        <w:t>, l</w:t>
      </w:r>
      <w:r w:rsidR="0035332C">
        <w:rPr>
          <w:lang w:val="fr-FR"/>
        </w:rPr>
        <w:t>’</w:t>
      </w:r>
      <w:r w:rsidRPr="003D1B0D">
        <w:rPr>
          <w:lang w:val="fr-FR"/>
        </w:rPr>
        <w:t>article</w:t>
      </w:r>
      <w:r w:rsidR="003D1B0D">
        <w:rPr>
          <w:lang w:val="fr-FR"/>
        </w:rPr>
        <w:t> 178</w:t>
      </w:r>
      <w:r w:rsidRPr="003D1B0D">
        <w:rPr>
          <w:lang w:val="fr-FR"/>
        </w:rPr>
        <w:t xml:space="preserve"> du Code pénal souligne que « [t]out fonctionnaire qui arrête ou détient une personne dans des circonstances</w:t>
      </w:r>
      <w:r w:rsidRPr="00310D49">
        <w:rPr>
          <w:lang w:val="fr-FR"/>
        </w:rPr>
        <w:t xml:space="preserve"> autres que celles prévues par la loi est passible d</w:t>
      </w:r>
      <w:r w:rsidR="0035332C">
        <w:rPr>
          <w:lang w:val="fr-FR"/>
        </w:rPr>
        <w:t>’</w:t>
      </w:r>
      <w:r w:rsidRPr="00310D49">
        <w:rPr>
          <w:lang w:val="fr-FR"/>
        </w:rPr>
        <w:t>une peine d</w:t>
      </w:r>
      <w:r w:rsidR="0035332C">
        <w:rPr>
          <w:lang w:val="fr-FR"/>
        </w:rPr>
        <w:t>’</w:t>
      </w:r>
      <w:r w:rsidRPr="00310D49">
        <w:rPr>
          <w:lang w:val="fr-FR"/>
        </w:rPr>
        <w:t>emprisonnement de trois mois à un an ». En outre, l</w:t>
      </w:r>
      <w:r w:rsidR="0035332C">
        <w:rPr>
          <w:lang w:val="fr-FR"/>
        </w:rPr>
        <w:t>’</w:t>
      </w:r>
      <w:r w:rsidRPr="00310D49">
        <w:rPr>
          <w:lang w:val="fr-FR"/>
        </w:rPr>
        <w:t>article 179 dispose que «</w:t>
      </w:r>
      <w:r w:rsidR="00906778">
        <w:rPr>
          <w:lang w:val="fr-FR"/>
        </w:rPr>
        <w:t> </w:t>
      </w:r>
      <w:r w:rsidRPr="00310D49">
        <w:rPr>
          <w:lang w:val="fr-FR"/>
        </w:rPr>
        <w:t>[t]out directeur ou gardien de prison ou d</w:t>
      </w:r>
      <w:r w:rsidR="0035332C">
        <w:rPr>
          <w:lang w:val="fr-FR"/>
        </w:rPr>
        <w:t>’</w:t>
      </w:r>
      <w:r w:rsidRPr="00310D49">
        <w:rPr>
          <w:lang w:val="fr-FR"/>
        </w:rPr>
        <w:t xml:space="preserve">une institution disciplinaire ou de rééducation, et tout responsable investi de leurs pouvoirs, qui reçoit une personne dans son institution sans une décision de justice ou qui retient une personne dans </w:t>
      </w:r>
      <w:r w:rsidRPr="00310D49">
        <w:rPr>
          <w:lang w:val="fr-FR"/>
        </w:rPr>
        <w:lastRenderedPageBreak/>
        <w:t>l</w:t>
      </w:r>
      <w:r w:rsidR="0035332C">
        <w:rPr>
          <w:lang w:val="fr-FR"/>
        </w:rPr>
        <w:t>’</w:t>
      </w:r>
      <w:r w:rsidRPr="00310D49">
        <w:rPr>
          <w:lang w:val="fr-FR"/>
        </w:rPr>
        <w:t>institution pendant une période plus longue que celle spécifiée est passible d</w:t>
      </w:r>
      <w:r w:rsidR="0035332C">
        <w:rPr>
          <w:lang w:val="fr-FR"/>
        </w:rPr>
        <w:t>’</w:t>
      </w:r>
      <w:r w:rsidRPr="00310D49">
        <w:rPr>
          <w:lang w:val="fr-FR"/>
        </w:rPr>
        <w:t>une peine d</w:t>
      </w:r>
      <w:r w:rsidR="0035332C">
        <w:rPr>
          <w:lang w:val="fr-FR"/>
        </w:rPr>
        <w:t>’</w:t>
      </w:r>
      <w:r w:rsidRPr="00310D49">
        <w:rPr>
          <w:lang w:val="fr-FR"/>
        </w:rPr>
        <w:t>emprisonnement allant d</w:t>
      </w:r>
      <w:r w:rsidR="0035332C">
        <w:rPr>
          <w:lang w:val="fr-FR"/>
        </w:rPr>
        <w:t>’</w:t>
      </w:r>
      <w:r w:rsidRPr="00310D49">
        <w:rPr>
          <w:lang w:val="fr-FR"/>
        </w:rPr>
        <w:t>un à trois ans</w:t>
      </w:r>
      <w:r w:rsidR="00906778">
        <w:rPr>
          <w:lang w:val="fr-FR"/>
        </w:rPr>
        <w:t> </w:t>
      </w:r>
      <w:r w:rsidRPr="00310D49">
        <w:rPr>
          <w:lang w:val="fr-FR"/>
        </w:rPr>
        <w:t xml:space="preserve">». </w:t>
      </w:r>
    </w:p>
    <w:p w14:paraId="17DF36E5" w14:textId="0C0E1663" w:rsidR="00D005FA" w:rsidRPr="00310D49" w:rsidRDefault="00D005FA" w:rsidP="00BE2D6C">
      <w:pPr>
        <w:pStyle w:val="SingleTxtG"/>
        <w:spacing w:before="120"/>
        <w:rPr>
          <w:lang w:val="fr-FR"/>
        </w:rPr>
      </w:pPr>
      <w:r w:rsidRPr="00310D49">
        <w:rPr>
          <w:lang w:val="fr-FR"/>
        </w:rPr>
        <w:t>209.</w:t>
      </w:r>
      <w:r w:rsidRPr="00310D49">
        <w:rPr>
          <w:lang w:val="fr-FR"/>
        </w:rPr>
        <w:tab/>
        <w:t>Conformément à l</w:t>
      </w:r>
      <w:r w:rsidR="0035332C">
        <w:rPr>
          <w:lang w:val="fr-FR"/>
        </w:rPr>
        <w:t>’</w:t>
      </w:r>
      <w:r w:rsidRPr="00310D49">
        <w:rPr>
          <w:lang w:val="fr-FR"/>
        </w:rPr>
        <w:t>article</w:t>
      </w:r>
      <w:r w:rsidR="00906778">
        <w:rPr>
          <w:lang w:val="fr-FR"/>
        </w:rPr>
        <w:t> </w:t>
      </w:r>
      <w:r w:rsidRPr="00310D49">
        <w:rPr>
          <w:lang w:val="fr-FR"/>
        </w:rPr>
        <w:t>180 dudit Code, les personnes susmentionnées, les officiers et éléments de la police et de la gendarmerie, ainsi que tous les fonctionnaires administratifs qui refusent ou retardent la présentation d</w:t>
      </w:r>
      <w:r w:rsidR="0035332C">
        <w:rPr>
          <w:lang w:val="fr-FR"/>
        </w:rPr>
        <w:t>’</w:t>
      </w:r>
      <w:r w:rsidRPr="00310D49">
        <w:rPr>
          <w:lang w:val="fr-FR"/>
        </w:rPr>
        <w:t>un détenu ou d</w:t>
      </w:r>
      <w:r w:rsidR="0035332C">
        <w:rPr>
          <w:lang w:val="fr-FR"/>
        </w:rPr>
        <w:t>’</w:t>
      </w:r>
      <w:r w:rsidRPr="00310D49">
        <w:rPr>
          <w:lang w:val="fr-FR"/>
        </w:rPr>
        <w:t>un prisonnier au juge compétent qui en fait la demande sont passibles d</w:t>
      </w:r>
      <w:r w:rsidR="0035332C">
        <w:rPr>
          <w:lang w:val="fr-FR"/>
        </w:rPr>
        <w:t>’</w:t>
      </w:r>
      <w:r w:rsidRPr="00310D49">
        <w:rPr>
          <w:lang w:val="fr-FR"/>
        </w:rPr>
        <w:t>une peine d</w:t>
      </w:r>
      <w:r w:rsidR="0035332C">
        <w:rPr>
          <w:lang w:val="fr-FR"/>
        </w:rPr>
        <w:t>’</w:t>
      </w:r>
      <w:r w:rsidRPr="00310D49">
        <w:rPr>
          <w:lang w:val="fr-FR"/>
        </w:rPr>
        <w:t>emprisonnement pouvant aller jusqu</w:t>
      </w:r>
      <w:r w:rsidR="0035332C">
        <w:rPr>
          <w:lang w:val="fr-FR"/>
        </w:rPr>
        <w:t>’</w:t>
      </w:r>
      <w:r w:rsidRPr="00310D49">
        <w:rPr>
          <w:lang w:val="fr-FR"/>
        </w:rPr>
        <w:t>à six mois ou d</w:t>
      </w:r>
      <w:r w:rsidR="0035332C">
        <w:rPr>
          <w:lang w:val="fr-FR"/>
        </w:rPr>
        <w:t>’</w:t>
      </w:r>
      <w:r w:rsidRPr="00310D49">
        <w:rPr>
          <w:lang w:val="fr-FR"/>
        </w:rPr>
        <w:t xml:space="preserve">une </w:t>
      </w:r>
      <w:r w:rsidRPr="003D1B0D">
        <w:rPr>
          <w:lang w:val="fr-FR"/>
        </w:rPr>
        <w:t>amende de 50</w:t>
      </w:r>
      <w:r w:rsidR="00906778" w:rsidRPr="003D1B0D">
        <w:rPr>
          <w:lang w:val="fr-FR"/>
        </w:rPr>
        <w:t> </w:t>
      </w:r>
      <w:r w:rsidRPr="003D1B0D">
        <w:rPr>
          <w:lang w:val="fr-FR"/>
        </w:rPr>
        <w:t>dinars</w:t>
      </w:r>
      <w:r w:rsidRPr="00310D49">
        <w:rPr>
          <w:lang w:val="fr-FR"/>
        </w:rPr>
        <w:t xml:space="preserve"> au plus.</w:t>
      </w:r>
    </w:p>
    <w:p w14:paraId="6949B6BF" w14:textId="56EF1418" w:rsidR="00D005FA" w:rsidRPr="00310D49" w:rsidRDefault="00D005FA" w:rsidP="00BE2D6C">
      <w:pPr>
        <w:pStyle w:val="SingleTxtG"/>
        <w:spacing w:before="120"/>
        <w:rPr>
          <w:spacing w:val="-4"/>
          <w:lang w:val="fr-FR"/>
        </w:rPr>
      </w:pPr>
      <w:r w:rsidRPr="00310D49">
        <w:rPr>
          <w:lang w:val="fr-FR"/>
        </w:rPr>
        <w:t>210.</w:t>
      </w:r>
      <w:r w:rsidRPr="00310D49">
        <w:rPr>
          <w:lang w:val="fr-FR"/>
        </w:rPr>
        <w:tab/>
        <w:t>L</w:t>
      </w:r>
      <w:r w:rsidR="0035332C">
        <w:rPr>
          <w:lang w:val="fr-FR"/>
        </w:rPr>
        <w:t>’</w:t>
      </w:r>
      <w:r w:rsidRPr="00310D49">
        <w:rPr>
          <w:lang w:val="fr-FR"/>
        </w:rPr>
        <w:t>article 33 (al</w:t>
      </w:r>
      <w:r w:rsidR="00906778">
        <w:rPr>
          <w:lang w:val="fr-FR"/>
        </w:rPr>
        <w:t>. </w:t>
      </w:r>
      <w:r w:rsidRPr="00310D49">
        <w:rPr>
          <w:lang w:val="fr-FR"/>
        </w:rPr>
        <w:t xml:space="preserve">3) de </w:t>
      </w:r>
      <w:r w:rsidR="00906778">
        <w:rPr>
          <w:lang w:val="fr-FR"/>
        </w:rPr>
        <w:t xml:space="preserve">la </w:t>
      </w:r>
      <w:r w:rsidRPr="00310D49">
        <w:rPr>
          <w:lang w:val="fr-FR"/>
        </w:rPr>
        <w:t>loi n</w:t>
      </w:r>
      <w:r w:rsidR="00906778" w:rsidRPr="00906778">
        <w:rPr>
          <w:vertAlign w:val="superscript"/>
          <w:lang w:val="fr-FR"/>
        </w:rPr>
        <w:t>o</w:t>
      </w:r>
      <w:r w:rsidR="00906778">
        <w:rPr>
          <w:lang w:val="fr-FR"/>
        </w:rPr>
        <w:t> </w:t>
      </w:r>
      <w:r w:rsidRPr="00310D49">
        <w:rPr>
          <w:lang w:val="fr-FR"/>
        </w:rPr>
        <w:t>5 de 2001 portant création des tribunaux ordinaires attribue à la Haute Cour de justice la compétence pour statuer sur les demandes de mise en liberté des personnes dont la détention est illégale. Dans les demandes et recours déposés devant la Haute Cour de justice par des particuliers ou des institutions, il est exigé que le motif du recours soit lié à une violation des lois ou règlements, à une erreur dans leur application ou leur interprétation, ou à un abus ou à un détournement de pouvoir, comme l</w:t>
      </w:r>
      <w:r w:rsidR="0035332C">
        <w:rPr>
          <w:lang w:val="fr-FR"/>
        </w:rPr>
        <w:t>’</w:t>
      </w:r>
      <w:r w:rsidRPr="00310D49">
        <w:rPr>
          <w:lang w:val="fr-FR"/>
        </w:rPr>
        <w:t>indique l</w:t>
      </w:r>
      <w:r w:rsidR="0035332C">
        <w:rPr>
          <w:lang w:val="fr-FR"/>
        </w:rPr>
        <w:t>’</w:t>
      </w:r>
      <w:r w:rsidRPr="00310D49">
        <w:rPr>
          <w:lang w:val="fr-FR"/>
        </w:rPr>
        <w:t>article</w:t>
      </w:r>
      <w:r w:rsidR="00906778">
        <w:rPr>
          <w:lang w:val="fr-FR"/>
        </w:rPr>
        <w:t> </w:t>
      </w:r>
      <w:r w:rsidRPr="00310D49">
        <w:rPr>
          <w:lang w:val="fr-FR"/>
        </w:rPr>
        <w:t>34 (al</w:t>
      </w:r>
      <w:r w:rsidR="00906778">
        <w:rPr>
          <w:lang w:val="fr-FR"/>
        </w:rPr>
        <w:t>. </w:t>
      </w:r>
      <w:r w:rsidRPr="00310D49">
        <w:rPr>
          <w:lang w:val="fr-FR"/>
        </w:rPr>
        <w:t>3 et 4) de ladite loi.</w:t>
      </w:r>
    </w:p>
    <w:p w14:paraId="4BF4A922" w14:textId="6A5C6B27" w:rsidR="00D005FA" w:rsidRPr="00310D49" w:rsidRDefault="00D005FA" w:rsidP="00BE2D6C">
      <w:pPr>
        <w:pStyle w:val="SingleTxtG"/>
        <w:spacing w:before="120"/>
        <w:rPr>
          <w:lang w:val="fr-FR"/>
        </w:rPr>
      </w:pPr>
      <w:r w:rsidRPr="00310D49">
        <w:rPr>
          <w:lang w:val="fr-FR"/>
        </w:rPr>
        <w:t>211.</w:t>
      </w:r>
      <w:r w:rsidRPr="00310D49">
        <w:rPr>
          <w:lang w:val="fr-FR"/>
        </w:rPr>
        <w:tab/>
        <w:t>Le Code de procédure pénale garantit au détenu le droit de demander une libération sous caution. À cet égard, l</w:t>
      </w:r>
      <w:r w:rsidR="0035332C">
        <w:rPr>
          <w:lang w:val="fr-FR"/>
        </w:rPr>
        <w:t>’</w:t>
      </w:r>
      <w:r w:rsidRPr="00310D49">
        <w:rPr>
          <w:lang w:val="fr-FR"/>
        </w:rPr>
        <w:t>article</w:t>
      </w:r>
      <w:r w:rsidR="00906778">
        <w:rPr>
          <w:lang w:val="fr-FR"/>
        </w:rPr>
        <w:t> </w:t>
      </w:r>
      <w:r w:rsidRPr="00310D49">
        <w:rPr>
          <w:lang w:val="fr-FR"/>
        </w:rPr>
        <w:t>131 dudit Code s</w:t>
      </w:r>
      <w:r w:rsidR="0035332C">
        <w:rPr>
          <w:lang w:val="fr-FR"/>
        </w:rPr>
        <w:t>’</w:t>
      </w:r>
      <w:r w:rsidRPr="00310D49">
        <w:rPr>
          <w:lang w:val="fr-FR"/>
        </w:rPr>
        <w:t>applique au gardé à vue qui n</w:t>
      </w:r>
      <w:r w:rsidR="0035332C">
        <w:rPr>
          <w:lang w:val="fr-FR"/>
        </w:rPr>
        <w:t>’</w:t>
      </w:r>
      <w:r w:rsidRPr="00310D49">
        <w:rPr>
          <w:lang w:val="fr-FR"/>
        </w:rPr>
        <w:t>a pas été déféré au tribunal en disposant que «</w:t>
      </w:r>
      <w:r w:rsidR="00906778">
        <w:rPr>
          <w:lang w:val="fr-FR"/>
        </w:rPr>
        <w:t> </w:t>
      </w:r>
      <w:r w:rsidRPr="00310D49">
        <w:rPr>
          <w:lang w:val="fr-FR"/>
        </w:rPr>
        <w:t>[s]i le prévenu n</w:t>
      </w:r>
      <w:r w:rsidR="0035332C">
        <w:rPr>
          <w:lang w:val="fr-FR"/>
        </w:rPr>
        <w:t>’</w:t>
      </w:r>
      <w:r w:rsidRPr="00310D49">
        <w:rPr>
          <w:lang w:val="fr-FR"/>
        </w:rPr>
        <w:t>a pas été traduit en justice, la demande de mise en liberté sous caution est présentée au juge habilité à émettre un mandat d</w:t>
      </w:r>
      <w:r w:rsidR="0035332C">
        <w:rPr>
          <w:lang w:val="fr-FR"/>
        </w:rPr>
        <w:t>’</w:t>
      </w:r>
      <w:r w:rsidRPr="00310D49">
        <w:rPr>
          <w:lang w:val="fr-FR"/>
        </w:rPr>
        <w:t>arrêt</w:t>
      </w:r>
      <w:r w:rsidR="00906778">
        <w:rPr>
          <w:lang w:val="fr-FR"/>
        </w:rPr>
        <w:t> </w:t>
      </w:r>
      <w:r w:rsidRPr="00310D49">
        <w:rPr>
          <w:lang w:val="fr-FR"/>
        </w:rPr>
        <w:t>». Quant à l</w:t>
      </w:r>
      <w:r w:rsidR="0035332C">
        <w:rPr>
          <w:lang w:val="fr-FR"/>
        </w:rPr>
        <w:t>’</w:t>
      </w:r>
      <w:r w:rsidRPr="00310D49">
        <w:rPr>
          <w:lang w:val="fr-FR"/>
        </w:rPr>
        <w:t>article 132 du même code, il s</w:t>
      </w:r>
      <w:r w:rsidR="0035332C">
        <w:rPr>
          <w:lang w:val="fr-FR"/>
        </w:rPr>
        <w:t>’</w:t>
      </w:r>
      <w:r w:rsidRPr="00310D49">
        <w:rPr>
          <w:lang w:val="fr-FR"/>
        </w:rPr>
        <w:t xml:space="preserve">applique au prévenu qui a été déféré au tribunal et prévoit </w:t>
      </w:r>
      <w:r w:rsidRPr="0026633B">
        <w:rPr>
          <w:lang w:val="fr-FR"/>
        </w:rPr>
        <w:t>que «</w:t>
      </w:r>
      <w:r w:rsidR="00906778">
        <w:rPr>
          <w:lang w:val="fr-FR"/>
        </w:rPr>
        <w:t> </w:t>
      </w:r>
      <w:r w:rsidRPr="00310D49">
        <w:rPr>
          <w:lang w:val="fr-FR"/>
        </w:rPr>
        <w:t>[s]i le prévenu a été traduit en justice, la demande de mise en liberté sous caution est présentée à la juridiction saisie du procès</w:t>
      </w:r>
      <w:r w:rsidR="00906778">
        <w:rPr>
          <w:lang w:val="fr-FR"/>
        </w:rPr>
        <w:t> </w:t>
      </w:r>
      <w:r w:rsidRPr="00310D49">
        <w:rPr>
          <w:lang w:val="fr-FR"/>
        </w:rPr>
        <w:t>».</w:t>
      </w:r>
    </w:p>
    <w:p w14:paraId="04095ED6" w14:textId="091EF8C4" w:rsidR="00D005FA" w:rsidRPr="00310D49" w:rsidRDefault="00D005FA" w:rsidP="00BE2D6C">
      <w:pPr>
        <w:pStyle w:val="SingleTxtG"/>
        <w:spacing w:before="120"/>
        <w:rPr>
          <w:lang w:val="fr-FR"/>
        </w:rPr>
      </w:pPr>
      <w:r w:rsidRPr="00310D49">
        <w:rPr>
          <w:lang w:val="fr-FR"/>
        </w:rPr>
        <w:t>212.</w:t>
      </w:r>
      <w:r w:rsidRPr="00310D49">
        <w:rPr>
          <w:lang w:val="fr-FR"/>
        </w:rPr>
        <w:tab/>
        <w:t>L</w:t>
      </w:r>
      <w:r w:rsidR="0035332C">
        <w:rPr>
          <w:lang w:val="fr-FR"/>
        </w:rPr>
        <w:t>’</w:t>
      </w:r>
      <w:r w:rsidRPr="00310D49">
        <w:rPr>
          <w:lang w:val="fr-FR"/>
        </w:rPr>
        <w:t>article 32 de la Loi fondamentale, telle que modifiée, prévoit une réparation équitable pour les victimes de violations des droits et libertés, y compris la détention illégale. C</w:t>
      </w:r>
      <w:r w:rsidR="0035332C">
        <w:rPr>
          <w:lang w:val="fr-FR"/>
        </w:rPr>
        <w:t>’</w:t>
      </w:r>
      <w:r w:rsidRPr="00310D49">
        <w:rPr>
          <w:lang w:val="fr-FR"/>
        </w:rPr>
        <w:t>est ce que confirme l</w:t>
      </w:r>
      <w:r w:rsidR="0035332C">
        <w:rPr>
          <w:lang w:val="fr-FR"/>
        </w:rPr>
        <w:t>’</w:t>
      </w:r>
      <w:r w:rsidRPr="00310D49">
        <w:rPr>
          <w:lang w:val="fr-FR"/>
        </w:rPr>
        <w:t>article 387 du Code de procédure pénale en vertu duquel «</w:t>
      </w:r>
      <w:r w:rsidR="00906778">
        <w:rPr>
          <w:lang w:val="fr-FR"/>
        </w:rPr>
        <w:t> </w:t>
      </w:r>
      <w:r w:rsidRPr="00310D49">
        <w:rPr>
          <w:lang w:val="fr-FR"/>
        </w:rPr>
        <w:t>[u]ne personne acquittée après ouverture d</w:t>
      </w:r>
      <w:r w:rsidR="0035332C">
        <w:rPr>
          <w:lang w:val="fr-FR"/>
        </w:rPr>
        <w:t>’</w:t>
      </w:r>
      <w:r w:rsidRPr="00310D49">
        <w:rPr>
          <w:lang w:val="fr-FR"/>
        </w:rPr>
        <w:t>un nouveau procès a le droit de demander réparation à l</w:t>
      </w:r>
      <w:r w:rsidR="0035332C">
        <w:rPr>
          <w:lang w:val="fr-FR"/>
        </w:rPr>
        <w:t>’</w:t>
      </w:r>
      <w:r w:rsidRPr="00310D49">
        <w:rPr>
          <w:lang w:val="fr-FR"/>
        </w:rPr>
        <w:t>État pour le préjudice subi résultant du jugement initial</w:t>
      </w:r>
      <w:r w:rsidR="00906778">
        <w:rPr>
          <w:lang w:val="fr-FR"/>
        </w:rPr>
        <w:t> </w:t>
      </w:r>
      <w:r w:rsidRPr="00310D49">
        <w:rPr>
          <w:lang w:val="fr-FR"/>
        </w:rPr>
        <w:t>».</w:t>
      </w:r>
    </w:p>
    <w:p w14:paraId="7687F747" w14:textId="459E313B" w:rsidR="00D005FA" w:rsidRPr="00310D49" w:rsidRDefault="00D005FA" w:rsidP="00BE2D6C">
      <w:pPr>
        <w:pStyle w:val="SingleTxtG"/>
        <w:spacing w:before="120"/>
        <w:rPr>
          <w:lang w:val="fr-FR"/>
        </w:rPr>
      </w:pPr>
      <w:r w:rsidRPr="00310D49">
        <w:rPr>
          <w:lang w:val="fr-FR"/>
        </w:rPr>
        <w:t>213.</w:t>
      </w:r>
      <w:r w:rsidRPr="00310D49">
        <w:rPr>
          <w:lang w:val="fr-FR"/>
        </w:rPr>
        <w:tab/>
        <w:t>Selon les rapports annuels de plaintes publiés par le Conseil des ministres, 43 plaintes pour détention illégale ont été enregistrées en 2015 et 34 d</w:t>
      </w:r>
      <w:r w:rsidR="0035332C">
        <w:rPr>
          <w:lang w:val="fr-FR"/>
        </w:rPr>
        <w:t>’</w:t>
      </w:r>
      <w:r w:rsidRPr="00310D49">
        <w:rPr>
          <w:lang w:val="fr-FR"/>
        </w:rPr>
        <w:t>entre elles ont été résolues. En</w:t>
      </w:r>
      <w:r w:rsidR="00906778">
        <w:rPr>
          <w:lang w:val="fr-FR"/>
        </w:rPr>
        <w:t> </w:t>
      </w:r>
      <w:r w:rsidRPr="00310D49">
        <w:rPr>
          <w:lang w:val="fr-FR"/>
        </w:rPr>
        <w:t>2016, le nombre de plaintes examinées est passé à 71, dont 64 ont été résolues, tandis que le nombre de plaintes examinées en 2017 a atteint 107.</w:t>
      </w:r>
    </w:p>
    <w:p w14:paraId="59266031" w14:textId="77777777" w:rsidR="00D005FA" w:rsidRPr="00310D49" w:rsidRDefault="00D005FA" w:rsidP="00BE2D6C">
      <w:pPr>
        <w:pStyle w:val="H23G"/>
        <w:rPr>
          <w:lang w:val="fr-FR"/>
        </w:rPr>
      </w:pPr>
      <w:r w:rsidRPr="00310D49">
        <w:rPr>
          <w:lang w:val="fr-FR"/>
        </w:rPr>
        <w:tab/>
      </w:r>
      <w:r w:rsidRPr="00310D49">
        <w:rPr>
          <w:lang w:val="fr-FR"/>
        </w:rPr>
        <w:tab/>
      </w:r>
      <w:r w:rsidRPr="000503D7">
        <w:rPr>
          <w:lang w:val="fr-FR"/>
        </w:rPr>
        <w:t>Détention dans des hôpitaux psychiatriques</w:t>
      </w:r>
    </w:p>
    <w:p w14:paraId="30452C51" w14:textId="0E940BFB" w:rsidR="00D005FA" w:rsidRPr="00310D49" w:rsidRDefault="00D005FA" w:rsidP="00BE2D6C">
      <w:pPr>
        <w:pStyle w:val="SingleTxtG"/>
        <w:spacing w:before="120"/>
        <w:rPr>
          <w:lang w:val="fr-FR"/>
        </w:rPr>
      </w:pPr>
      <w:r w:rsidRPr="00310D49">
        <w:rPr>
          <w:lang w:val="fr-FR"/>
        </w:rPr>
        <w:t>214.</w:t>
      </w:r>
      <w:r w:rsidRPr="00310D49">
        <w:rPr>
          <w:lang w:val="fr-FR"/>
        </w:rPr>
        <w:tab/>
        <w:t>Il existe deux hôpitaux psychiatriques dans l</w:t>
      </w:r>
      <w:r w:rsidR="0035332C">
        <w:rPr>
          <w:lang w:val="fr-FR"/>
        </w:rPr>
        <w:t>’</w:t>
      </w:r>
      <w:r w:rsidRPr="00310D49">
        <w:rPr>
          <w:lang w:val="fr-FR"/>
        </w:rPr>
        <w:t>État de Palestine, à savoir l</w:t>
      </w:r>
      <w:r w:rsidR="0035332C">
        <w:rPr>
          <w:lang w:val="fr-FR"/>
        </w:rPr>
        <w:t>’</w:t>
      </w:r>
      <w:r w:rsidRPr="00310D49">
        <w:rPr>
          <w:lang w:val="fr-FR"/>
        </w:rPr>
        <w:t>hôpital de Gaza et l</w:t>
      </w:r>
      <w:r w:rsidR="0035332C">
        <w:rPr>
          <w:lang w:val="fr-FR"/>
        </w:rPr>
        <w:t>’</w:t>
      </w:r>
      <w:r w:rsidRPr="00310D49">
        <w:rPr>
          <w:lang w:val="fr-FR"/>
        </w:rPr>
        <w:t>hôpital de Bethléem. L</w:t>
      </w:r>
      <w:r w:rsidR="0035332C">
        <w:rPr>
          <w:lang w:val="fr-FR"/>
        </w:rPr>
        <w:t>’</w:t>
      </w:r>
      <w:r w:rsidRPr="00310D49">
        <w:rPr>
          <w:lang w:val="fr-FR"/>
        </w:rPr>
        <w:t>admission dans ces deux hôpitaux peut être demandée par le patient lui-même, des membres de sa famille, des agents de police dans le cas de personnes dont on soupçonne qu</w:t>
      </w:r>
      <w:r w:rsidR="0035332C">
        <w:rPr>
          <w:lang w:val="fr-FR"/>
        </w:rPr>
        <w:t>’</w:t>
      </w:r>
      <w:r w:rsidRPr="00310D49">
        <w:rPr>
          <w:lang w:val="fr-FR"/>
        </w:rPr>
        <w:t>elles souffrent de troubles psychiatriques afin d</w:t>
      </w:r>
      <w:r w:rsidR="0035332C">
        <w:rPr>
          <w:lang w:val="fr-FR"/>
        </w:rPr>
        <w:t>’</w:t>
      </w:r>
      <w:r w:rsidRPr="00310D49">
        <w:rPr>
          <w:lang w:val="fr-FR"/>
        </w:rPr>
        <w:t>évaluer leur état ou le tribunal qui ordonne le placement en hôpital psychiatrique de condamnés souffrant de maladies mentales et purgeant leur peine dans des établissements pénitentiaires.</w:t>
      </w:r>
    </w:p>
    <w:p w14:paraId="68C1E435" w14:textId="0E70679E" w:rsidR="00D005FA" w:rsidRPr="00310D49" w:rsidRDefault="00D005FA" w:rsidP="00BE2D6C">
      <w:pPr>
        <w:pStyle w:val="SingleTxtG"/>
        <w:spacing w:before="120"/>
        <w:rPr>
          <w:spacing w:val="-4"/>
          <w:lang w:val="fr-FR"/>
        </w:rPr>
      </w:pPr>
      <w:r w:rsidRPr="00310D49">
        <w:rPr>
          <w:lang w:val="fr-FR"/>
        </w:rPr>
        <w:t>215.</w:t>
      </w:r>
      <w:r w:rsidRPr="00310D49">
        <w:rPr>
          <w:lang w:val="fr-FR"/>
        </w:rPr>
        <w:tab/>
        <w:t>Dans les trois premiers cas, l</w:t>
      </w:r>
      <w:r w:rsidR="0035332C">
        <w:rPr>
          <w:lang w:val="fr-FR"/>
        </w:rPr>
        <w:t>’</w:t>
      </w:r>
      <w:r w:rsidRPr="00310D49">
        <w:rPr>
          <w:lang w:val="fr-FR"/>
        </w:rPr>
        <w:t>admission se fait sur la base d</w:t>
      </w:r>
      <w:r w:rsidR="0035332C">
        <w:rPr>
          <w:lang w:val="fr-FR"/>
        </w:rPr>
        <w:t>’</w:t>
      </w:r>
      <w:r w:rsidRPr="00310D49">
        <w:rPr>
          <w:lang w:val="fr-FR"/>
        </w:rPr>
        <w:t>une évaluation de l</w:t>
      </w:r>
      <w:r w:rsidR="0035332C">
        <w:rPr>
          <w:lang w:val="fr-FR"/>
        </w:rPr>
        <w:t>’</w:t>
      </w:r>
      <w:r w:rsidRPr="00310D49">
        <w:rPr>
          <w:lang w:val="fr-FR"/>
        </w:rPr>
        <w:t xml:space="preserve">état du patient par le psychiatre de garde </w:t>
      </w:r>
      <w:r w:rsidR="000503D7">
        <w:rPr>
          <w:lang w:val="fr-FR"/>
        </w:rPr>
        <w:t>−</w:t>
      </w:r>
      <w:r w:rsidRPr="00310D49">
        <w:rPr>
          <w:lang w:val="fr-FR"/>
        </w:rPr>
        <w:t xml:space="preserve"> en contactant, si nécessaire, le psychiatre traitant pour lui demander conseil. En fonction des résultats de l</w:t>
      </w:r>
      <w:r w:rsidR="0035332C">
        <w:rPr>
          <w:lang w:val="fr-FR"/>
        </w:rPr>
        <w:t>’</w:t>
      </w:r>
      <w:r w:rsidRPr="00310D49">
        <w:rPr>
          <w:lang w:val="fr-FR"/>
        </w:rPr>
        <w:t>évaluation, qui font l</w:t>
      </w:r>
      <w:r w:rsidR="0035332C">
        <w:rPr>
          <w:lang w:val="fr-FR"/>
        </w:rPr>
        <w:t>’</w:t>
      </w:r>
      <w:r w:rsidRPr="00310D49">
        <w:rPr>
          <w:lang w:val="fr-FR"/>
        </w:rPr>
        <w:t>objet d</w:t>
      </w:r>
      <w:r w:rsidR="0035332C">
        <w:rPr>
          <w:lang w:val="fr-FR"/>
        </w:rPr>
        <w:t>’</w:t>
      </w:r>
      <w:r w:rsidRPr="00310D49">
        <w:rPr>
          <w:lang w:val="fr-FR"/>
        </w:rPr>
        <w:t>un examen et d</w:t>
      </w:r>
      <w:r w:rsidR="0035332C">
        <w:rPr>
          <w:lang w:val="fr-FR"/>
        </w:rPr>
        <w:t>’</w:t>
      </w:r>
      <w:r w:rsidRPr="00310D49">
        <w:rPr>
          <w:lang w:val="fr-FR"/>
        </w:rPr>
        <w:t>une appréciation par l</w:t>
      </w:r>
      <w:r w:rsidR="0035332C">
        <w:rPr>
          <w:lang w:val="fr-FR"/>
        </w:rPr>
        <w:t>’</w:t>
      </w:r>
      <w:r w:rsidRPr="00310D49">
        <w:rPr>
          <w:lang w:val="fr-FR"/>
        </w:rPr>
        <w:t>équipe médicale, il est décidé d</w:t>
      </w:r>
      <w:r w:rsidR="0035332C">
        <w:rPr>
          <w:lang w:val="fr-FR"/>
        </w:rPr>
        <w:t>’</w:t>
      </w:r>
      <w:r w:rsidRPr="00310D49">
        <w:rPr>
          <w:lang w:val="fr-FR"/>
        </w:rPr>
        <w:t>admettre ou non le patient à l</w:t>
      </w:r>
      <w:r w:rsidR="0035332C">
        <w:rPr>
          <w:lang w:val="fr-FR"/>
        </w:rPr>
        <w:t>’</w:t>
      </w:r>
      <w:r w:rsidRPr="00310D49">
        <w:rPr>
          <w:lang w:val="fr-FR"/>
        </w:rPr>
        <w:t>hôpital. Lorsque l</w:t>
      </w:r>
      <w:r w:rsidR="0035332C">
        <w:rPr>
          <w:lang w:val="fr-FR"/>
        </w:rPr>
        <w:t>’</w:t>
      </w:r>
      <w:r w:rsidRPr="00310D49">
        <w:rPr>
          <w:lang w:val="fr-FR"/>
        </w:rPr>
        <w:t xml:space="preserve">admission est approuvée, le patient est suivi par le psychiatre compétent et hospitalisé pendant une période allant de </w:t>
      </w:r>
      <w:r w:rsidR="000503D7">
        <w:rPr>
          <w:lang w:val="fr-FR"/>
        </w:rPr>
        <w:t>sept</w:t>
      </w:r>
      <w:r w:rsidRPr="00310D49">
        <w:rPr>
          <w:lang w:val="fr-FR"/>
        </w:rPr>
        <w:t xml:space="preserve"> à </w:t>
      </w:r>
      <w:r w:rsidR="000503D7">
        <w:rPr>
          <w:lang w:val="fr-FR"/>
        </w:rPr>
        <w:t>trente</w:t>
      </w:r>
      <w:r w:rsidRPr="00310D49">
        <w:rPr>
          <w:lang w:val="fr-FR"/>
        </w:rPr>
        <w:t xml:space="preserve"> jours, à moins que son état soit très instable et requière une prolongation de son hospitalisation. À l</w:t>
      </w:r>
      <w:r w:rsidR="0035332C">
        <w:rPr>
          <w:lang w:val="fr-FR"/>
        </w:rPr>
        <w:t>’</w:t>
      </w:r>
      <w:r w:rsidRPr="00310D49">
        <w:rPr>
          <w:lang w:val="fr-FR"/>
        </w:rPr>
        <w:t xml:space="preserve">exception des cas les plus graves, </w:t>
      </w:r>
      <w:r w:rsidR="00C25CE8">
        <w:rPr>
          <w:lang w:val="fr-FR"/>
        </w:rPr>
        <w:t>nul</w:t>
      </w:r>
      <w:r w:rsidRPr="00310D49">
        <w:rPr>
          <w:lang w:val="fr-FR"/>
        </w:rPr>
        <w:t xml:space="preserve"> n</w:t>
      </w:r>
      <w:r w:rsidR="0035332C">
        <w:rPr>
          <w:lang w:val="fr-FR"/>
        </w:rPr>
        <w:t>’</w:t>
      </w:r>
      <w:r w:rsidRPr="00310D49">
        <w:rPr>
          <w:lang w:val="fr-FR"/>
        </w:rPr>
        <w:t xml:space="preserve">est interné contre son gré dans un hôpital psychiatrique. Si une personne conteste son hospitalisation, son état mental est évalué sans délai </w:t>
      </w:r>
      <w:r w:rsidR="00C25CE8">
        <w:rPr>
          <w:lang w:val="fr-FR"/>
        </w:rPr>
        <w:t>et une décision est prise en conséquence</w:t>
      </w:r>
      <w:r w:rsidRPr="00310D49">
        <w:rPr>
          <w:lang w:val="fr-FR"/>
        </w:rPr>
        <w:t>. Cependant, il n</w:t>
      </w:r>
      <w:r w:rsidR="0035332C">
        <w:rPr>
          <w:lang w:val="fr-FR"/>
        </w:rPr>
        <w:t>’</w:t>
      </w:r>
      <w:r w:rsidRPr="00310D49">
        <w:rPr>
          <w:lang w:val="fr-FR"/>
        </w:rPr>
        <w:t>y a pas de chiffres ou de données sur ces cas, puisque les contestations de l</w:t>
      </w:r>
      <w:r w:rsidR="0035332C">
        <w:rPr>
          <w:lang w:val="fr-FR"/>
        </w:rPr>
        <w:t>’</w:t>
      </w:r>
      <w:r w:rsidRPr="00310D49">
        <w:rPr>
          <w:lang w:val="fr-FR"/>
        </w:rPr>
        <w:t>hospitalisation d</w:t>
      </w:r>
      <w:r w:rsidR="0035332C">
        <w:rPr>
          <w:lang w:val="fr-FR"/>
        </w:rPr>
        <w:t>’</w:t>
      </w:r>
      <w:r w:rsidRPr="00310D49">
        <w:rPr>
          <w:lang w:val="fr-FR"/>
        </w:rPr>
        <w:t>office ne font pas l</w:t>
      </w:r>
      <w:r w:rsidR="0035332C">
        <w:rPr>
          <w:lang w:val="fr-FR"/>
        </w:rPr>
        <w:t>’</w:t>
      </w:r>
      <w:r w:rsidRPr="00310D49">
        <w:rPr>
          <w:lang w:val="fr-FR"/>
        </w:rPr>
        <w:t>objet d</w:t>
      </w:r>
      <w:r w:rsidR="0035332C">
        <w:rPr>
          <w:lang w:val="fr-FR"/>
        </w:rPr>
        <w:t>’</w:t>
      </w:r>
      <w:r w:rsidRPr="00310D49">
        <w:rPr>
          <w:lang w:val="fr-FR"/>
        </w:rPr>
        <w:t>un enregistrement officiel.</w:t>
      </w:r>
    </w:p>
    <w:p w14:paraId="715CBBB6" w14:textId="77777777" w:rsidR="00D005FA" w:rsidRPr="00310D49" w:rsidRDefault="00D005FA" w:rsidP="00BE2D6C">
      <w:pPr>
        <w:pStyle w:val="H23G"/>
        <w:rPr>
          <w:lang w:val="fr-FR"/>
        </w:rPr>
      </w:pPr>
      <w:r w:rsidRPr="00310D49">
        <w:rPr>
          <w:lang w:val="fr-FR"/>
        </w:rPr>
        <w:tab/>
      </w:r>
      <w:r w:rsidRPr="00310D49">
        <w:rPr>
          <w:lang w:val="fr-FR"/>
        </w:rPr>
        <w:tab/>
        <w:t>Internement administratif utilisé arbitrairement par Israël, Puissance occupante</w:t>
      </w:r>
    </w:p>
    <w:p w14:paraId="0D9A3BFE" w14:textId="0F20EEEC" w:rsidR="00D005FA" w:rsidRPr="00310D49" w:rsidRDefault="00D005FA" w:rsidP="00BE2D6C">
      <w:pPr>
        <w:pStyle w:val="SingleTxtG"/>
        <w:spacing w:before="120"/>
        <w:rPr>
          <w:lang w:val="fr-FR"/>
        </w:rPr>
      </w:pPr>
      <w:r w:rsidRPr="00310D49">
        <w:rPr>
          <w:lang w:val="fr-FR"/>
        </w:rPr>
        <w:t>216.</w:t>
      </w:r>
      <w:r w:rsidRPr="00310D49">
        <w:rPr>
          <w:lang w:val="fr-FR"/>
        </w:rPr>
        <w:tab/>
      </w:r>
      <w:r w:rsidRPr="003D1B0D">
        <w:rPr>
          <w:lang w:val="fr-FR"/>
        </w:rPr>
        <w:t>L</w:t>
      </w:r>
      <w:r w:rsidR="0035332C">
        <w:rPr>
          <w:lang w:val="fr-FR"/>
        </w:rPr>
        <w:t>’</w:t>
      </w:r>
      <w:r w:rsidRPr="003D1B0D">
        <w:rPr>
          <w:lang w:val="fr-FR"/>
        </w:rPr>
        <w:t xml:space="preserve">internement administratif arbitraire auquel </w:t>
      </w:r>
      <w:r w:rsidR="003D1B0D" w:rsidRPr="003D1B0D">
        <w:rPr>
          <w:lang w:val="fr-FR"/>
        </w:rPr>
        <w:t xml:space="preserve">recourt </w:t>
      </w:r>
      <w:r w:rsidRPr="003D1B0D">
        <w:rPr>
          <w:lang w:val="fr-FR"/>
        </w:rPr>
        <w:t>Israël, Puissance occupante, constitue une politique de détention arbitraire généralisée et institutionnalisée et une forme de punition collective infligée aux Palestiniens.</w:t>
      </w:r>
      <w:r w:rsidRPr="00310D49">
        <w:rPr>
          <w:lang w:val="fr-FR"/>
        </w:rPr>
        <w:t xml:space="preserve"> Depuis 1967, les autorités d</w:t>
      </w:r>
      <w:r w:rsidR="0035332C">
        <w:rPr>
          <w:lang w:val="fr-FR"/>
        </w:rPr>
        <w:t>’</w:t>
      </w:r>
      <w:r w:rsidRPr="00310D49">
        <w:rPr>
          <w:lang w:val="fr-FR"/>
        </w:rPr>
        <w:t xml:space="preserve">occupation ont </w:t>
      </w:r>
      <w:r w:rsidRPr="00310D49">
        <w:rPr>
          <w:lang w:val="fr-FR"/>
        </w:rPr>
        <w:lastRenderedPageBreak/>
        <w:t>arrêté environ un million de Palestiniens, sans tenir compte des normes internationales relatives aux droits des détenus.</w:t>
      </w:r>
    </w:p>
    <w:p w14:paraId="70FC30F3" w14:textId="265F5ED9" w:rsidR="00D005FA" w:rsidRPr="00310D49" w:rsidRDefault="00D005FA" w:rsidP="00BE2D6C">
      <w:pPr>
        <w:pStyle w:val="SingleTxtG"/>
        <w:spacing w:before="120"/>
        <w:rPr>
          <w:spacing w:val="-2"/>
          <w:lang w:val="fr-FR"/>
        </w:rPr>
      </w:pPr>
      <w:r w:rsidRPr="00310D49">
        <w:rPr>
          <w:lang w:val="fr-FR"/>
        </w:rPr>
        <w:t>217.</w:t>
      </w:r>
      <w:r w:rsidRPr="00310D49">
        <w:rPr>
          <w:lang w:val="fr-FR"/>
        </w:rPr>
        <w:tab/>
        <w:t>La présentation du détenu au tribunal militaire relève de la compétence de ce que l</w:t>
      </w:r>
      <w:r w:rsidR="0035332C">
        <w:rPr>
          <w:lang w:val="fr-FR"/>
        </w:rPr>
        <w:t>’</w:t>
      </w:r>
      <w:r w:rsidRPr="00310D49">
        <w:rPr>
          <w:lang w:val="fr-FR"/>
        </w:rPr>
        <w:t>on appelle le «</w:t>
      </w:r>
      <w:r w:rsidR="000503D7">
        <w:rPr>
          <w:lang w:val="fr-FR"/>
        </w:rPr>
        <w:t> </w:t>
      </w:r>
      <w:r w:rsidRPr="00310D49">
        <w:rPr>
          <w:lang w:val="fr-FR"/>
        </w:rPr>
        <w:t>commandant militaire</w:t>
      </w:r>
      <w:r w:rsidR="000503D7">
        <w:rPr>
          <w:lang w:val="fr-FR"/>
        </w:rPr>
        <w:t> </w:t>
      </w:r>
      <w:r w:rsidRPr="00310D49">
        <w:rPr>
          <w:lang w:val="fr-FR"/>
        </w:rPr>
        <w:t>» des forces d</w:t>
      </w:r>
      <w:r w:rsidR="0035332C">
        <w:rPr>
          <w:lang w:val="fr-FR"/>
        </w:rPr>
        <w:t>’</w:t>
      </w:r>
      <w:r w:rsidRPr="00310D49">
        <w:rPr>
          <w:lang w:val="fr-FR"/>
        </w:rPr>
        <w:t>occupation. En avril 2002, le délai de renvoi du détenu devant ledit tribunal a été prolongé de 18 jours, ce qui fait peser des présomptions d</w:t>
      </w:r>
      <w:r w:rsidR="0035332C">
        <w:rPr>
          <w:lang w:val="fr-FR"/>
        </w:rPr>
        <w:t>’</w:t>
      </w:r>
      <w:r w:rsidRPr="00310D49">
        <w:rPr>
          <w:lang w:val="fr-FR"/>
        </w:rPr>
        <w:t>arbitraire sur l</w:t>
      </w:r>
      <w:r w:rsidR="0035332C">
        <w:rPr>
          <w:lang w:val="fr-FR"/>
        </w:rPr>
        <w:t>’</w:t>
      </w:r>
      <w:r w:rsidRPr="00310D49">
        <w:rPr>
          <w:lang w:val="fr-FR"/>
        </w:rPr>
        <w:t>internement non justifié de Palestiniens par l</w:t>
      </w:r>
      <w:r w:rsidR="0035332C">
        <w:rPr>
          <w:lang w:val="fr-FR"/>
        </w:rPr>
        <w:t>’</w:t>
      </w:r>
      <w:r w:rsidRPr="00310D49">
        <w:rPr>
          <w:lang w:val="fr-FR"/>
        </w:rPr>
        <w:t>occupant israélien. L</w:t>
      </w:r>
      <w:r w:rsidR="0035332C">
        <w:rPr>
          <w:lang w:val="fr-FR"/>
        </w:rPr>
        <w:t>’</w:t>
      </w:r>
      <w:r w:rsidRPr="00310D49">
        <w:rPr>
          <w:lang w:val="fr-FR"/>
        </w:rPr>
        <w:t>internement administratif arbitraire peut durer jusqu</w:t>
      </w:r>
      <w:r w:rsidR="0035332C">
        <w:rPr>
          <w:lang w:val="fr-FR"/>
        </w:rPr>
        <w:t>’</w:t>
      </w:r>
      <w:r w:rsidRPr="00310D49">
        <w:rPr>
          <w:lang w:val="fr-FR"/>
        </w:rPr>
        <w:t xml:space="preserve">à </w:t>
      </w:r>
      <w:r w:rsidR="000503D7">
        <w:rPr>
          <w:lang w:val="fr-FR"/>
        </w:rPr>
        <w:t>six</w:t>
      </w:r>
      <w:r w:rsidRPr="00310D49">
        <w:rPr>
          <w:lang w:val="fr-FR"/>
        </w:rPr>
        <w:t xml:space="preserve"> mois, période qui peut être prolongée inconditionnellement, étant donné que toutes les audiences relatives à ce type d</w:t>
      </w:r>
      <w:r w:rsidR="0035332C">
        <w:rPr>
          <w:lang w:val="fr-FR"/>
        </w:rPr>
        <w:t>’</w:t>
      </w:r>
      <w:r w:rsidRPr="00310D49">
        <w:rPr>
          <w:lang w:val="fr-FR"/>
        </w:rPr>
        <w:t>internement se tiennent à huis clos devant le tribunal militaire, sans que l</w:t>
      </w:r>
      <w:r w:rsidR="0035332C">
        <w:rPr>
          <w:lang w:val="fr-FR"/>
        </w:rPr>
        <w:t>’</w:t>
      </w:r>
      <w:r w:rsidRPr="00310D49">
        <w:rPr>
          <w:lang w:val="fr-FR"/>
        </w:rPr>
        <w:t>avocat de la défense puisse prendre connaissance du dossier ou des allégations fondées sur des preuves douteuses. Bien entendu, le public n</w:t>
      </w:r>
      <w:r w:rsidR="0035332C">
        <w:rPr>
          <w:lang w:val="fr-FR"/>
        </w:rPr>
        <w:t>’</w:t>
      </w:r>
      <w:r w:rsidRPr="00310D49">
        <w:rPr>
          <w:lang w:val="fr-FR"/>
        </w:rPr>
        <w:t>est pas autorisé à assister à ces audiences, ce qui prive les détenus de le</w:t>
      </w:r>
      <w:r>
        <w:rPr>
          <w:lang w:val="fr-FR"/>
        </w:rPr>
        <w:t>ur</w:t>
      </w:r>
      <w:r w:rsidRPr="00310D49">
        <w:rPr>
          <w:lang w:val="fr-FR"/>
        </w:rPr>
        <w:t xml:space="preserve"> droit à un procès public équitable. </w:t>
      </w:r>
    </w:p>
    <w:p w14:paraId="15EEC487" w14:textId="0F5294E3" w:rsidR="00D005FA" w:rsidRPr="00310D49" w:rsidRDefault="00D005FA" w:rsidP="00BE2D6C">
      <w:pPr>
        <w:pStyle w:val="SingleTxtG"/>
        <w:spacing w:before="120"/>
        <w:rPr>
          <w:lang w:val="fr-FR"/>
        </w:rPr>
      </w:pPr>
      <w:r w:rsidRPr="00310D49">
        <w:rPr>
          <w:lang w:val="fr-FR"/>
        </w:rPr>
        <w:t>218.</w:t>
      </w:r>
      <w:r w:rsidRPr="00310D49">
        <w:rPr>
          <w:lang w:val="fr-FR"/>
        </w:rPr>
        <w:tab/>
        <w:t>Israël, Puissance occupante, utilise des lois illégales pour détenir arbitrairement des milliers de Palestiniens. C</w:t>
      </w:r>
      <w:r w:rsidR="0035332C">
        <w:rPr>
          <w:lang w:val="fr-FR"/>
        </w:rPr>
        <w:t>’</w:t>
      </w:r>
      <w:r w:rsidRPr="00310D49">
        <w:rPr>
          <w:lang w:val="fr-FR"/>
        </w:rPr>
        <w:t>est la loi sur l</w:t>
      </w:r>
      <w:r w:rsidR="0035332C">
        <w:rPr>
          <w:lang w:val="fr-FR"/>
        </w:rPr>
        <w:t>’</w:t>
      </w:r>
      <w:r w:rsidRPr="00310D49">
        <w:rPr>
          <w:lang w:val="fr-FR"/>
        </w:rPr>
        <w:t>état d</w:t>
      </w:r>
      <w:r w:rsidR="0035332C">
        <w:rPr>
          <w:lang w:val="fr-FR"/>
        </w:rPr>
        <w:t>’</w:t>
      </w:r>
      <w:r w:rsidRPr="00310D49">
        <w:rPr>
          <w:lang w:val="fr-FR"/>
        </w:rPr>
        <w:t>urgence du mandat britannique de 1945 qui est à l</w:t>
      </w:r>
      <w:r w:rsidR="0035332C">
        <w:rPr>
          <w:lang w:val="fr-FR"/>
        </w:rPr>
        <w:t>’</w:t>
      </w:r>
      <w:r w:rsidRPr="00310D49">
        <w:rPr>
          <w:lang w:val="fr-FR"/>
        </w:rPr>
        <w:t>origine de ces lois militaires illégales régissant les ordonnances d</w:t>
      </w:r>
      <w:r w:rsidR="0035332C">
        <w:rPr>
          <w:lang w:val="fr-FR"/>
        </w:rPr>
        <w:t>’</w:t>
      </w:r>
      <w:r w:rsidRPr="00310D49">
        <w:rPr>
          <w:lang w:val="fr-FR"/>
        </w:rPr>
        <w:t>internement administratif, en vertu desquelles des Palestiniens se retrouvent internés administrativement et arbitrairement dans le territoire palestinien occupé. Il s</w:t>
      </w:r>
      <w:r w:rsidR="0035332C">
        <w:rPr>
          <w:lang w:val="fr-FR"/>
        </w:rPr>
        <w:t>’</w:t>
      </w:r>
      <w:r w:rsidRPr="00310D49">
        <w:rPr>
          <w:lang w:val="fr-FR"/>
        </w:rPr>
        <w:t>agit des trois textes de loi suivants</w:t>
      </w:r>
      <w:r w:rsidR="00A53B5A">
        <w:rPr>
          <w:lang w:val="fr-FR"/>
        </w:rPr>
        <w:t> </w:t>
      </w:r>
      <w:r w:rsidRPr="00310D49">
        <w:rPr>
          <w:lang w:val="fr-FR"/>
        </w:rPr>
        <w:t>: le décret militaire n</w:t>
      </w:r>
      <w:r w:rsidR="000503D7" w:rsidRPr="000503D7">
        <w:rPr>
          <w:vertAlign w:val="superscript"/>
          <w:lang w:val="fr-FR"/>
        </w:rPr>
        <w:t>o</w:t>
      </w:r>
      <w:r w:rsidR="000503D7">
        <w:rPr>
          <w:lang w:val="fr-FR"/>
        </w:rPr>
        <w:t> </w:t>
      </w:r>
      <w:r w:rsidRPr="00310D49">
        <w:rPr>
          <w:lang w:val="fr-FR"/>
        </w:rPr>
        <w:t>1651 conformément auquel les Palestiniens sont internés en Cisjordanie</w:t>
      </w:r>
      <w:r w:rsidR="00B02693">
        <w:rPr>
          <w:lang w:val="fr-FR"/>
        </w:rPr>
        <w:t> </w:t>
      </w:r>
      <w:r w:rsidRPr="00310D49">
        <w:rPr>
          <w:lang w:val="fr-FR"/>
        </w:rPr>
        <w:t>; la loi de 1979 sur les pouvoirs d</w:t>
      </w:r>
      <w:r w:rsidR="0035332C">
        <w:rPr>
          <w:lang w:val="fr-FR"/>
        </w:rPr>
        <w:t>’</w:t>
      </w:r>
      <w:r w:rsidRPr="00310D49">
        <w:rPr>
          <w:lang w:val="fr-FR"/>
        </w:rPr>
        <w:t>exception en vigueur à Jérusalem, qui autorise le Ministre de la défense à émettre des ordonnances d</w:t>
      </w:r>
      <w:r w:rsidR="0035332C">
        <w:rPr>
          <w:lang w:val="fr-FR"/>
        </w:rPr>
        <w:t>’</w:t>
      </w:r>
      <w:r w:rsidRPr="00310D49">
        <w:rPr>
          <w:lang w:val="fr-FR"/>
        </w:rPr>
        <w:t>internement administratif arbitraire dans le cadre de l</w:t>
      </w:r>
      <w:r w:rsidR="0035332C">
        <w:rPr>
          <w:lang w:val="fr-FR"/>
        </w:rPr>
        <w:t>’</w:t>
      </w:r>
      <w:r w:rsidRPr="00310D49">
        <w:rPr>
          <w:lang w:val="fr-FR"/>
        </w:rPr>
        <w:t>état d</w:t>
      </w:r>
      <w:r w:rsidR="0035332C">
        <w:rPr>
          <w:lang w:val="fr-FR"/>
        </w:rPr>
        <w:t>’</w:t>
      </w:r>
      <w:r w:rsidRPr="00310D49">
        <w:rPr>
          <w:lang w:val="fr-FR"/>
        </w:rPr>
        <w:t>urgence</w:t>
      </w:r>
      <w:r w:rsidR="00B02693">
        <w:rPr>
          <w:lang w:val="fr-FR"/>
        </w:rPr>
        <w:t> </w:t>
      </w:r>
      <w:r w:rsidRPr="00310D49">
        <w:rPr>
          <w:lang w:val="fr-FR"/>
        </w:rPr>
        <w:t>; et la loi de 2002 sur l</w:t>
      </w:r>
      <w:r w:rsidR="0035332C">
        <w:rPr>
          <w:lang w:val="fr-FR"/>
        </w:rPr>
        <w:t>’</w:t>
      </w:r>
      <w:r w:rsidRPr="00310D49">
        <w:rPr>
          <w:lang w:val="fr-FR"/>
        </w:rPr>
        <w:t>incarcération des combattants irréguliers en vertu de laquelle des Palestiniens sont détenus dans la bande de Gaza.</w:t>
      </w:r>
    </w:p>
    <w:p w14:paraId="03F63867" w14:textId="064E084B" w:rsidR="00D005FA" w:rsidRPr="00310D49" w:rsidRDefault="00D005FA" w:rsidP="00BE2D6C">
      <w:pPr>
        <w:pStyle w:val="H1G"/>
        <w:rPr>
          <w:lang w:val="fr-FR"/>
        </w:rPr>
      </w:pPr>
      <w:r w:rsidRPr="00310D49">
        <w:rPr>
          <w:lang w:val="fr-FR"/>
        </w:rPr>
        <w:tab/>
      </w:r>
      <w:r w:rsidRPr="00310D49">
        <w:rPr>
          <w:lang w:val="fr-FR"/>
        </w:rPr>
        <w:tab/>
        <w:t>Article 10</w:t>
      </w:r>
      <w:bookmarkStart w:id="12" w:name="_Toc80715499"/>
      <w:bookmarkEnd w:id="12"/>
    </w:p>
    <w:p w14:paraId="17DE743A" w14:textId="1AD805C1" w:rsidR="00D005FA" w:rsidRPr="00310D49" w:rsidRDefault="00D005FA" w:rsidP="00BE2D6C">
      <w:pPr>
        <w:pStyle w:val="SingleTxtG"/>
        <w:spacing w:before="120"/>
        <w:rPr>
          <w:spacing w:val="-4"/>
          <w:lang w:val="fr-FR"/>
        </w:rPr>
      </w:pPr>
      <w:r w:rsidRPr="00310D49">
        <w:rPr>
          <w:lang w:val="fr-FR"/>
        </w:rPr>
        <w:t>219.</w:t>
      </w:r>
      <w:r w:rsidRPr="00310D49">
        <w:rPr>
          <w:lang w:val="fr-FR"/>
        </w:rPr>
        <w:tab/>
        <w:t>Le dispositif juridique régissant les conditions de détention prévoit un certain nombre de droits et de principes liés au traitement humain et au respect de la dignité des personnes privées de liberté. Ainsi, l</w:t>
      </w:r>
      <w:r w:rsidR="0035332C">
        <w:rPr>
          <w:lang w:val="fr-FR"/>
        </w:rPr>
        <w:t>’</w:t>
      </w:r>
      <w:r w:rsidRPr="00310D49">
        <w:rPr>
          <w:lang w:val="fr-FR"/>
        </w:rPr>
        <w:t>article 13 (al</w:t>
      </w:r>
      <w:r w:rsidR="00271B9F">
        <w:rPr>
          <w:lang w:val="fr-FR"/>
        </w:rPr>
        <w:t>. </w:t>
      </w:r>
      <w:r w:rsidRPr="00310D49">
        <w:rPr>
          <w:lang w:val="fr-FR"/>
        </w:rPr>
        <w:t>1) de la Loi fondamentale, telle que modifiée, dispose que les prévenus et autres personnes privées de liberté doivent être traités de manière convenable, tandis que l</w:t>
      </w:r>
      <w:r w:rsidR="0035332C">
        <w:rPr>
          <w:lang w:val="fr-FR"/>
        </w:rPr>
        <w:t>’</w:t>
      </w:r>
      <w:r w:rsidRPr="00310D49">
        <w:rPr>
          <w:lang w:val="fr-FR"/>
        </w:rPr>
        <w:t>article 29 du Code de procédure pénale précise que la personne arrêtée doit être traitée de manière à préserver sa dignité et ne doit pas subir de préjudice physique ou moral. En outre, l</w:t>
      </w:r>
      <w:r w:rsidR="0035332C">
        <w:rPr>
          <w:lang w:val="fr-FR"/>
        </w:rPr>
        <w:t>’</w:t>
      </w:r>
      <w:r w:rsidRPr="00310D49">
        <w:rPr>
          <w:lang w:val="fr-FR"/>
        </w:rPr>
        <w:t>article 37 (al</w:t>
      </w:r>
      <w:r w:rsidR="00271B9F">
        <w:rPr>
          <w:lang w:val="fr-FR"/>
        </w:rPr>
        <w:t>. </w:t>
      </w:r>
      <w:r w:rsidRPr="00310D49">
        <w:rPr>
          <w:lang w:val="fr-FR"/>
        </w:rPr>
        <w:t>2 et 3) de la loi sur les établissements pénitentiaires interdit de soumettre un détenu ou un prisonnier à la torture ou à des traitements cruels et de tenir des propos obscènes ou méprisants à son égard. Enfin, le décret-loi sur la protection des mineurs, qui constitue pour l</w:t>
      </w:r>
      <w:r w:rsidR="0035332C">
        <w:rPr>
          <w:lang w:val="fr-FR"/>
        </w:rPr>
        <w:t>’</w:t>
      </w:r>
      <w:r w:rsidRPr="00310D49">
        <w:rPr>
          <w:lang w:val="fr-FR"/>
        </w:rPr>
        <w:t>État de Palestine un progrès significatif en matière de conformité avec les normes des instruments internationaux relatifs aux droits de l</w:t>
      </w:r>
      <w:r w:rsidR="0035332C">
        <w:rPr>
          <w:lang w:val="fr-FR"/>
        </w:rPr>
        <w:t>’</w:t>
      </w:r>
      <w:r w:rsidRPr="00310D49">
        <w:rPr>
          <w:lang w:val="fr-FR"/>
        </w:rPr>
        <w:t>homme, d</w:t>
      </w:r>
      <w:r w:rsidR="0035332C">
        <w:rPr>
          <w:lang w:val="fr-FR"/>
        </w:rPr>
        <w:t>’</w:t>
      </w:r>
      <w:r w:rsidRPr="00310D49">
        <w:rPr>
          <w:lang w:val="fr-FR"/>
        </w:rPr>
        <w:t>autant plus qu</w:t>
      </w:r>
      <w:r w:rsidR="0035332C">
        <w:rPr>
          <w:lang w:val="fr-FR"/>
        </w:rPr>
        <w:t>’</w:t>
      </w:r>
      <w:r w:rsidRPr="00310D49">
        <w:rPr>
          <w:lang w:val="fr-FR"/>
        </w:rPr>
        <w:t>il a adopté les lignes directrices tracées par l</w:t>
      </w:r>
      <w:r w:rsidR="0035332C">
        <w:rPr>
          <w:lang w:val="fr-FR"/>
        </w:rPr>
        <w:t>’</w:t>
      </w:r>
      <w:r w:rsidRPr="00310D49">
        <w:rPr>
          <w:lang w:val="fr-FR"/>
        </w:rPr>
        <w:t>Ensemble de règles minima des Nations Unies concernant l</w:t>
      </w:r>
      <w:r w:rsidR="0035332C">
        <w:rPr>
          <w:lang w:val="fr-FR"/>
        </w:rPr>
        <w:t>’</w:t>
      </w:r>
      <w:r w:rsidRPr="00310D49">
        <w:rPr>
          <w:lang w:val="fr-FR"/>
        </w:rPr>
        <w:t>administration de la justice pour mineurs (Règles de Beijing). Dans le cadre de ses engagements, l</w:t>
      </w:r>
      <w:r w:rsidR="0035332C">
        <w:rPr>
          <w:lang w:val="fr-FR"/>
        </w:rPr>
        <w:t>’</w:t>
      </w:r>
      <w:r w:rsidRPr="00310D49">
        <w:rPr>
          <w:lang w:val="fr-FR"/>
        </w:rPr>
        <w:t>État de Palestine révise les lois et règlements relatifs aux conditions de détention et de privation de liberté pour s</w:t>
      </w:r>
      <w:r w:rsidR="0035332C">
        <w:rPr>
          <w:lang w:val="fr-FR"/>
        </w:rPr>
        <w:t>’</w:t>
      </w:r>
      <w:r w:rsidRPr="00310D49">
        <w:rPr>
          <w:lang w:val="fr-FR"/>
        </w:rPr>
        <w:t>assurer qu</w:t>
      </w:r>
      <w:r w:rsidR="0035332C">
        <w:rPr>
          <w:lang w:val="fr-FR"/>
        </w:rPr>
        <w:t>’</w:t>
      </w:r>
      <w:r w:rsidRPr="00310D49">
        <w:rPr>
          <w:lang w:val="fr-FR"/>
        </w:rPr>
        <w:t>ils sont conformes aux normes relatives aux droits humains.</w:t>
      </w:r>
    </w:p>
    <w:p w14:paraId="4C1DA05F" w14:textId="096A4E94" w:rsidR="00D005FA" w:rsidRPr="00310D49" w:rsidRDefault="00D005FA" w:rsidP="00BE2D6C">
      <w:pPr>
        <w:pStyle w:val="SingleTxtG"/>
        <w:spacing w:before="120"/>
        <w:rPr>
          <w:lang w:val="fr-FR"/>
        </w:rPr>
      </w:pPr>
      <w:r w:rsidRPr="00310D49">
        <w:rPr>
          <w:lang w:val="fr-FR"/>
        </w:rPr>
        <w:t>220.</w:t>
      </w:r>
      <w:r w:rsidRPr="00310D49">
        <w:rPr>
          <w:lang w:val="fr-FR"/>
        </w:rPr>
        <w:tab/>
        <w:t>La loi sur les établissements pénitentiaires prévoit un ensemble de principes et de garanties juridiques et de nombreux droits pour les détenus, notamment</w:t>
      </w:r>
      <w:r w:rsidR="00BE2D6C">
        <w:rPr>
          <w:lang w:val="fr-FR"/>
        </w:rPr>
        <w:t> :</w:t>
      </w:r>
    </w:p>
    <w:p w14:paraId="279E4B68" w14:textId="72797365" w:rsidR="00D005FA" w:rsidRPr="00310D49" w:rsidRDefault="00271B9F" w:rsidP="00BE2D6C">
      <w:pPr>
        <w:pStyle w:val="Bullet1G"/>
        <w:rPr>
          <w:lang w:val="fr-FR"/>
        </w:rPr>
      </w:pPr>
      <w:r>
        <w:rPr>
          <w:lang w:val="fr-FR"/>
        </w:rPr>
        <w:t>L</w:t>
      </w:r>
      <w:r w:rsidR="0035332C">
        <w:rPr>
          <w:lang w:val="fr-FR"/>
        </w:rPr>
        <w:t>’</w:t>
      </w:r>
      <w:r w:rsidR="00D005FA" w:rsidRPr="00310D49">
        <w:rPr>
          <w:lang w:val="fr-FR"/>
        </w:rPr>
        <w:t>interdiction de torturer un détenu ou de recourir à la violence physique ou verbale contre lui (</w:t>
      </w:r>
      <w:r w:rsidRPr="00310D49">
        <w:rPr>
          <w:lang w:val="fr-FR"/>
        </w:rPr>
        <w:t>art</w:t>
      </w:r>
      <w:r>
        <w:rPr>
          <w:lang w:val="fr-FR"/>
        </w:rPr>
        <w:t>. </w:t>
      </w:r>
      <w:r w:rsidR="00D005FA" w:rsidRPr="00310D49">
        <w:rPr>
          <w:lang w:val="fr-FR"/>
        </w:rPr>
        <w:t>37)</w:t>
      </w:r>
      <w:r w:rsidR="00B02693">
        <w:rPr>
          <w:lang w:val="fr-FR"/>
        </w:rPr>
        <w:t> </w:t>
      </w:r>
      <w:r w:rsidR="00D005FA" w:rsidRPr="00310D49">
        <w:rPr>
          <w:lang w:val="fr-FR"/>
        </w:rPr>
        <w:t>;</w:t>
      </w:r>
    </w:p>
    <w:p w14:paraId="7EBFA806" w14:textId="7662EE37" w:rsidR="00D005FA" w:rsidRPr="00310D49" w:rsidRDefault="00271B9F" w:rsidP="00BE2D6C">
      <w:pPr>
        <w:pStyle w:val="Bullet1G"/>
        <w:rPr>
          <w:lang w:val="fr-FR"/>
        </w:rPr>
      </w:pPr>
      <w:r>
        <w:rPr>
          <w:lang w:val="fr-FR"/>
        </w:rPr>
        <w:t>L</w:t>
      </w:r>
      <w:r w:rsidR="0035332C">
        <w:rPr>
          <w:lang w:val="fr-FR"/>
        </w:rPr>
        <w:t>’</w:t>
      </w:r>
      <w:r w:rsidR="00D005FA" w:rsidRPr="00310D49">
        <w:rPr>
          <w:lang w:val="fr-FR"/>
        </w:rPr>
        <w:t>accomplissement par le détenu des rituels et devoirs religieux en toute liberté (</w:t>
      </w:r>
      <w:r w:rsidRPr="00310D49">
        <w:rPr>
          <w:lang w:val="fr-FR"/>
        </w:rPr>
        <w:t>art</w:t>
      </w:r>
      <w:r>
        <w:rPr>
          <w:lang w:val="fr-FR"/>
        </w:rPr>
        <w:t>. </w:t>
      </w:r>
      <w:r w:rsidR="00D005FA" w:rsidRPr="00310D49">
        <w:rPr>
          <w:lang w:val="fr-FR"/>
        </w:rPr>
        <w:t>37)</w:t>
      </w:r>
      <w:r w:rsidR="00B02693">
        <w:rPr>
          <w:lang w:val="fr-FR"/>
        </w:rPr>
        <w:t> </w:t>
      </w:r>
      <w:r w:rsidR="00D005FA" w:rsidRPr="00310D49">
        <w:rPr>
          <w:lang w:val="fr-FR"/>
        </w:rPr>
        <w:t>;</w:t>
      </w:r>
    </w:p>
    <w:p w14:paraId="199DE6D1" w14:textId="43EAF8DA" w:rsidR="00D005FA" w:rsidRPr="00310D49" w:rsidRDefault="00271B9F" w:rsidP="00BE2D6C">
      <w:pPr>
        <w:pStyle w:val="Bullet1G"/>
        <w:rPr>
          <w:lang w:val="fr-FR"/>
        </w:rPr>
      </w:pPr>
      <w:r>
        <w:rPr>
          <w:lang w:val="fr-FR"/>
        </w:rPr>
        <w:t>L</w:t>
      </w:r>
      <w:r w:rsidR="0035332C">
        <w:rPr>
          <w:lang w:val="fr-FR"/>
        </w:rPr>
        <w:t>’</w:t>
      </w:r>
      <w:r w:rsidR="00D005FA" w:rsidRPr="00310D49">
        <w:rPr>
          <w:lang w:val="fr-FR"/>
        </w:rPr>
        <w:t>inspection des établissements et nomination d</w:t>
      </w:r>
      <w:r w:rsidR="0035332C">
        <w:rPr>
          <w:lang w:val="fr-FR"/>
        </w:rPr>
        <w:t>’</w:t>
      </w:r>
      <w:r w:rsidR="00D005FA" w:rsidRPr="00310D49">
        <w:rPr>
          <w:lang w:val="fr-FR"/>
        </w:rPr>
        <w:t>inspecteurs et de travailleurs sociaux (chap</w:t>
      </w:r>
      <w:r>
        <w:rPr>
          <w:lang w:val="fr-FR"/>
        </w:rPr>
        <w:t>. </w:t>
      </w:r>
      <w:r w:rsidR="00D005FA" w:rsidRPr="00310D49">
        <w:rPr>
          <w:lang w:val="fr-FR"/>
        </w:rPr>
        <w:t>4)</w:t>
      </w:r>
      <w:r w:rsidR="00B02693">
        <w:rPr>
          <w:lang w:val="fr-FR"/>
        </w:rPr>
        <w:t> </w:t>
      </w:r>
      <w:r w:rsidR="00D005FA" w:rsidRPr="00310D49">
        <w:rPr>
          <w:lang w:val="fr-FR"/>
        </w:rPr>
        <w:t xml:space="preserve">; </w:t>
      </w:r>
    </w:p>
    <w:p w14:paraId="59ACA47C" w14:textId="2D4E90E7" w:rsidR="00D005FA" w:rsidRPr="00310D49" w:rsidRDefault="00271B9F" w:rsidP="00BE2D6C">
      <w:pPr>
        <w:pStyle w:val="Bullet1G"/>
        <w:rPr>
          <w:lang w:val="fr-FR"/>
        </w:rPr>
      </w:pPr>
      <w:r w:rsidRPr="00310D49">
        <w:rPr>
          <w:lang w:val="fr-FR"/>
        </w:rPr>
        <w:t xml:space="preserve">Le </w:t>
      </w:r>
      <w:r w:rsidR="00D005FA" w:rsidRPr="00310D49">
        <w:rPr>
          <w:lang w:val="fr-FR"/>
        </w:rPr>
        <w:t>droit aux soins de santé et aux services médicaux (chap</w:t>
      </w:r>
      <w:r>
        <w:rPr>
          <w:lang w:val="fr-FR"/>
        </w:rPr>
        <w:t>. </w:t>
      </w:r>
      <w:r w:rsidR="00D005FA" w:rsidRPr="00310D49">
        <w:rPr>
          <w:lang w:val="fr-FR"/>
        </w:rPr>
        <w:t>5)</w:t>
      </w:r>
      <w:r w:rsidR="00B02693">
        <w:rPr>
          <w:lang w:val="fr-FR"/>
        </w:rPr>
        <w:t> </w:t>
      </w:r>
      <w:r w:rsidR="00D005FA" w:rsidRPr="00310D49">
        <w:rPr>
          <w:lang w:val="fr-FR"/>
        </w:rPr>
        <w:t>;</w:t>
      </w:r>
    </w:p>
    <w:p w14:paraId="4F2F0A9A" w14:textId="64857AE0" w:rsidR="00D005FA" w:rsidRPr="00310D49" w:rsidRDefault="00271B9F" w:rsidP="00BE2D6C">
      <w:pPr>
        <w:pStyle w:val="Bullet1G"/>
        <w:rPr>
          <w:lang w:val="fr-FR"/>
        </w:rPr>
      </w:pPr>
      <w:r>
        <w:rPr>
          <w:lang w:val="fr-FR"/>
        </w:rPr>
        <w:t>L</w:t>
      </w:r>
      <w:r w:rsidR="0035332C">
        <w:rPr>
          <w:lang w:val="fr-FR"/>
        </w:rPr>
        <w:t>’</w:t>
      </w:r>
      <w:r w:rsidR="00D005FA" w:rsidRPr="00310D49">
        <w:rPr>
          <w:lang w:val="fr-FR"/>
        </w:rPr>
        <w:t>enseignement et l</w:t>
      </w:r>
      <w:r w:rsidR="0035332C">
        <w:rPr>
          <w:lang w:val="fr-FR"/>
        </w:rPr>
        <w:t>’</w:t>
      </w:r>
      <w:r w:rsidR="00D005FA" w:rsidRPr="00310D49">
        <w:rPr>
          <w:lang w:val="fr-FR"/>
        </w:rPr>
        <w:t>éducation en faveur des détenus (chap</w:t>
      </w:r>
      <w:r>
        <w:rPr>
          <w:lang w:val="fr-FR"/>
        </w:rPr>
        <w:t>. </w:t>
      </w:r>
      <w:r w:rsidR="00D005FA" w:rsidRPr="00310D49">
        <w:rPr>
          <w:lang w:val="fr-FR"/>
        </w:rPr>
        <w:t>9)</w:t>
      </w:r>
      <w:r w:rsidR="00B02693">
        <w:rPr>
          <w:lang w:val="fr-FR"/>
        </w:rPr>
        <w:t> </w:t>
      </w:r>
      <w:r w:rsidR="00D005FA" w:rsidRPr="00310D49">
        <w:rPr>
          <w:lang w:val="fr-FR"/>
        </w:rPr>
        <w:t>;</w:t>
      </w:r>
    </w:p>
    <w:p w14:paraId="5AB6A2D1" w14:textId="60504F02" w:rsidR="00D005FA" w:rsidRPr="00310D49" w:rsidRDefault="00271B9F" w:rsidP="00BE2D6C">
      <w:pPr>
        <w:pStyle w:val="Bullet1G"/>
        <w:rPr>
          <w:lang w:val="fr-FR"/>
        </w:rPr>
      </w:pPr>
      <w:r w:rsidRPr="00310D49">
        <w:rPr>
          <w:lang w:val="fr-FR"/>
        </w:rPr>
        <w:t xml:space="preserve">La </w:t>
      </w:r>
      <w:r w:rsidR="00D005FA" w:rsidRPr="00310D49">
        <w:rPr>
          <w:lang w:val="fr-FR"/>
        </w:rPr>
        <w:t>formation et l</w:t>
      </w:r>
      <w:r w:rsidR="0035332C">
        <w:rPr>
          <w:lang w:val="fr-FR"/>
        </w:rPr>
        <w:t>’</w:t>
      </w:r>
      <w:r w:rsidR="00D005FA" w:rsidRPr="00310D49">
        <w:rPr>
          <w:lang w:val="fr-FR"/>
        </w:rPr>
        <w:t>emploi des détenus (chap</w:t>
      </w:r>
      <w:r>
        <w:rPr>
          <w:lang w:val="fr-FR"/>
        </w:rPr>
        <w:t>. </w:t>
      </w:r>
      <w:r w:rsidR="00D005FA" w:rsidRPr="00310D49">
        <w:rPr>
          <w:lang w:val="fr-FR"/>
        </w:rPr>
        <w:t>12)</w:t>
      </w:r>
      <w:r w:rsidR="00B02693">
        <w:rPr>
          <w:lang w:val="fr-FR"/>
        </w:rPr>
        <w:t> </w:t>
      </w:r>
      <w:r w:rsidR="00D005FA" w:rsidRPr="00310D49">
        <w:rPr>
          <w:lang w:val="fr-FR"/>
        </w:rPr>
        <w:t>;</w:t>
      </w:r>
    </w:p>
    <w:p w14:paraId="2B9102D8" w14:textId="6F909C06" w:rsidR="00D005FA" w:rsidRPr="00310D49" w:rsidRDefault="00271B9F" w:rsidP="00BE2D6C">
      <w:pPr>
        <w:pStyle w:val="Bullet1G"/>
        <w:rPr>
          <w:lang w:val="fr-FR"/>
        </w:rPr>
      </w:pPr>
      <w:r w:rsidRPr="00310D49">
        <w:rPr>
          <w:lang w:val="fr-FR"/>
        </w:rPr>
        <w:t xml:space="preserve">Le </w:t>
      </w:r>
      <w:r w:rsidR="00D005FA" w:rsidRPr="00310D49">
        <w:rPr>
          <w:lang w:val="fr-FR"/>
        </w:rPr>
        <w:t>régime de visites et de contacts avec le monde extérieur (chap</w:t>
      </w:r>
      <w:r>
        <w:rPr>
          <w:lang w:val="fr-FR"/>
        </w:rPr>
        <w:t>. </w:t>
      </w:r>
      <w:r w:rsidR="00D005FA" w:rsidRPr="00310D49">
        <w:rPr>
          <w:lang w:val="fr-FR"/>
        </w:rPr>
        <w:t>15).</w:t>
      </w:r>
    </w:p>
    <w:p w14:paraId="7526E6EA" w14:textId="2E678A33" w:rsidR="00D005FA" w:rsidRPr="00310D49" w:rsidRDefault="00D005FA" w:rsidP="00BE2D6C">
      <w:pPr>
        <w:pStyle w:val="SingleTxtG"/>
        <w:spacing w:before="120"/>
        <w:rPr>
          <w:lang w:val="fr-FR"/>
        </w:rPr>
      </w:pPr>
      <w:r w:rsidRPr="00310D49">
        <w:rPr>
          <w:lang w:val="fr-FR"/>
        </w:rPr>
        <w:lastRenderedPageBreak/>
        <w:t>221.</w:t>
      </w:r>
      <w:r w:rsidRPr="00310D49">
        <w:rPr>
          <w:lang w:val="fr-FR"/>
        </w:rPr>
        <w:tab/>
        <w:t>L</w:t>
      </w:r>
      <w:r w:rsidR="0035332C">
        <w:rPr>
          <w:lang w:val="fr-FR"/>
        </w:rPr>
        <w:t>’</w:t>
      </w:r>
      <w:r w:rsidRPr="00310D49">
        <w:rPr>
          <w:lang w:val="fr-FR"/>
        </w:rPr>
        <w:t>organisation de la Direction de l</w:t>
      </w:r>
      <w:r w:rsidR="0035332C">
        <w:rPr>
          <w:lang w:val="fr-FR"/>
        </w:rPr>
        <w:t>’</w:t>
      </w:r>
      <w:r w:rsidRPr="00310D49">
        <w:rPr>
          <w:lang w:val="fr-FR"/>
        </w:rPr>
        <w:t>administration pénitentiaire repose sur un organigramme qui définit les rôles et responsabilités des différents services spécialisés dont est composée l</w:t>
      </w:r>
      <w:r w:rsidR="0035332C">
        <w:rPr>
          <w:lang w:val="fr-FR"/>
        </w:rPr>
        <w:t>’</w:t>
      </w:r>
      <w:r w:rsidRPr="00310D49">
        <w:rPr>
          <w:lang w:val="fr-FR"/>
        </w:rPr>
        <w:t>administration. Par ailleurs, les directions des services de sécurité ont validé et adopté les codes et les circulaires qui régissent la conduite et le comportement des membres des services de sécurité de manière à garantir que les gardés à vue et les détenus sont bien traités. Par ailleurs, l</w:t>
      </w:r>
      <w:r w:rsidR="0035332C">
        <w:rPr>
          <w:lang w:val="fr-FR"/>
        </w:rPr>
        <w:t>’</w:t>
      </w:r>
      <w:r w:rsidRPr="00310D49">
        <w:rPr>
          <w:lang w:val="fr-FR"/>
        </w:rPr>
        <w:t>État a élaboré le règlement d</w:t>
      </w:r>
      <w:r w:rsidR="0035332C">
        <w:rPr>
          <w:lang w:val="fr-FR"/>
        </w:rPr>
        <w:t>’</w:t>
      </w:r>
      <w:r w:rsidRPr="00310D49">
        <w:rPr>
          <w:lang w:val="fr-FR"/>
        </w:rPr>
        <w:t>application de la loi sur les établissements pénitentiaires et adopté le Manuel des procédures opérationnelles destiné aux services juridiques des autorités palestiniennes chargées de la sécurité, ainsi que le Manuel des procédures opérationnelles normalisées concernant les soins dispensés dans les établissements pénitentiaires. Il a également élaboré, en partenariat avec les institutions de la société civile, la Charte des droits des détenus qui a été diffusée auprès de tous les lieux de privation de liberté.</w:t>
      </w:r>
    </w:p>
    <w:p w14:paraId="7075A607" w14:textId="77777777" w:rsidR="00D005FA" w:rsidRPr="00310D49" w:rsidRDefault="00D005FA" w:rsidP="00BE2D6C">
      <w:pPr>
        <w:pStyle w:val="SingleTxtG"/>
        <w:spacing w:before="120"/>
        <w:rPr>
          <w:b/>
          <w:bCs/>
          <w:lang w:val="fr-FR"/>
        </w:rPr>
      </w:pPr>
      <w:r w:rsidRPr="00310D49">
        <w:rPr>
          <w:lang w:val="fr-FR"/>
        </w:rPr>
        <w:t>222.</w:t>
      </w:r>
      <w:r w:rsidRPr="00310D49">
        <w:rPr>
          <w:lang w:val="fr-FR"/>
        </w:rPr>
        <w:tab/>
      </w:r>
      <w:r w:rsidRPr="00310D49">
        <w:rPr>
          <w:b/>
          <w:bCs/>
          <w:lang w:val="fr-FR"/>
        </w:rPr>
        <w:t>État actuel des établissements pénitentiaires</w:t>
      </w:r>
    </w:p>
    <w:p w14:paraId="6C6F40AB" w14:textId="5FF054EC" w:rsidR="00D005FA" w:rsidRPr="00310D49" w:rsidRDefault="00D005FA" w:rsidP="00BE2D6C">
      <w:pPr>
        <w:pStyle w:val="H23G"/>
        <w:rPr>
          <w:lang w:val="fr-FR"/>
        </w:rPr>
      </w:pPr>
      <w:r w:rsidRPr="00310D49">
        <w:rPr>
          <w:lang w:val="fr-FR"/>
        </w:rPr>
        <w:tab/>
      </w:r>
      <w:r w:rsidRPr="00310D49">
        <w:rPr>
          <w:lang w:val="fr-FR"/>
        </w:rPr>
        <w:tab/>
        <w:t>Les lieux de détention en Cisjordanie sont répartis en trois (3) catégories, en fonction de la durée de détention et des organismes dont ils dépendent, à savoir</w:t>
      </w:r>
      <w:r w:rsidR="00A53B5A">
        <w:rPr>
          <w:lang w:val="fr-FR"/>
        </w:rPr>
        <w:t> </w:t>
      </w:r>
      <w:r w:rsidRPr="00310D49">
        <w:rPr>
          <w:lang w:val="fr-FR"/>
        </w:rPr>
        <w:t xml:space="preserve">: </w:t>
      </w:r>
    </w:p>
    <w:p w14:paraId="0310D025" w14:textId="50D8BA0E" w:rsidR="00D005FA" w:rsidRPr="00310D49" w:rsidRDefault="00572343" w:rsidP="001E74F8">
      <w:pPr>
        <w:pStyle w:val="Bullet1G"/>
        <w:rPr>
          <w:lang w:val="fr-FR"/>
        </w:rPr>
      </w:pPr>
      <w:r w:rsidRPr="00310D49">
        <w:rPr>
          <w:lang w:val="fr-FR"/>
        </w:rPr>
        <w:t xml:space="preserve">Les </w:t>
      </w:r>
      <w:r w:rsidR="00D005FA" w:rsidRPr="00310D49">
        <w:rPr>
          <w:lang w:val="fr-FR"/>
        </w:rPr>
        <w:t>centres permanents, qui relèvent de la Direction générale de l</w:t>
      </w:r>
      <w:r w:rsidR="0035332C">
        <w:rPr>
          <w:lang w:val="fr-FR"/>
        </w:rPr>
        <w:t>’</w:t>
      </w:r>
      <w:r w:rsidR="00D005FA" w:rsidRPr="00310D49">
        <w:rPr>
          <w:lang w:val="fr-FR"/>
        </w:rPr>
        <w:t>administration pénitentiaire et où les conditions de vie des détenus sont régies par la loi y afférente</w:t>
      </w:r>
      <w:r w:rsidR="00B02693">
        <w:rPr>
          <w:lang w:val="fr-FR"/>
        </w:rPr>
        <w:t> </w:t>
      </w:r>
      <w:r w:rsidR="00D005FA" w:rsidRPr="00310D49">
        <w:rPr>
          <w:lang w:val="fr-FR"/>
        </w:rPr>
        <w:t>;</w:t>
      </w:r>
    </w:p>
    <w:p w14:paraId="370DBDD6" w14:textId="69CCA0D8" w:rsidR="00D005FA" w:rsidRPr="00310D49" w:rsidRDefault="00572343" w:rsidP="001E74F8">
      <w:pPr>
        <w:pStyle w:val="Bullet1G"/>
        <w:rPr>
          <w:lang w:val="fr-FR"/>
        </w:rPr>
      </w:pPr>
      <w:r w:rsidRPr="00310D49">
        <w:rPr>
          <w:lang w:val="fr-FR"/>
        </w:rPr>
        <w:t xml:space="preserve">Les </w:t>
      </w:r>
      <w:r w:rsidR="00D005FA" w:rsidRPr="00310D49">
        <w:rPr>
          <w:lang w:val="fr-FR"/>
        </w:rPr>
        <w:t>centres de détention provisoires (locaux de garde à vue de la police), où la durée de la garde à vue est limitée à vingt-quatre heures et qui sont soumis au contrôle de la Direction de la police du lieu de chaque établissement, l</w:t>
      </w:r>
      <w:r w:rsidR="0035332C">
        <w:rPr>
          <w:lang w:val="fr-FR"/>
        </w:rPr>
        <w:t>’</w:t>
      </w:r>
      <w:r w:rsidR="00D005FA" w:rsidRPr="00310D49">
        <w:rPr>
          <w:lang w:val="fr-FR"/>
        </w:rPr>
        <w:t>incarcération y étant soumise aux dispositions du Code de procédure pénale</w:t>
      </w:r>
      <w:r w:rsidR="00B02693">
        <w:rPr>
          <w:lang w:val="fr-FR"/>
        </w:rPr>
        <w:t> </w:t>
      </w:r>
      <w:r w:rsidR="00D005FA" w:rsidRPr="00310D49">
        <w:rPr>
          <w:lang w:val="fr-FR"/>
        </w:rPr>
        <w:t>;</w:t>
      </w:r>
    </w:p>
    <w:p w14:paraId="25387C89" w14:textId="351AB36A" w:rsidR="00D005FA" w:rsidRPr="00310D49" w:rsidRDefault="00572343" w:rsidP="001E74F8">
      <w:pPr>
        <w:pStyle w:val="Bullet1G"/>
        <w:rPr>
          <w:lang w:val="fr-FR"/>
        </w:rPr>
      </w:pPr>
      <w:r w:rsidRPr="00310D49">
        <w:rPr>
          <w:lang w:val="fr-FR"/>
        </w:rPr>
        <w:t xml:space="preserve">Les </w:t>
      </w:r>
      <w:r w:rsidR="00D005FA" w:rsidRPr="00310D49">
        <w:rPr>
          <w:lang w:val="fr-FR"/>
        </w:rPr>
        <w:t xml:space="preserve">centres de détention </w:t>
      </w:r>
      <w:r w:rsidR="00D005FA" w:rsidRPr="0026633B">
        <w:rPr>
          <w:lang w:val="fr-FR"/>
        </w:rPr>
        <w:t>des services</w:t>
      </w:r>
      <w:r w:rsidR="00D005FA" w:rsidRPr="00310D49">
        <w:rPr>
          <w:lang w:val="fr-FR"/>
        </w:rPr>
        <w:t xml:space="preserve"> de sécurité, qui relèvent des services de sécurité de Cisjordanie, à savoir le Service de la sécurité préventive, le Service des renseignements généraux et le Service des renseignements militaires, lesquels sont soumis au contrôle de leur direction générale respective. L</w:t>
      </w:r>
      <w:r w:rsidR="0035332C">
        <w:rPr>
          <w:lang w:val="fr-FR"/>
        </w:rPr>
        <w:t>’</w:t>
      </w:r>
      <w:r w:rsidR="00D005FA" w:rsidRPr="00310D49">
        <w:rPr>
          <w:lang w:val="fr-FR"/>
        </w:rPr>
        <w:t>arrestation de militaires ne peut avoir lieu qu</w:t>
      </w:r>
      <w:r w:rsidR="0035332C">
        <w:rPr>
          <w:lang w:val="fr-FR"/>
        </w:rPr>
        <w:t>’</w:t>
      </w:r>
      <w:r w:rsidR="00D005FA" w:rsidRPr="00310D49">
        <w:rPr>
          <w:lang w:val="fr-FR"/>
        </w:rPr>
        <w:t>en vertu d</w:t>
      </w:r>
      <w:r w:rsidR="0035332C">
        <w:rPr>
          <w:lang w:val="fr-FR"/>
        </w:rPr>
        <w:t>’</w:t>
      </w:r>
      <w:r w:rsidR="00D005FA" w:rsidRPr="00310D49">
        <w:rPr>
          <w:lang w:val="fr-FR"/>
        </w:rPr>
        <w:t>un mandat délivré par le Procureur général militaire et il est possible de prolonger la durée de la garde à vue conformément aux dispositions de la loi révolutionnaire de 1979.</w:t>
      </w:r>
    </w:p>
    <w:p w14:paraId="030E4A52" w14:textId="77777777" w:rsidR="00D005FA" w:rsidRPr="00310D49" w:rsidRDefault="00D005FA" w:rsidP="001E74F8">
      <w:pPr>
        <w:pStyle w:val="H23G"/>
        <w:rPr>
          <w:lang w:val="fr-FR"/>
        </w:rPr>
      </w:pPr>
      <w:r w:rsidRPr="00310D49">
        <w:rPr>
          <w:lang w:val="fr-FR"/>
        </w:rPr>
        <w:tab/>
      </w:r>
      <w:r w:rsidRPr="00310D49">
        <w:rPr>
          <w:lang w:val="fr-FR"/>
        </w:rPr>
        <w:tab/>
        <w:t>État actuel des établissements pénitentiaires dans la bande de Gaza</w:t>
      </w:r>
    </w:p>
    <w:p w14:paraId="5645E841" w14:textId="4C9A0C06" w:rsidR="00D005FA" w:rsidRPr="00310D49" w:rsidRDefault="00D005FA" w:rsidP="001E74F8">
      <w:pPr>
        <w:pStyle w:val="SingleTxtG"/>
        <w:ind w:firstLine="567"/>
        <w:rPr>
          <w:lang w:val="fr-FR"/>
        </w:rPr>
      </w:pPr>
      <w:r w:rsidRPr="00310D49">
        <w:rPr>
          <w:lang w:val="fr-FR"/>
        </w:rPr>
        <w:t>Plusieurs centres de détention ont été ouverts dans différents gouvernorats de la bande de Gaza afin de désencombrer le centre principal, parmi lesquels</w:t>
      </w:r>
      <w:r w:rsidR="001E74F8">
        <w:rPr>
          <w:lang w:val="fr-FR"/>
        </w:rPr>
        <w:t> </w:t>
      </w:r>
      <w:r w:rsidRPr="00310D49">
        <w:rPr>
          <w:lang w:val="fr-FR"/>
        </w:rPr>
        <w:t>:</w:t>
      </w:r>
    </w:p>
    <w:p w14:paraId="52EBF5DB" w14:textId="2A936168" w:rsidR="00D005FA" w:rsidRPr="00310D49" w:rsidRDefault="00572343" w:rsidP="001E74F8">
      <w:pPr>
        <w:pStyle w:val="Bullet1G"/>
        <w:rPr>
          <w:lang w:val="fr-FR"/>
        </w:rPr>
      </w:pPr>
      <w:r>
        <w:rPr>
          <w:lang w:val="fr-FR"/>
        </w:rPr>
        <w:t>L</w:t>
      </w:r>
      <w:r w:rsidR="0035332C">
        <w:rPr>
          <w:lang w:val="fr-FR"/>
        </w:rPr>
        <w:t>’</w:t>
      </w:r>
      <w:r w:rsidR="00D005FA" w:rsidRPr="00310D49">
        <w:rPr>
          <w:lang w:val="fr-FR"/>
        </w:rPr>
        <w:t>établissement pénitentiaire de la région sud de Gaza, situé dans le gouvernorat de Khan Younes, accueillant les détenus originaires des gouvernorats du sud de la bande de Gaza (gouvernorats de Rafah et de Khan Younes)</w:t>
      </w:r>
      <w:r w:rsidR="00B02693">
        <w:rPr>
          <w:lang w:val="fr-FR"/>
        </w:rPr>
        <w:t> </w:t>
      </w:r>
      <w:r w:rsidR="00D005FA" w:rsidRPr="00310D49">
        <w:rPr>
          <w:lang w:val="fr-FR"/>
        </w:rPr>
        <w:t>;</w:t>
      </w:r>
    </w:p>
    <w:p w14:paraId="4143C726" w14:textId="45C33E67" w:rsidR="00D005FA" w:rsidRPr="00310D49" w:rsidRDefault="00572343" w:rsidP="001E74F8">
      <w:pPr>
        <w:pStyle w:val="Bullet1G"/>
        <w:rPr>
          <w:lang w:val="fr-FR"/>
        </w:rPr>
      </w:pPr>
      <w:r>
        <w:rPr>
          <w:lang w:val="fr-FR"/>
        </w:rPr>
        <w:t>L</w:t>
      </w:r>
      <w:r w:rsidR="0035332C">
        <w:rPr>
          <w:lang w:val="fr-FR"/>
        </w:rPr>
        <w:t>’</w:t>
      </w:r>
      <w:r w:rsidR="00D005FA" w:rsidRPr="00310D49">
        <w:rPr>
          <w:lang w:val="fr-FR"/>
        </w:rPr>
        <w:t>établissement pénitentiaire du gouvernorat de Gaza-Centre, situé dans le gouvernorat du Centre, accueillant les détenus originaires du gouvernorat du Centre</w:t>
      </w:r>
      <w:r w:rsidR="00B02693">
        <w:rPr>
          <w:lang w:val="fr-FR"/>
        </w:rPr>
        <w:t> </w:t>
      </w:r>
      <w:r w:rsidR="00D005FA" w:rsidRPr="00310D49">
        <w:rPr>
          <w:lang w:val="fr-FR"/>
        </w:rPr>
        <w:t xml:space="preserve">; </w:t>
      </w:r>
    </w:p>
    <w:p w14:paraId="603BC88E" w14:textId="54956507" w:rsidR="00D005FA" w:rsidRPr="00310D49" w:rsidRDefault="00572343" w:rsidP="001E74F8">
      <w:pPr>
        <w:pStyle w:val="Bullet1G"/>
        <w:rPr>
          <w:lang w:val="fr-FR"/>
        </w:rPr>
      </w:pPr>
      <w:r>
        <w:rPr>
          <w:lang w:val="fr-FR"/>
        </w:rPr>
        <w:t>L</w:t>
      </w:r>
      <w:r w:rsidR="0035332C">
        <w:rPr>
          <w:lang w:val="fr-FR"/>
        </w:rPr>
        <w:t>’</w:t>
      </w:r>
      <w:r w:rsidR="00D005FA" w:rsidRPr="00310D49">
        <w:rPr>
          <w:lang w:val="fr-FR"/>
        </w:rPr>
        <w:t>établissement pénitentiaire de Gaza-Nord, situé dans la ville de Beit Lahiya, dans le gouvernorat de Gaza-Nord, accueillant les détenus originaires du gouvernorat de Gaza-Nord (Jabaliya − Beit Hanoun − Beit Lahiya).</w:t>
      </w:r>
    </w:p>
    <w:p w14:paraId="7089E1ED" w14:textId="77777777" w:rsidR="00D005FA" w:rsidRPr="00310D49" w:rsidRDefault="00D005FA" w:rsidP="001E74F8">
      <w:pPr>
        <w:pStyle w:val="SingleTxtG"/>
        <w:spacing w:before="120"/>
        <w:rPr>
          <w:b/>
          <w:bCs/>
          <w:lang w:val="fr-FR"/>
        </w:rPr>
      </w:pPr>
      <w:r w:rsidRPr="00310D49">
        <w:rPr>
          <w:lang w:val="fr-FR"/>
        </w:rPr>
        <w:t>223.</w:t>
      </w:r>
      <w:r w:rsidRPr="00310D49">
        <w:rPr>
          <w:lang w:val="fr-FR"/>
        </w:rPr>
        <w:tab/>
      </w:r>
      <w:r w:rsidRPr="00310D49">
        <w:rPr>
          <w:b/>
          <w:bCs/>
          <w:lang w:val="fr-FR"/>
        </w:rPr>
        <w:t>Mécanismes de contrôle</w:t>
      </w:r>
    </w:p>
    <w:p w14:paraId="74AD21FA" w14:textId="4AD83300" w:rsidR="00D005FA" w:rsidRPr="00310D49" w:rsidRDefault="00D005FA" w:rsidP="001E74F8">
      <w:pPr>
        <w:pStyle w:val="Bullet1G"/>
        <w:rPr>
          <w:lang w:val="fr-FR"/>
        </w:rPr>
      </w:pPr>
      <w:r w:rsidRPr="00310D49">
        <w:rPr>
          <w:lang w:val="fr-FR"/>
        </w:rPr>
        <w:t>Le Code de procédure pénale et la loi sur les établissements pénitentiaires confèrent aux détenus le droit de porter plainte</w:t>
      </w:r>
      <w:r w:rsidR="00572343">
        <w:rPr>
          <w:lang w:val="fr-FR"/>
        </w:rPr>
        <w:t> ;</w:t>
      </w:r>
    </w:p>
    <w:p w14:paraId="30FD6EC7" w14:textId="2FEBF7EA" w:rsidR="00D005FA" w:rsidRPr="00310D49" w:rsidRDefault="00D005FA" w:rsidP="001E74F8">
      <w:pPr>
        <w:pStyle w:val="Bullet1G"/>
        <w:rPr>
          <w:lang w:val="fr-FR"/>
        </w:rPr>
      </w:pPr>
      <w:r w:rsidRPr="00310D49">
        <w:rPr>
          <w:lang w:val="fr-FR"/>
        </w:rPr>
        <w:t>Le Service de contrôle et d</w:t>
      </w:r>
      <w:r w:rsidR="0035332C">
        <w:rPr>
          <w:lang w:val="fr-FR"/>
        </w:rPr>
        <w:t>’</w:t>
      </w:r>
      <w:r w:rsidRPr="00310D49">
        <w:rPr>
          <w:lang w:val="fr-FR"/>
        </w:rPr>
        <w:t>inspection, qui relève de la Direction de l</w:t>
      </w:r>
      <w:r w:rsidR="0035332C">
        <w:rPr>
          <w:lang w:val="fr-FR"/>
        </w:rPr>
        <w:t>’</w:t>
      </w:r>
      <w:r w:rsidRPr="00310D49">
        <w:rPr>
          <w:lang w:val="fr-FR"/>
        </w:rPr>
        <w:t>administration pénitentiaire, effectue des visites d</w:t>
      </w:r>
      <w:r w:rsidR="0035332C">
        <w:rPr>
          <w:lang w:val="fr-FR"/>
        </w:rPr>
        <w:t>’</w:t>
      </w:r>
      <w:r w:rsidRPr="00310D49">
        <w:rPr>
          <w:lang w:val="fr-FR"/>
        </w:rPr>
        <w:t>inspection périodiques dans les établissements pénitentiaires pour y évaluer le respect des droits des détenus</w:t>
      </w:r>
      <w:r w:rsidR="00572343">
        <w:rPr>
          <w:lang w:val="fr-FR"/>
        </w:rPr>
        <w:t> ;</w:t>
      </w:r>
    </w:p>
    <w:p w14:paraId="058FA4FC" w14:textId="35C09537" w:rsidR="00D005FA" w:rsidRPr="00310D49" w:rsidRDefault="00D005FA" w:rsidP="001E74F8">
      <w:pPr>
        <w:pStyle w:val="Bullet1G"/>
        <w:rPr>
          <w:lang w:val="fr-FR"/>
        </w:rPr>
      </w:pPr>
      <w:r w:rsidRPr="00310D49">
        <w:rPr>
          <w:lang w:val="fr-FR"/>
        </w:rPr>
        <w:t>Le Procureur général militaire a édicté des instructions enjoignant aux membres du parquet militaire de visiter et d</w:t>
      </w:r>
      <w:r w:rsidR="0035332C">
        <w:rPr>
          <w:lang w:val="fr-FR"/>
        </w:rPr>
        <w:t>’</w:t>
      </w:r>
      <w:r w:rsidRPr="00310D49">
        <w:rPr>
          <w:lang w:val="fr-FR"/>
        </w:rPr>
        <w:t>inspecter les centres de détention militaires</w:t>
      </w:r>
      <w:r w:rsidR="00572343">
        <w:rPr>
          <w:lang w:val="fr-FR"/>
        </w:rPr>
        <w:t> ;</w:t>
      </w:r>
    </w:p>
    <w:p w14:paraId="72B8FF1B" w14:textId="1CDDCB59" w:rsidR="00D005FA" w:rsidRPr="00310D49" w:rsidRDefault="00D005FA" w:rsidP="001E74F8">
      <w:pPr>
        <w:pStyle w:val="Bullet1G"/>
        <w:rPr>
          <w:lang w:val="fr-FR"/>
        </w:rPr>
      </w:pPr>
      <w:r w:rsidRPr="00310D49">
        <w:rPr>
          <w:lang w:val="fr-FR"/>
        </w:rPr>
        <w:t>Il revient aux services médicaux militaires d</w:t>
      </w:r>
      <w:r w:rsidR="0035332C">
        <w:rPr>
          <w:lang w:val="fr-FR"/>
        </w:rPr>
        <w:t>’</w:t>
      </w:r>
      <w:r w:rsidRPr="00310D49">
        <w:rPr>
          <w:lang w:val="fr-FR"/>
        </w:rPr>
        <w:t>assurer la couverture médicale des centres de détention militaires.</w:t>
      </w:r>
    </w:p>
    <w:p w14:paraId="3E1FAB6A" w14:textId="42F55FFD" w:rsidR="00D005FA" w:rsidRPr="00310D49" w:rsidRDefault="00D005FA" w:rsidP="001E74F8">
      <w:pPr>
        <w:pStyle w:val="Bullet1G"/>
        <w:rPr>
          <w:lang w:val="fr-FR"/>
        </w:rPr>
      </w:pPr>
      <w:r w:rsidRPr="00310D49">
        <w:rPr>
          <w:lang w:val="fr-FR"/>
        </w:rPr>
        <w:lastRenderedPageBreak/>
        <w:t>Plusieurs protocoles d</w:t>
      </w:r>
      <w:r w:rsidR="0035332C">
        <w:rPr>
          <w:lang w:val="fr-FR"/>
        </w:rPr>
        <w:t>’</w:t>
      </w:r>
      <w:r w:rsidRPr="00310D49">
        <w:rPr>
          <w:lang w:val="fr-FR"/>
        </w:rPr>
        <w:t>accord ont été signés entre le Ministère de l</w:t>
      </w:r>
      <w:r w:rsidR="0035332C">
        <w:rPr>
          <w:lang w:val="fr-FR"/>
        </w:rPr>
        <w:t>’</w:t>
      </w:r>
      <w:r w:rsidRPr="00310D49">
        <w:rPr>
          <w:lang w:val="fr-FR"/>
        </w:rPr>
        <w:t>intérieur, la Commission indépendante pour les droits de l</w:t>
      </w:r>
      <w:r w:rsidR="0035332C">
        <w:rPr>
          <w:lang w:val="fr-FR"/>
        </w:rPr>
        <w:t>’</w:t>
      </w:r>
      <w:r w:rsidRPr="00310D49">
        <w:rPr>
          <w:lang w:val="fr-FR"/>
        </w:rPr>
        <w:t xml:space="preserve">homme et des </w:t>
      </w:r>
      <w:r w:rsidRPr="0026633B">
        <w:rPr>
          <w:lang w:val="fr-FR"/>
        </w:rPr>
        <w:t>organisations</w:t>
      </w:r>
      <w:r w:rsidRPr="00310D49">
        <w:rPr>
          <w:lang w:val="fr-FR"/>
        </w:rPr>
        <w:t xml:space="preserve"> nationales et internationales de la société civile, afin de leur permettre de visiter et d</w:t>
      </w:r>
      <w:r w:rsidR="0035332C">
        <w:rPr>
          <w:lang w:val="fr-FR"/>
        </w:rPr>
        <w:t>’</w:t>
      </w:r>
      <w:r w:rsidRPr="00310D49">
        <w:rPr>
          <w:lang w:val="fr-FR"/>
        </w:rPr>
        <w:t>inspecter les centres de détention en vue de s</w:t>
      </w:r>
      <w:r w:rsidR="0035332C">
        <w:rPr>
          <w:lang w:val="fr-FR"/>
        </w:rPr>
        <w:t>’</w:t>
      </w:r>
      <w:r w:rsidRPr="00310D49">
        <w:rPr>
          <w:lang w:val="fr-FR"/>
        </w:rPr>
        <w:t>informer sur les conditions de vie des détenus et de recueillir leurs témoignages.</w:t>
      </w:r>
    </w:p>
    <w:p w14:paraId="5FFFDE0B" w14:textId="21C6F4DF" w:rsidR="00D005FA" w:rsidRPr="00310D49" w:rsidRDefault="00D005FA" w:rsidP="000643E5">
      <w:pPr>
        <w:pStyle w:val="SingleTxtG"/>
        <w:keepNext/>
        <w:spacing w:before="120"/>
        <w:rPr>
          <w:lang w:val="fr-FR"/>
        </w:rPr>
      </w:pPr>
      <w:r w:rsidRPr="00572343">
        <w:rPr>
          <w:lang w:val="fr-FR"/>
        </w:rPr>
        <w:t>224.</w:t>
      </w:r>
      <w:r w:rsidRPr="00572343">
        <w:rPr>
          <w:lang w:val="fr-FR"/>
        </w:rPr>
        <w:tab/>
      </w:r>
      <w:r w:rsidRPr="00572343">
        <w:rPr>
          <w:b/>
          <w:bCs/>
          <w:lang w:val="fr-FR"/>
        </w:rPr>
        <w:t>Statistiques relatives</w:t>
      </w:r>
      <w:r w:rsidRPr="00310D49">
        <w:rPr>
          <w:b/>
          <w:bCs/>
          <w:lang w:val="fr-FR"/>
        </w:rPr>
        <w:t xml:space="preserve"> aux visites d</w:t>
      </w:r>
      <w:r w:rsidR="0035332C">
        <w:rPr>
          <w:b/>
          <w:bCs/>
          <w:lang w:val="fr-FR"/>
        </w:rPr>
        <w:t>’</w:t>
      </w:r>
      <w:r w:rsidRPr="00310D49">
        <w:rPr>
          <w:b/>
          <w:bCs/>
          <w:lang w:val="fr-FR"/>
        </w:rPr>
        <w:t>inspection</w:t>
      </w:r>
    </w:p>
    <w:p w14:paraId="75F63258" w14:textId="4D191950" w:rsidR="00D005FA" w:rsidRDefault="00D005FA" w:rsidP="000643E5">
      <w:pPr>
        <w:pStyle w:val="H23G"/>
        <w:rPr>
          <w:lang w:val="fr-FR"/>
        </w:rPr>
      </w:pPr>
      <w:r w:rsidRPr="00310D49">
        <w:rPr>
          <w:lang w:val="fr-FR"/>
        </w:rPr>
        <w:tab/>
      </w:r>
      <w:r w:rsidRPr="00310D49">
        <w:rPr>
          <w:lang w:val="fr-FR"/>
        </w:rPr>
        <w:tab/>
        <w:t>Inspection des établissements pénitentiaires par les institutions gouvernementales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9"/>
        <w:gridCol w:w="1701"/>
        <w:gridCol w:w="1842"/>
        <w:gridCol w:w="1700"/>
      </w:tblGrid>
      <w:tr w:rsidR="000643E5" w:rsidRPr="003668CB" w14:paraId="39B30BEA" w14:textId="77777777" w:rsidTr="003668CB">
        <w:trPr>
          <w:tblHeader/>
        </w:trPr>
        <w:tc>
          <w:tcPr>
            <w:tcW w:w="1418" w:type="dxa"/>
            <w:tcBorders>
              <w:top w:val="single" w:sz="4" w:space="0" w:color="auto"/>
              <w:bottom w:val="single" w:sz="12" w:space="0" w:color="auto"/>
            </w:tcBorders>
            <w:shd w:val="clear" w:color="auto" w:fill="auto"/>
            <w:vAlign w:val="bottom"/>
          </w:tcPr>
          <w:p w14:paraId="6A4E3655" w14:textId="6D49F217" w:rsidR="000643E5" w:rsidRPr="003668CB" w:rsidRDefault="000643E5" w:rsidP="003668CB">
            <w:pPr>
              <w:keepNext/>
              <w:spacing w:before="80" w:after="80" w:line="200" w:lineRule="exact"/>
              <w:ind w:right="113"/>
              <w:rPr>
                <w:i/>
                <w:sz w:val="16"/>
              </w:rPr>
            </w:pPr>
            <w:r w:rsidRPr="003668CB">
              <w:rPr>
                <w:i/>
                <w:sz w:val="16"/>
                <w:lang w:val="fr-FR"/>
              </w:rPr>
              <w:t>Institution</w:t>
            </w:r>
          </w:p>
        </w:tc>
        <w:tc>
          <w:tcPr>
            <w:tcW w:w="709" w:type="dxa"/>
            <w:tcBorders>
              <w:top w:val="single" w:sz="4" w:space="0" w:color="auto"/>
              <w:bottom w:val="single" w:sz="12" w:space="0" w:color="auto"/>
            </w:tcBorders>
            <w:shd w:val="clear" w:color="auto" w:fill="auto"/>
            <w:vAlign w:val="bottom"/>
          </w:tcPr>
          <w:p w14:paraId="55873B03" w14:textId="4C2E8E88" w:rsidR="000643E5" w:rsidRPr="003668CB" w:rsidRDefault="000643E5" w:rsidP="003668CB">
            <w:pPr>
              <w:keepNext/>
              <w:spacing w:before="80" w:after="80" w:line="200" w:lineRule="exact"/>
              <w:ind w:right="113"/>
              <w:rPr>
                <w:i/>
                <w:sz w:val="16"/>
              </w:rPr>
            </w:pPr>
            <w:r w:rsidRPr="003668CB">
              <w:rPr>
                <w:i/>
                <w:sz w:val="16"/>
                <w:lang w:val="fr-FR"/>
              </w:rPr>
              <w:t>Année</w:t>
            </w:r>
          </w:p>
        </w:tc>
        <w:tc>
          <w:tcPr>
            <w:tcW w:w="1701" w:type="dxa"/>
            <w:tcBorders>
              <w:top w:val="single" w:sz="4" w:space="0" w:color="auto"/>
              <w:bottom w:val="single" w:sz="12" w:space="0" w:color="auto"/>
            </w:tcBorders>
            <w:shd w:val="clear" w:color="auto" w:fill="auto"/>
            <w:vAlign w:val="bottom"/>
          </w:tcPr>
          <w:p w14:paraId="3FEFBDA7" w14:textId="1D45B6A9" w:rsidR="000643E5" w:rsidRPr="003668CB" w:rsidRDefault="000643E5" w:rsidP="003668CB">
            <w:pPr>
              <w:keepNext/>
              <w:spacing w:before="80" w:after="80" w:line="200" w:lineRule="exact"/>
              <w:ind w:right="113"/>
              <w:rPr>
                <w:i/>
                <w:sz w:val="16"/>
              </w:rPr>
            </w:pPr>
            <w:r w:rsidRPr="003668CB">
              <w:rPr>
                <w:i/>
                <w:sz w:val="16"/>
                <w:lang w:val="fr-FR"/>
              </w:rPr>
              <w:t>Nombre de visites auprès des centres de détention du Service des</w:t>
            </w:r>
            <w:r w:rsidR="00572343">
              <w:rPr>
                <w:i/>
                <w:sz w:val="16"/>
                <w:lang w:val="fr-FR"/>
              </w:rPr>
              <w:t> </w:t>
            </w:r>
            <w:r w:rsidRPr="003668CB">
              <w:rPr>
                <w:i/>
                <w:sz w:val="16"/>
                <w:lang w:val="fr-FR"/>
              </w:rPr>
              <w:t>renseignements</w:t>
            </w:r>
          </w:p>
        </w:tc>
        <w:tc>
          <w:tcPr>
            <w:tcW w:w="1842" w:type="dxa"/>
            <w:tcBorders>
              <w:top w:val="single" w:sz="4" w:space="0" w:color="auto"/>
              <w:bottom w:val="single" w:sz="12" w:space="0" w:color="auto"/>
            </w:tcBorders>
            <w:shd w:val="clear" w:color="auto" w:fill="auto"/>
            <w:vAlign w:val="bottom"/>
          </w:tcPr>
          <w:p w14:paraId="6B4B8828" w14:textId="6AA17571" w:rsidR="000643E5" w:rsidRPr="003668CB" w:rsidRDefault="000643E5" w:rsidP="003668CB">
            <w:pPr>
              <w:keepNext/>
              <w:spacing w:before="80" w:after="80" w:line="200" w:lineRule="exact"/>
              <w:ind w:right="113"/>
              <w:rPr>
                <w:i/>
                <w:sz w:val="16"/>
              </w:rPr>
            </w:pPr>
            <w:r w:rsidRPr="003668CB">
              <w:rPr>
                <w:i/>
                <w:sz w:val="16"/>
                <w:lang w:val="fr-FR"/>
              </w:rPr>
              <w:t>Nombre de visites auprès des centres de détention du Service des renseignements militaires</w:t>
            </w:r>
          </w:p>
        </w:tc>
        <w:tc>
          <w:tcPr>
            <w:tcW w:w="1700" w:type="dxa"/>
            <w:tcBorders>
              <w:top w:val="single" w:sz="4" w:space="0" w:color="auto"/>
              <w:bottom w:val="single" w:sz="12" w:space="0" w:color="auto"/>
            </w:tcBorders>
            <w:shd w:val="clear" w:color="auto" w:fill="auto"/>
            <w:vAlign w:val="bottom"/>
          </w:tcPr>
          <w:p w14:paraId="4BB3543A" w14:textId="03674B46" w:rsidR="000643E5" w:rsidRPr="003668CB" w:rsidRDefault="000643E5" w:rsidP="003668CB">
            <w:pPr>
              <w:keepNext/>
              <w:spacing w:before="80" w:after="80" w:line="200" w:lineRule="exact"/>
              <w:ind w:right="113"/>
              <w:rPr>
                <w:i/>
                <w:sz w:val="16"/>
              </w:rPr>
            </w:pPr>
            <w:r w:rsidRPr="003668CB">
              <w:rPr>
                <w:i/>
                <w:sz w:val="16"/>
                <w:lang w:val="fr-FR"/>
              </w:rPr>
              <w:t>Nombre de visites auprès des centres de détention du Service de la sécurité préventive</w:t>
            </w:r>
          </w:p>
        </w:tc>
      </w:tr>
      <w:tr w:rsidR="003668CB" w:rsidRPr="003668CB" w14:paraId="56D89D93" w14:textId="77777777" w:rsidTr="003668CB">
        <w:trPr>
          <w:trHeight w:hRule="exact" w:val="113"/>
        </w:trPr>
        <w:tc>
          <w:tcPr>
            <w:tcW w:w="1418" w:type="dxa"/>
            <w:tcBorders>
              <w:top w:val="single" w:sz="12" w:space="0" w:color="auto"/>
            </w:tcBorders>
            <w:shd w:val="clear" w:color="auto" w:fill="auto"/>
          </w:tcPr>
          <w:p w14:paraId="569B4A1B" w14:textId="77777777" w:rsidR="003668CB" w:rsidRPr="003668CB" w:rsidRDefault="003668CB" w:rsidP="003668CB">
            <w:pPr>
              <w:keepNext/>
              <w:spacing w:before="40" w:after="120"/>
              <w:ind w:right="113"/>
              <w:rPr>
                <w:lang w:val="fr-FR"/>
              </w:rPr>
            </w:pPr>
          </w:p>
        </w:tc>
        <w:tc>
          <w:tcPr>
            <w:tcW w:w="709" w:type="dxa"/>
            <w:tcBorders>
              <w:top w:val="single" w:sz="12" w:space="0" w:color="auto"/>
            </w:tcBorders>
            <w:shd w:val="clear" w:color="auto" w:fill="auto"/>
          </w:tcPr>
          <w:p w14:paraId="1E76CC98" w14:textId="77777777" w:rsidR="003668CB" w:rsidRPr="003668CB" w:rsidRDefault="003668CB" w:rsidP="003668CB">
            <w:pPr>
              <w:keepNext/>
              <w:spacing w:before="40" w:after="120"/>
              <w:ind w:right="113"/>
              <w:rPr>
                <w:lang w:val="fr-FR"/>
              </w:rPr>
            </w:pPr>
          </w:p>
        </w:tc>
        <w:tc>
          <w:tcPr>
            <w:tcW w:w="1701" w:type="dxa"/>
            <w:tcBorders>
              <w:top w:val="single" w:sz="12" w:space="0" w:color="auto"/>
            </w:tcBorders>
            <w:shd w:val="clear" w:color="auto" w:fill="auto"/>
          </w:tcPr>
          <w:p w14:paraId="4E93B471" w14:textId="77777777" w:rsidR="003668CB" w:rsidRPr="003668CB" w:rsidRDefault="003668CB" w:rsidP="003668CB">
            <w:pPr>
              <w:keepNext/>
              <w:spacing w:before="40" w:after="120"/>
              <w:ind w:right="113"/>
              <w:rPr>
                <w:lang w:val="fr-FR"/>
              </w:rPr>
            </w:pPr>
          </w:p>
        </w:tc>
        <w:tc>
          <w:tcPr>
            <w:tcW w:w="1842" w:type="dxa"/>
            <w:tcBorders>
              <w:top w:val="single" w:sz="12" w:space="0" w:color="auto"/>
            </w:tcBorders>
            <w:shd w:val="clear" w:color="auto" w:fill="auto"/>
          </w:tcPr>
          <w:p w14:paraId="137E28FF" w14:textId="77777777" w:rsidR="003668CB" w:rsidRPr="003668CB" w:rsidRDefault="003668CB" w:rsidP="003668CB">
            <w:pPr>
              <w:keepNext/>
              <w:spacing w:before="40" w:after="120"/>
              <w:ind w:right="113"/>
              <w:rPr>
                <w:lang w:val="fr-FR"/>
              </w:rPr>
            </w:pPr>
          </w:p>
        </w:tc>
        <w:tc>
          <w:tcPr>
            <w:tcW w:w="1700" w:type="dxa"/>
            <w:tcBorders>
              <w:top w:val="single" w:sz="12" w:space="0" w:color="auto"/>
            </w:tcBorders>
            <w:shd w:val="clear" w:color="auto" w:fill="auto"/>
          </w:tcPr>
          <w:p w14:paraId="69F77F39" w14:textId="77777777" w:rsidR="003668CB" w:rsidRPr="003668CB" w:rsidRDefault="003668CB" w:rsidP="003668CB">
            <w:pPr>
              <w:keepNext/>
              <w:spacing w:before="40" w:after="120"/>
              <w:ind w:right="113"/>
              <w:rPr>
                <w:lang w:val="fr-FR"/>
              </w:rPr>
            </w:pPr>
          </w:p>
        </w:tc>
      </w:tr>
      <w:tr w:rsidR="000643E5" w:rsidRPr="003668CB" w14:paraId="7A3BC6D1" w14:textId="77777777" w:rsidTr="00572343">
        <w:tc>
          <w:tcPr>
            <w:tcW w:w="1418" w:type="dxa"/>
            <w:vMerge w:val="restart"/>
            <w:shd w:val="clear" w:color="auto" w:fill="auto"/>
            <w:vAlign w:val="center"/>
          </w:tcPr>
          <w:p w14:paraId="24DCD77E" w14:textId="58C727E6" w:rsidR="000643E5" w:rsidRPr="003668CB" w:rsidRDefault="000643E5" w:rsidP="00572343">
            <w:pPr>
              <w:keepNext/>
              <w:spacing w:before="40" w:after="120"/>
              <w:ind w:right="113"/>
            </w:pPr>
            <w:r w:rsidRPr="003668CB">
              <w:rPr>
                <w:lang w:val="fr-FR"/>
              </w:rPr>
              <w:t>Bureau du Procureur général/Chefs de parquet</w:t>
            </w:r>
          </w:p>
        </w:tc>
        <w:tc>
          <w:tcPr>
            <w:tcW w:w="709" w:type="dxa"/>
            <w:shd w:val="clear" w:color="auto" w:fill="auto"/>
          </w:tcPr>
          <w:p w14:paraId="4743BB30" w14:textId="06B73A1D" w:rsidR="000643E5" w:rsidRPr="003668CB" w:rsidRDefault="000643E5" w:rsidP="003668CB">
            <w:pPr>
              <w:keepNext/>
              <w:spacing w:before="40" w:after="120"/>
              <w:ind w:right="113"/>
            </w:pPr>
            <w:r w:rsidRPr="003668CB">
              <w:rPr>
                <w:lang w:val="fr-FR"/>
              </w:rPr>
              <w:t>2014</w:t>
            </w:r>
          </w:p>
        </w:tc>
        <w:tc>
          <w:tcPr>
            <w:tcW w:w="1701" w:type="dxa"/>
            <w:vMerge w:val="restart"/>
            <w:shd w:val="clear" w:color="auto" w:fill="auto"/>
            <w:vAlign w:val="center"/>
          </w:tcPr>
          <w:p w14:paraId="0C71060B" w14:textId="35578967" w:rsidR="000643E5" w:rsidRPr="003668CB" w:rsidRDefault="000643E5" w:rsidP="00572343">
            <w:pPr>
              <w:keepNext/>
              <w:spacing w:before="40" w:after="120"/>
              <w:ind w:right="113"/>
            </w:pPr>
            <w:r w:rsidRPr="003668CB">
              <w:rPr>
                <w:lang w:val="fr-FR"/>
              </w:rPr>
              <w:t>Deux fois par mois</w:t>
            </w:r>
          </w:p>
        </w:tc>
        <w:tc>
          <w:tcPr>
            <w:tcW w:w="1842" w:type="dxa"/>
            <w:vMerge w:val="restart"/>
            <w:shd w:val="clear" w:color="auto" w:fill="auto"/>
            <w:vAlign w:val="center"/>
          </w:tcPr>
          <w:p w14:paraId="67019329" w14:textId="3268FB29" w:rsidR="000643E5" w:rsidRPr="003668CB" w:rsidRDefault="000643E5" w:rsidP="00572343">
            <w:pPr>
              <w:keepNext/>
              <w:spacing w:before="40" w:after="120"/>
              <w:ind w:right="113"/>
            </w:pPr>
            <w:r w:rsidRPr="003668CB">
              <w:rPr>
                <w:lang w:val="fr-FR"/>
              </w:rPr>
              <w:t>Visites périodiques mensuelles</w:t>
            </w:r>
          </w:p>
        </w:tc>
        <w:tc>
          <w:tcPr>
            <w:tcW w:w="1700" w:type="dxa"/>
            <w:vMerge w:val="restart"/>
            <w:shd w:val="clear" w:color="auto" w:fill="auto"/>
            <w:vAlign w:val="center"/>
          </w:tcPr>
          <w:p w14:paraId="42776A74" w14:textId="066ED7A7" w:rsidR="000643E5" w:rsidRPr="003668CB" w:rsidRDefault="000643E5" w:rsidP="00572343">
            <w:pPr>
              <w:keepNext/>
              <w:spacing w:before="40" w:after="120"/>
              <w:ind w:right="113"/>
            </w:pPr>
            <w:r w:rsidRPr="003668CB">
              <w:rPr>
                <w:lang w:val="fr-FR"/>
              </w:rPr>
              <w:t>Visites périodiques mensuelles</w:t>
            </w:r>
          </w:p>
        </w:tc>
      </w:tr>
      <w:tr w:rsidR="000643E5" w:rsidRPr="003668CB" w14:paraId="18FC17FC" w14:textId="77777777" w:rsidTr="003668CB">
        <w:tc>
          <w:tcPr>
            <w:tcW w:w="1418" w:type="dxa"/>
            <w:vMerge/>
            <w:shd w:val="clear" w:color="auto" w:fill="auto"/>
          </w:tcPr>
          <w:p w14:paraId="62474898" w14:textId="77777777" w:rsidR="000643E5" w:rsidRPr="003668CB" w:rsidRDefault="000643E5" w:rsidP="003668CB">
            <w:pPr>
              <w:keepNext/>
              <w:spacing w:before="40" w:after="120"/>
              <w:ind w:right="113"/>
            </w:pPr>
          </w:p>
        </w:tc>
        <w:tc>
          <w:tcPr>
            <w:tcW w:w="709" w:type="dxa"/>
            <w:shd w:val="clear" w:color="auto" w:fill="auto"/>
          </w:tcPr>
          <w:p w14:paraId="63B8D50B" w14:textId="4BCBE350" w:rsidR="000643E5" w:rsidRPr="003668CB" w:rsidRDefault="000643E5" w:rsidP="003668CB">
            <w:pPr>
              <w:keepNext/>
              <w:spacing w:before="40" w:after="120"/>
              <w:ind w:right="113"/>
            </w:pPr>
            <w:r w:rsidRPr="003668CB">
              <w:rPr>
                <w:lang w:val="fr-FR"/>
              </w:rPr>
              <w:t>2015</w:t>
            </w:r>
          </w:p>
        </w:tc>
        <w:tc>
          <w:tcPr>
            <w:tcW w:w="1701" w:type="dxa"/>
            <w:vMerge/>
            <w:shd w:val="clear" w:color="auto" w:fill="auto"/>
          </w:tcPr>
          <w:p w14:paraId="44D2016E" w14:textId="77777777" w:rsidR="000643E5" w:rsidRPr="003668CB" w:rsidRDefault="000643E5" w:rsidP="003668CB">
            <w:pPr>
              <w:keepNext/>
              <w:spacing w:before="40" w:after="120"/>
              <w:ind w:right="113"/>
            </w:pPr>
          </w:p>
        </w:tc>
        <w:tc>
          <w:tcPr>
            <w:tcW w:w="1842" w:type="dxa"/>
            <w:vMerge/>
            <w:shd w:val="clear" w:color="auto" w:fill="auto"/>
          </w:tcPr>
          <w:p w14:paraId="478DAB28" w14:textId="77777777" w:rsidR="000643E5" w:rsidRPr="003668CB" w:rsidRDefault="000643E5" w:rsidP="003668CB">
            <w:pPr>
              <w:keepNext/>
              <w:spacing w:before="40" w:after="120"/>
              <w:ind w:right="113"/>
            </w:pPr>
          </w:p>
        </w:tc>
        <w:tc>
          <w:tcPr>
            <w:tcW w:w="1700" w:type="dxa"/>
            <w:vMerge/>
            <w:shd w:val="clear" w:color="auto" w:fill="auto"/>
          </w:tcPr>
          <w:p w14:paraId="20EC0157" w14:textId="77777777" w:rsidR="000643E5" w:rsidRPr="003668CB" w:rsidRDefault="000643E5" w:rsidP="003668CB">
            <w:pPr>
              <w:keepNext/>
              <w:spacing w:before="40" w:after="120"/>
              <w:ind w:right="113"/>
            </w:pPr>
          </w:p>
        </w:tc>
      </w:tr>
      <w:tr w:rsidR="000643E5" w:rsidRPr="003668CB" w14:paraId="44469FF9" w14:textId="77777777" w:rsidTr="003668CB">
        <w:tc>
          <w:tcPr>
            <w:tcW w:w="1418" w:type="dxa"/>
            <w:vMerge/>
            <w:shd w:val="clear" w:color="auto" w:fill="auto"/>
          </w:tcPr>
          <w:p w14:paraId="1A30ECED" w14:textId="77777777" w:rsidR="000643E5" w:rsidRPr="003668CB" w:rsidRDefault="000643E5" w:rsidP="003668CB">
            <w:pPr>
              <w:keepNext/>
              <w:spacing w:before="40" w:after="120"/>
              <w:ind w:right="113"/>
            </w:pPr>
          </w:p>
        </w:tc>
        <w:tc>
          <w:tcPr>
            <w:tcW w:w="709" w:type="dxa"/>
            <w:shd w:val="clear" w:color="auto" w:fill="auto"/>
          </w:tcPr>
          <w:p w14:paraId="61FDF36C" w14:textId="74202898" w:rsidR="000643E5" w:rsidRPr="003668CB" w:rsidRDefault="000643E5" w:rsidP="003668CB">
            <w:pPr>
              <w:keepNext/>
              <w:spacing w:before="40" w:after="120"/>
              <w:ind w:right="113"/>
            </w:pPr>
            <w:r w:rsidRPr="003668CB">
              <w:rPr>
                <w:lang w:val="fr-FR"/>
              </w:rPr>
              <w:t>2016</w:t>
            </w:r>
          </w:p>
        </w:tc>
        <w:tc>
          <w:tcPr>
            <w:tcW w:w="1701" w:type="dxa"/>
            <w:vMerge/>
            <w:shd w:val="clear" w:color="auto" w:fill="auto"/>
          </w:tcPr>
          <w:p w14:paraId="66706055" w14:textId="77777777" w:rsidR="000643E5" w:rsidRPr="003668CB" w:rsidRDefault="000643E5" w:rsidP="003668CB">
            <w:pPr>
              <w:keepNext/>
              <w:spacing w:before="40" w:after="120"/>
              <w:ind w:right="113"/>
            </w:pPr>
          </w:p>
        </w:tc>
        <w:tc>
          <w:tcPr>
            <w:tcW w:w="1842" w:type="dxa"/>
            <w:vMerge/>
            <w:shd w:val="clear" w:color="auto" w:fill="auto"/>
          </w:tcPr>
          <w:p w14:paraId="002C7E84" w14:textId="77777777" w:rsidR="000643E5" w:rsidRPr="003668CB" w:rsidRDefault="000643E5" w:rsidP="003668CB">
            <w:pPr>
              <w:keepNext/>
              <w:spacing w:before="40" w:after="120"/>
              <w:ind w:right="113"/>
            </w:pPr>
          </w:p>
        </w:tc>
        <w:tc>
          <w:tcPr>
            <w:tcW w:w="1700" w:type="dxa"/>
            <w:vMerge/>
            <w:shd w:val="clear" w:color="auto" w:fill="auto"/>
          </w:tcPr>
          <w:p w14:paraId="45FE3511" w14:textId="77777777" w:rsidR="000643E5" w:rsidRPr="003668CB" w:rsidRDefault="000643E5" w:rsidP="003668CB">
            <w:pPr>
              <w:keepNext/>
              <w:spacing w:before="40" w:after="120"/>
              <w:ind w:right="113"/>
            </w:pPr>
          </w:p>
        </w:tc>
      </w:tr>
      <w:tr w:rsidR="000643E5" w:rsidRPr="003668CB" w14:paraId="4E943727" w14:textId="77777777" w:rsidTr="003668CB">
        <w:tc>
          <w:tcPr>
            <w:tcW w:w="1418" w:type="dxa"/>
            <w:vMerge/>
            <w:shd w:val="clear" w:color="auto" w:fill="auto"/>
          </w:tcPr>
          <w:p w14:paraId="6473F0AA" w14:textId="77777777" w:rsidR="000643E5" w:rsidRPr="003668CB" w:rsidRDefault="000643E5" w:rsidP="003668CB">
            <w:pPr>
              <w:keepNext/>
              <w:spacing w:before="40" w:after="120"/>
              <w:ind w:right="113"/>
            </w:pPr>
          </w:p>
        </w:tc>
        <w:tc>
          <w:tcPr>
            <w:tcW w:w="709" w:type="dxa"/>
            <w:shd w:val="clear" w:color="auto" w:fill="auto"/>
          </w:tcPr>
          <w:p w14:paraId="4EE4A876" w14:textId="66A53713" w:rsidR="000643E5" w:rsidRPr="003668CB" w:rsidRDefault="000643E5" w:rsidP="003668CB">
            <w:pPr>
              <w:keepNext/>
              <w:spacing w:before="40" w:after="120"/>
              <w:ind w:right="113"/>
            </w:pPr>
            <w:r w:rsidRPr="003668CB">
              <w:rPr>
                <w:lang w:val="fr-FR"/>
              </w:rPr>
              <w:t>2017</w:t>
            </w:r>
          </w:p>
        </w:tc>
        <w:tc>
          <w:tcPr>
            <w:tcW w:w="1701" w:type="dxa"/>
            <w:vMerge/>
            <w:shd w:val="clear" w:color="auto" w:fill="auto"/>
          </w:tcPr>
          <w:p w14:paraId="351F96A0" w14:textId="77777777" w:rsidR="000643E5" w:rsidRPr="003668CB" w:rsidRDefault="000643E5" w:rsidP="003668CB">
            <w:pPr>
              <w:keepNext/>
              <w:spacing w:before="40" w:after="120"/>
              <w:ind w:right="113"/>
            </w:pPr>
          </w:p>
        </w:tc>
        <w:tc>
          <w:tcPr>
            <w:tcW w:w="1842" w:type="dxa"/>
            <w:vMerge/>
            <w:shd w:val="clear" w:color="auto" w:fill="auto"/>
          </w:tcPr>
          <w:p w14:paraId="17E25736" w14:textId="77777777" w:rsidR="000643E5" w:rsidRPr="003668CB" w:rsidRDefault="000643E5" w:rsidP="003668CB">
            <w:pPr>
              <w:keepNext/>
              <w:spacing w:before="40" w:after="120"/>
              <w:ind w:right="113"/>
            </w:pPr>
          </w:p>
        </w:tc>
        <w:tc>
          <w:tcPr>
            <w:tcW w:w="1700" w:type="dxa"/>
            <w:vMerge/>
            <w:shd w:val="clear" w:color="auto" w:fill="auto"/>
          </w:tcPr>
          <w:p w14:paraId="61387959" w14:textId="77777777" w:rsidR="000643E5" w:rsidRPr="003668CB" w:rsidRDefault="000643E5" w:rsidP="003668CB">
            <w:pPr>
              <w:keepNext/>
              <w:spacing w:before="40" w:after="120"/>
              <w:ind w:right="113"/>
            </w:pPr>
          </w:p>
        </w:tc>
      </w:tr>
      <w:tr w:rsidR="000643E5" w:rsidRPr="003668CB" w14:paraId="79CE8EC2" w14:textId="77777777" w:rsidTr="003668CB">
        <w:tc>
          <w:tcPr>
            <w:tcW w:w="1418" w:type="dxa"/>
            <w:vMerge/>
            <w:tcBorders>
              <w:bottom w:val="single" w:sz="12" w:space="0" w:color="auto"/>
            </w:tcBorders>
            <w:shd w:val="clear" w:color="auto" w:fill="auto"/>
          </w:tcPr>
          <w:p w14:paraId="2714BB9F" w14:textId="77777777" w:rsidR="000643E5" w:rsidRPr="003668CB" w:rsidRDefault="000643E5" w:rsidP="003668CB">
            <w:pPr>
              <w:keepNext/>
              <w:spacing w:before="40" w:after="120"/>
              <w:ind w:right="113"/>
            </w:pPr>
          </w:p>
        </w:tc>
        <w:tc>
          <w:tcPr>
            <w:tcW w:w="709" w:type="dxa"/>
            <w:tcBorders>
              <w:bottom w:val="single" w:sz="12" w:space="0" w:color="auto"/>
            </w:tcBorders>
            <w:shd w:val="clear" w:color="auto" w:fill="auto"/>
          </w:tcPr>
          <w:p w14:paraId="616E7E2E" w14:textId="14BD156A" w:rsidR="000643E5" w:rsidRPr="003668CB" w:rsidRDefault="000643E5" w:rsidP="003668CB">
            <w:pPr>
              <w:keepNext/>
              <w:spacing w:before="40" w:after="120"/>
              <w:ind w:right="113"/>
            </w:pPr>
            <w:r w:rsidRPr="003668CB">
              <w:rPr>
                <w:lang w:val="fr-FR"/>
              </w:rPr>
              <w:t>2018</w:t>
            </w:r>
          </w:p>
        </w:tc>
        <w:tc>
          <w:tcPr>
            <w:tcW w:w="1701" w:type="dxa"/>
            <w:vMerge/>
            <w:tcBorders>
              <w:bottom w:val="single" w:sz="12" w:space="0" w:color="auto"/>
            </w:tcBorders>
            <w:shd w:val="clear" w:color="auto" w:fill="auto"/>
          </w:tcPr>
          <w:p w14:paraId="66EB861F" w14:textId="77777777" w:rsidR="000643E5" w:rsidRPr="003668CB" w:rsidRDefault="000643E5" w:rsidP="003668CB">
            <w:pPr>
              <w:keepNext/>
              <w:spacing w:before="40" w:after="120"/>
              <w:ind w:right="113"/>
            </w:pPr>
          </w:p>
        </w:tc>
        <w:tc>
          <w:tcPr>
            <w:tcW w:w="1842" w:type="dxa"/>
            <w:vMerge/>
            <w:tcBorders>
              <w:bottom w:val="single" w:sz="12" w:space="0" w:color="auto"/>
            </w:tcBorders>
            <w:shd w:val="clear" w:color="auto" w:fill="auto"/>
          </w:tcPr>
          <w:p w14:paraId="7485442D" w14:textId="77777777" w:rsidR="000643E5" w:rsidRPr="003668CB" w:rsidRDefault="000643E5" w:rsidP="003668CB">
            <w:pPr>
              <w:keepNext/>
              <w:spacing w:before="40" w:after="120"/>
              <w:ind w:right="113"/>
            </w:pPr>
          </w:p>
        </w:tc>
        <w:tc>
          <w:tcPr>
            <w:tcW w:w="1700" w:type="dxa"/>
            <w:vMerge/>
            <w:tcBorders>
              <w:bottom w:val="single" w:sz="12" w:space="0" w:color="auto"/>
            </w:tcBorders>
            <w:shd w:val="clear" w:color="auto" w:fill="auto"/>
          </w:tcPr>
          <w:p w14:paraId="37956849" w14:textId="77777777" w:rsidR="000643E5" w:rsidRPr="003668CB" w:rsidRDefault="000643E5" w:rsidP="003668CB">
            <w:pPr>
              <w:keepNext/>
              <w:spacing w:before="40" w:after="120"/>
              <w:ind w:right="113"/>
            </w:pPr>
          </w:p>
        </w:tc>
      </w:tr>
    </w:tbl>
    <w:p w14:paraId="1E894A72" w14:textId="4100371D" w:rsidR="00D005FA" w:rsidRDefault="00D005FA" w:rsidP="003668CB">
      <w:pPr>
        <w:pStyle w:val="H23G"/>
        <w:rPr>
          <w:lang w:val="fr-FR"/>
        </w:rPr>
      </w:pPr>
      <w:r w:rsidRPr="00310D49">
        <w:rPr>
          <w:lang w:val="fr-FR"/>
        </w:rPr>
        <w:tab/>
      </w:r>
      <w:r w:rsidRPr="00310D49">
        <w:rPr>
          <w:lang w:val="fr-FR"/>
        </w:rPr>
        <w:tab/>
      </w:r>
      <w:r w:rsidRPr="003668CB">
        <w:rPr>
          <w:lang w:val="fr-FR"/>
        </w:rPr>
        <w:t xml:space="preserve">Inspection des établissements pénitentiaires </w:t>
      </w:r>
      <w:r w:rsidR="003668CB">
        <w:rPr>
          <w:lang w:val="fr-FR"/>
        </w:rPr>
        <w:br/>
      </w:r>
      <w:r w:rsidRPr="003668CB">
        <w:rPr>
          <w:lang w:val="fr-FR"/>
        </w:rPr>
        <w:t>par les institutions gouvernementales/la police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1700"/>
      </w:tblGrid>
      <w:tr w:rsidR="007B18ED" w:rsidRPr="007B18ED" w14:paraId="3C3F646F" w14:textId="77777777" w:rsidTr="007B18ED">
        <w:trPr>
          <w:tblHeader/>
        </w:trPr>
        <w:tc>
          <w:tcPr>
            <w:tcW w:w="4395" w:type="dxa"/>
            <w:tcBorders>
              <w:top w:val="single" w:sz="4" w:space="0" w:color="auto"/>
              <w:bottom w:val="single" w:sz="12" w:space="0" w:color="auto"/>
            </w:tcBorders>
            <w:shd w:val="clear" w:color="auto" w:fill="auto"/>
            <w:vAlign w:val="bottom"/>
          </w:tcPr>
          <w:p w14:paraId="7190A548" w14:textId="6A39D4A8" w:rsidR="003668CB" w:rsidRPr="007B18ED" w:rsidRDefault="003668CB" w:rsidP="007B18ED">
            <w:pPr>
              <w:spacing w:before="80" w:after="80" w:line="200" w:lineRule="exact"/>
              <w:ind w:right="113"/>
              <w:rPr>
                <w:i/>
                <w:sz w:val="16"/>
              </w:rPr>
            </w:pPr>
            <w:r w:rsidRPr="007B18ED">
              <w:rPr>
                <w:i/>
                <w:sz w:val="16"/>
                <w:lang w:val="fr-FR"/>
              </w:rPr>
              <w:t>Institution</w:t>
            </w:r>
          </w:p>
        </w:tc>
        <w:tc>
          <w:tcPr>
            <w:tcW w:w="1275" w:type="dxa"/>
            <w:tcBorders>
              <w:top w:val="single" w:sz="4" w:space="0" w:color="auto"/>
              <w:bottom w:val="single" w:sz="12" w:space="0" w:color="auto"/>
            </w:tcBorders>
            <w:shd w:val="clear" w:color="auto" w:fill="auto"/>
            <w:vAlign w:val="bottom"/>
          </w:tcPr>
          <w:p w14:paraId="5521B18B" w14:textId="723C9975" w:rsidR="003668CB" w:rsidRPr="007B18ED" w:rsidRDefault="003668CB" w:rsidP="007B18ED">
            <w:pPr>
              <w:spacing w:before="80" w:after="80" w:line="200" w:lineRule="exact"/>
              <w:ind w:right="113"/>
              <w:rPr>
                <w:i/>
                <w:sz w:val="16"/>
              </w:rPr>
            </w:pPr>
            <w:r w:rsidRPr="007B18ED">
              <w:rPr>
                <w:i/>
                <w:sz w:val="16"/>
                <w:lang w:val="fr-FR"/>
              </w:rPr>
              <w:t>Année</w:t>
            </w:r>
          </w:p>
        </w:tc>
        <w:tc>
          <w:tcPr>
            <w:tcW w:w="1700" w:type="dxa"/>
            <w:tcBorders>
              <w:top w:val="single" w:sz="4" w:space="0" w:color="auto"/>
              <w:bottom w:val="single" w:sz="12" w:space="0" w:color="auto"/>
            </w:tcBorders>
            <w:shd w:val="clear" w:color="auto" w:fill="auto"/>
            <w:vAlign w:val="bottom"/>
          </w:tcPr>
          <w:p w14:paraId="08A4FB0A" w14:textId="381A4E3C" w:rsidR="003668CB" w:rsidRPr="007B18ED" w:rsidRDefault="003668CB" w:rsidP="007B18ED">
            <w:pPr>
              <w:spacing w:before="80" w:after="80" w:line="200" w:lineRule="exact"/>
              <w:ind w:right="113"/>
              <w:rPr>
                <w:i/>
                <w:sz w:val="16"/>
              </w:rPr>
            </w:pPr>
            <w:r w:rsidRPr="007B18ED">
              <w:rPr>
                <w:i/>
                <w:sz w:val="16"/>
                <w:lang w:val="fr-FR"/>
              </w:rPr>
              <w:t>Nombre de visites</w:t>
            </w:r>
          </w:p>
        </w:tc>
      </w:tr>
      <w:tr w:rsidR="007B18ED" w:rsidRPr="007B18ED" w14:paraId="24DCF01C" w14:textId="77777777" w:rsidTr="007B18ED">
        <w:trPr>
          <w:trHeight w:hRule="exact" w:val="113"/>
        </w:trPr>
        <w:tc>
          <w:tcPr>
            <w:tcW w:w="4395" w:type="dxa"/>
            <w:tcBorders>
              <w:top w:val="single" w:sz="12" w:space="0" w:color="auto"/>
            </w:tcBorders>
            <w:shd w:val="clear" w:color="auto" w:fill="auto"/>
          </w:tcPr>
          <w:p w14:paraId="66255E1C" w14:textId="77777777" w:rsidR="007B18ED" w:rsidRPr="007B18ED" w:rsidRDefault="007B18ED" w:rsidP="007B18ED">
            <w:pPr>
              <w:spacing w:before="40" w:after="120"/>
              <w:ind w:right="113"/>
              <w:rPr>
                <w:lang w:val="fr-FR"/>
              </w:rPr>
            </w:pPr>
          </w:p>
        </w:tc>
        <w:tc>
          <w:tcPr>
            <w:tcW w:w="1275" w:type="dxa"/>
            <w:tcBorders>
              <w:top w:val="single" w:sz="12" w:space="0" w:color="auto"/>
            </w:tcBorders>
            <w:shd w:val="clear" w:color="auto" w:fill="auto"/>
          </w:tcPr>
          <w:p w14:paraId="429858AD" w14:textId="77777777" w:rsidR="007B18ED" w:rsidRPr="007B18ED" w:rsidRDefault="007B18ED" w:rsidP="007B18ED">
            <w:pPr>
              <w:spacing w:before="40" w:after="120"/>
              <w:ind w:right="113"/>
              <w:rPr>
                <w:lang w:val="fr-FR"/>
              </w:rPr>
            </w:pPr>
          </w:p>
        </w:tc>
        <w:tc>
          <w:tcPr>
            <w:tcW w:w="1700" w:type="dxa"/>
            <w:tcBorders>
              <w:top w:val="single" w:sz="12" w:space="0" w:color="auto"/>
            </w:tcBorders>
            <w:shd w:val="clear" w:color="auto" w:fill="auto"/>
          </w:tcPr>
          <w:p w14:paraId="698EC308" w14:textId="77777777" w:rsidR="007B18ED" w:rsidRPr="007B18ED" w:rsidRDefault="007B18ED" w:rsidP="007B18ED">
            <w:pPr>
              <w:spacing w:before="40" w:after="120"/>
              <w:ind w:right="113"/>
              <w:rPr>
                <w:lang w:val="fr-FR"/>
              </w:rPr>
            </w:pPr>
          </w:p>
        </w:tc>
      </w:tr>
      <w:tr w:rsidR="007B18ED" w:rsidRPr="007B18ED" w14:paraId="0F86C000" w14:textId="77777777" w:rsidTr="007B18ED">
        <w:tc>
          <w:tcPr>
            <w:tcW w:w="4395" w:type="dxa"/>
            <w:vMerge w:val="restart"/>
            <w:shd w:val="clear" w:color="auto" w:fill="auto"/>
            <w:vAlign w:val="center"/>
          </w:tcPr>
          <w:p w14:paraId="66FCB9D5" w14:textId="767D7EB1" w:rsidR="007B18ED" w:rsidRPr="007B18ED" w:rsidRDefault="007B18ED" w:rsidP="007B18ED">
            <w:pPr>
              <w:spacing w:before="40" w:after="120"/>
              <w:ind w:right="113"/>
            </w:pPr>
            <w:r w:rsidRPr="007B18ED">
              <w:rPr>
                <w:lang w:val="fr-FR"/>
              </w:rPr>
              <w:t>Ministère de la justice</w:t>
            </w:r>
          </w:p>
        </w:tc>
        <w:tc>
          <w:tcPr>
            <w:tcW w:w="1275" w:type="dxa"/>
            <w:shd w:val="clear" w:color="auto" w:fill="auto"/>
          </w:tcPr>
          <w:p w14:paraId="08721379" w14:textId="132261B4" w:rsidR="007B18ED" w:rsidRPr="007B18ED" w:rsidRDefault="007B18ED" w:rsidP="007B18ED">
            <w:pPr>
              <w:spacing w:before="40" w:after="120"/>
              <w:ind w:right="113"/>
            </w:pPr>
            <w:r w:rsidRPr="007B18ED">
              <w:rPr>
                <w:lang w:val="fr-FR"/>
              </w:rPr>
              <w:t>2015</w:t>
            </w:r>
          </w:p>
        </w:tc>
        <w:tc>
          <w:tcPr>
            <w:tcW w:w="1700" w:type="dxa"/>
            <w:shd w:val="clear" w:color="auto" w:fill="auto"/>
          </w:tcPr>
          <w:p w14:paraId="1B61BC6F" w14:textId="413A2263" w:rsidR="007B18ED" w:rsidRPr="007B18ED" w:rsidRDefault="007B18ED" w:rsidP="007B18ED">
            <w:pPr>
              <w:spacing w:before="40" w:after="120"/>
              <w:ind w:right="113"/>
            </w:pPr>
            <w:r w:rsidRPr="007B18ED">
              <w:t>1</w:t>
            </w:r>
          </w:p>
        </w:tc>
      </w:tr>
      <w:tr w:rsidR="007B18ED" w:rsidRPr="007B18ED" w14:paraId="3FAAEBC4" w14:textId="77777777" w:rsidTr="007B18ED">
        <w:tc>
          <w:tcPr>
            <w:tcW w:w="4395" w:type="dxa"/>
            <w:vMerge/>
            <w:shd w:val="clear" w:color="auto" w:fill="auto"/>
          </w:tcPr>
          <w:p w14:paraId="3F807307" w14:textId="77777777" w:rsidR="007B18ED" w:rsidRPr="007B18ED" w:rsidRDefault="007B18ED" w:rsidP="007B18ED">
            <w:pPr>
              <w:spacing w:before="40" w:after="120"/>
              <w:ind w:right="113"/>
            </w:pPr>
          </w:p>
        </w:tc>
        <w:tc>
          <w:tcPr>
            <w:tcW w:w="1275" w:type="dxa"/>
            <w:shd w:val="clear" w:color="auto" w:fill="auto"/>
          </w:tcPr>
          <w:p w14:paraId="3DC9A1C5" w14:textId="42C288C9" w:rsidR="007B18ED" w:rsidRPr="007B18ED" w:rsidRDefault="007B18ED" w:rsidP="007B18ED">
            <w:pPr>
              <w:spacing w:before="40" w:after="120"/>
              <w:ind w:right="113"/>
            </w:pPr>
            <w:r w:rsidRPr="007B18ED">
              <w:rPr>
                <w:lang w:val="fr-FR"/>
              </w:rPr>
              <w:t>2017</w:t>
            </w:r>
          </w:p>
        </w:tc>
        <w:tc>
          <w:tcPr>
            <w:tcW w:w="1700" w:type="dxa"/>
            <w:shd w:val="clear" w:color="auto" w:fill="auto"/>
          </w:tcPr>
          <w:p w14:paraId="7B4FCE51" w14:textId="6E45F7D2" w:rsidR="007B18ED" w:rsidRPr="007B18ED" w:rsidRDefault="007B18ED" w:rsidP="007B18ED">
            <w:pPr>
              <w:spacing w:before="40" w:after="120"/>
              <w:ind w:right="113"/>
            </w:pPr>
            <w:r w:rsidRPr="007B18ED">
              <w:t>2</w:t>
            </w:r>
          </w:p>
        </w:tc>
      </w:tr>
      <w:tr w:rsidR="007B18ED" w:rsidRPr="007B18ED" w14:paraId="3E56DF48" w14:textId="77777777" w:rsidTr="007B18ED">
        <w:tc>
          <w:tcPr>
            <w:tcW w:w="4395" w:type="dxa"/>
            <w:vMerge w:val="restart"/>
            <w:shd w:val="clear" w:color="auto" w:fill="auto"/>
            <w:vAlign w:val="center"/>
          </w:tcPr>
          <w:p w14:paraId="1B239F3D" w14:textId="5ABE2311" w:rsidR="007B18ED" w:rsidRPr="007B18ED" w:rsidRDefault="007B18ED" w:rsidP="007B18ED">
            <w:pPr>
              <w:spacing w:before="40" w:after="120"/>
              <w:ind w:right="113"/>
            </w:pPr>
            <w:r w:rsidRPr="007B18ED">
              <w:rPr>
                <w:lang w:val="fr-FR"/>
              </w:rPr>
              <w:t>Conseil supérieur de la magistrature</w:t>
            </w:r>
          </w:p>
        </w:tc>
        <w:tc>
          <w:tcPr>
            <w:tcW w:w="1275" w:type="dxa"/>
            <w:shd w:val="clear" w:color="auto" w:fill="auto"/>
          </w:tcPr>
          <w:p w14:paraId="40A0A341" w14:textId="6BB6E187" w:rsidR="007B18ED" w:rsidRPr="007B18ED" w:rsidRDefault="007B18ED" w:rsidP="007B18ED">
            <w:pPr>
              <w:spacing w:before="40" w:after="120"/>
              <w:ind w:right="113"/>
            </w:pPr>
            <w:r w:rsidRPr="007B18ED">
              <w:rPr>
                <w:lang w:val="fr-FR"/>
              </w:rPr>
              <w:t>2014</w:t>
            </w:r>
          </w:p>
        </w:tc>
        <w:tc>
          <w:tcPr>
            <w:tcW w:w="1700" w:type="dxa"/>
            <w:shd w:val="clear" w:color="auto" w:fill="auto"/>
          </w:tcPr>
          <w:p w14:paraId="6DA3C203" w14:textId="14BE1002" w:rsidR="007B18ED" w:rsidRPr="007B18ED" w:rsidRDefault="007B18ED" w:rsidP="007B18ED">
            <w:pPr>
              <w:spacing w:before="40" w:after="120"/>
              <w:ind w:right="113"/>
            </w:pPr>
            <w:r w:rsidRPr="007B18ED">
              <w:t>14</w:t>
            </w:r>
          </w:p>
        </w:tc>
      </w:tr>
      <w:tr w:rsidR="007B18ED" w:rsidRPr="007B18ED" w14:paraId="7E27E3EC" w14:textId="77777777" w:rsidTr="007B18ED">
        <w:tc>
          <w:tcPr>
            <w:tcW w:w="4395" w:type="dxa"/>
            <w:vMerge/>
            <w:shd w:val="clear" w:color="auto" w:fill="auto"/>
          </w:tcPr>
          <w:p w14:paraId="25C0A01B" w14:textId="77777777" w:rsidR="007B18ED" w:rsidRPr="007B18ED" w:rsidRDefault="007B18ED" w:rsidP="007B18ED">
            <w:pPr>
              <w:spacing w:before="40" w:after="120"/>
              <w:ind w:right="113"/>
            </w:pPr>
          </w:p>
        </w:tc>
        <w:tc>
          <w:tcPr>
            <w:tcW w:w="1275" w:type="dxa"/>
            <w:shd w:val="clear" w:color="auto" w:fill="auto"/>
          </w:tcPr>
          <w:p w14:paraId="69CAE234" w14:textId="2F8707C5" w:rsidR="007B18ED" w:rsidRPr="007B18ED" w:rsidRDefault="007B18ED" w:rsidP="007B18ED">
            <w:pPr>
              <w:spacing w:before="40" w:after="120"/>
              <w:ind w:right="113"/>
            </w:pPr>
            <w:r w:rsidRPr="007B18ED">
              <w:rPr>
                <w:lang w:val="fr-FR"/>
              </w:rPr>
              <w:t>2015</w:t>
            </w:r>
          </w:p>
        </w:tc>
        <w:tc>
          <w:tcPr>
            <w:tcW w:w="1700" w:type="dxa"/>
            <w:shd w:val="clear" w:color="auto" w:fill="auto"/>
          </w:tcPr>
          <w:p w14:paraId="2754E026" w14:textId="6BF71D19" w:rsidR="007B18ED" w:rsidRPr="007B18ED" w:rsidRDefault="007B18ED" w:rsidP="007B18ED">
            <w:pPr>
              <w:spacing w:before="40" w:after="120"/>
              <w:ind w:right="113"/>
            </w:pPr>
            <w:r w:rsidRPr="007B18ED">
              <w:t>16</w:t>
            </w:r>
          </w:p>
        </w:tc>
      </w:tr>
      <w:tr w:rsidR="007B18ED" w:rsidRPr="007B18ED" w14:paraId="316AD64A" w14:textId="77777777" w:rsidTr="007B18ED">
        <w:tc>
          <w:tcPr>
            <w:tcW w:w="4395" w:type="dxa"/>
            <w:vMerge/>
            <w:shd w:val="clear" w:color="auto" w:fill="auto"/>
          </w:tcPr>
          <w:p w14:paraId="5B5FD7EF" w14:textId="77777777" w:rsidR="007B18ED" w:rsidRPr="007B18ED" w:rsidRDefault="007B18ED" w:rsidP="007B18ED">
            <w:pPr>
              <w:spacing w:before="40" w:after="120"/>
              <w:ind w:right="113"/>
            </w:pPr>
          </w:p>
        </w:tc>
        <w:tc>
          <w:tcPr>
            <w:tcW w:w="1275" w:type="dxa"/>
            <w:shd w:val="clear" w:color="auto" w:fill="auto"/>
          </w:tcPr>
          <w:p w14:paraId="06EBC7C4" w14:textId="35C93450" w:rsidR="007B18ED" w:rsidRPr="007B18ED" w:rsidRDefault="007B18ED" w:rsidP="007B18ED">
            <w:pPr>
              <w:spacing w:before="40" w:after="120"/>
              <w:ind w:right="113"/>
            </w:pPr>
            <w:r w:rsidRPr="007B18ED">
              <w:rPr>
                <w:lang w:val="fr-FR"/>
              </w:rPr>
              <w:t>2016</w:t>
            </w:r>
          </w:p>
        </w:tc>
        <w:tc>
          <w:tcPr>
            <w:tcW w:w="1700" w:type="dxa"/>
            <w:shd w:val="clear" w:color="auto" w:fill="auto"/>
          </w:tcPr>
          <w:p w14:paraId="1E5B58D0" w14:textId="4274E708" w:rsidR="007B18ED" w:rsidRPr="007B18ED" w:rsidRDefault="007B18ED" w:rsidP="007B18ED">
            <w:pPr>
              <w:spacing w:before="40" w:after="120"/>
              <w:ind w:right="113"/>
            </w:pPr>
            <w:r w:rsidRPr="007B18ED">
              <w:t>15</w:t>
            </w:r>
          </w:p>
        </w:tc>
      </w:tr>
      <w:tr w:rsidR="007B18ED" w:rsidRPr="007B18ED" w14:paraId="090A7A2D" w14:textId="77777777" w:rsidTr="007B18ED">
        <w:tc>
          <w:tcPr>
            <w:tcW w:w="4395" w:type="dxa"/>
            <w:vMerge/>
            <w:shd w:val="clear" w:color="auto" w:fill="auto"/>
          </w:tcPr>
          <w:p w14:paraId="6AABAD98" w14:textId="77777777" w:rsidR="007B18ED" w:rsidRPr="007B18ED" w:rsidRDefault="007B18ED" w:rsidP="007B18ED">
            <w:pPr>
              <w:spacing w:before="40" w:after="120"/>
              <w:ind w:right="113"/>
            </w:pPr>
          </w:p>
        </w:tc>
        <w:tc>
          <w:tcPr>
            <w:tcW w:w="1275" w:type="dxa"/>
            <w:shd w:val="clear" w:color="auto" w:fill="auto"/>
          </w:tcPr>
          <w:p w14:paraId="572FA2D1" w14:textId="5E4946FE" w:rsidR="007B18ED" w:rsidRPr="007B18ED" w:rsidRDefault="007B18ED" w:rsidP="007B18ED">
            <w:pPr>
              <w:spacing w:before="40" w:after="120"/>
              <w:ind w:right="113"/>
            </w:pPr>
            <w:r w:rsidRPr="007B18ED">
              <w:rPr>
                <w:lang w:val="fr-FR"/>
              </w:rPr>
              <w:t>2017</w:t>
            </w:r>
          </w:p>
        </w:tc>
        <w:tc>
          <w:tcPr>
            <w:tcW w:w="1700" w:type="dxa"/>
            <w:shd w:val="clear" w:color="auto" w:fill="auto"/>
          </w:tcPr>
          <w:p w14:paraId="59861CC4" w14:textId="5A0CE6D0" w:rsidR="007B18ED" w:rsidRPr="007B18ED" w:rsidRDefault="007B18ED" w:rsidP="007B18ED">
            <w:pPr>
              <w:spacing w:before="40" w:after="120"/>
              <w:ind w:right="113"/>
            </w:pPr>
            <w:r w:rsidRPr="007B18ED">
              <w:t>19</w:t>
            </w:r>
          </w:p>
        </w:tc>
      </w:tr>
      <w:tr w:rsidR="007B18ED" w:rsidRPr="007B18ED" w14:paraId="2C88579B" w14:textId="77777777" w:rsidTr="007B18ED">
        <w:tc>
          <w:tcPr>
            <w:tcW w:w="4395" w:type="dxa"/>
            <w:vMerge w:val="restart"/>
            <w:shd w:val="clear" w:color="auto" w:fill="auto"/>
            <w:vAlign w:val="center"/>
          </w:tcPr>
          <w:p w14:paraId="71FDC432" w14:textId="4FFFDCEE" w:rsidR="007B18ED" w:rsidRPr="007B18ED" w:rsidRDefault="007B18ED" w:rsidP="007B18ED">
            <w:pPr>
              <w:spacing w:before="40" w:after="120"/>
              <w:ind w:right="113"/>
            </w:pPr>
            <w:r w:rsidRPr="007B18ED">
              <w:rPr>
                <w:lang w:val="fr-FR"/>
              </w:rPr>
              <w:t>Bureau du Procureur général/Chefs de parquet</w:t>
            </w:r>
          </w:p>
        </w:tc>
        <w:tc>
          <w:tcPr>
            <w:tcW w:w="1275" w:type="dxa"/>
            <w:shd w:val="clear" w:color="auto" w:fill="auto"/>
          </w:tcPr>
          <w:p w14:paraId="2F5CA6AE" w14:textId="65CAB0A4" w:rsidR="007B18ED" w:rsidRPr="007B18ED" w:rsidRDefault="007B18ED" w:rsidP="007B18ED">
            <w:pPr>
              <w:spacing w:before="40" w:after="120"/>
              <w:ind w:right="113"/>
            </w:pPr>
            <w:r w:rsidRPr="007B18ED">
              <w:t>2014</w:t>
            </w:r>
          </w:p>
        </w:tc>
        <w:tc>
          <w:tcPr>
            <w:tcW w:w="1700" w:type="dxa"/>
            <w:shd w:val="clear" w:color="auto" w:fill="auto"/>
          </w:tcPr>
          <w:p w14:paraId="10732613" w14:textId="4901836B" w:rsidR="007B18ED" w:rsidRPr="007B18ED" w:rsidRDefault="007B18ED" w:rsidP="007B18ED">
            <w:pPr>
              <w:spacing w:before="40" w:after="120"/>
              <w:ind w:right="113"/>
            </w:pPr>
            <w:r w:rsidRPr="007B18ED">
              <w:t>14</w:t>
            </w:r>
          </w:p>
        </w:tc>
      </w:tr>
      <w:tr w:rsidR="007B18ED" w:rsidRPr="007B18ED" w14:paraId="7763FE3C" w14:textId="77777777" w:rsidTr="007B18ED">
        <w:tc>
          <w:tcPr>
            <w:tcW w:w="4395" w:type="dxa"/>
            <w:vMerge/>
            <w:shd w:val="clear" w:color="auto" w:fill="auto"/>
          </w:tcPr>
          <w:p w14:paraId="0595B1B3" w14:textId="77777777" w:rsidR="007B18ED" w:rsidRPr="007B18ED" w:rsidRDefault="007B18ED" w:rsidP="007B18ED">
            <w:pPr>
              <w:spacing w:before="40" w:after="120"/>
              <w:ind w:right="113"/>
            </w:pPr>
          </w:p>
        </w:tc>
        <w:tc>
          <w:tcPr>
            <w:tcW w:w="1275" w:type="dxa"/>
            <w:shd w:val="clear" w:color="auto" w:fill="auto"/>
          </w:tcPr>
          <w:p w14:paraId="5ACED214" w14:textId="436F4A6A" w:rsidR="007B18ED" w:rsidRPr="007B18ED" w:rsidRDefault="007B18ED" w:rsidP="007B18ED">
            <w:pPr>
              <w:spacing w:before="40" w:after="120"/>
              <w:ind w:right="113"/>
            </w:pPr>
            <w:r w:rsidRPr="007B18ED">
              <w:t>2015</w:t>
            </w:r>
          </w:p>
        </w:tc>
        <w:tc>
          <w:tcPr>
            <w:tcW w:w="1700" w:type="dxa"/>
            <w:shd w:val="clear" w:color="auto" w:fill="auto"/>
          </w:tcPr>
          <w:p w14:paraId="4B5E2FFE" w14:textId="6913A411" w:rsidR="007B18ED" w:rsidRPr="007B18ED" w:rsidRDefault="007B18ED" w:rsidP="007B18ED">
            <w:pPr>
              <w:spacing w:before="40" w:after="120"/>
              <w:ind w:right="113"/>
            </w:pPr>
            <w:r w:rsidRPr="007B18ED">
              <w:t>11</w:t>
            </w:r>
          </w:p>
        </w:tc>
      </w:tr>
      <w:tr w:rsidR="007B18ED" w:rsidRPr="007B18ED" w14:paraId="0F9FA6CD" w14:textId="77777777" w:rsidTr="007B18ED">
        <w:tc>
          <w:tcPr>
            <w:tcW w:w="4395" w:type="dxa"/>
            <w:vMerge/>
            <w:shd w:val="clear" w:color="auto" w:fill="auto"/>
          </w:tcPr>
          <w:p w14:paraId="521D3144" w14:textId="728AC04A" w:rsidR="007B18ED" w:rsidRPr="007B18ED" w:rsidRDefault="007B18ED" w:rsidP="007B18ED">
            <w:pPr>
              <w:spacing w:before="40" w:after="120"/>
              <w:ind w:right="113"/>
            </w:pPr>
          </w:p>
        </w:tc>
        <w:tc>
          <w:tcPr>
            <w:tcW w:w="1275" w:type="dxa"/>
            <w:shd w:val="clear" w:color="auto" w:fill="auto"/>
          </w:tcPr>
          <w:p w14:paraId="44F7E614" w14:textId="20B27880" w:rsidR="007B18ED" w:rsidRPr="007B18ED" w:rsidRDefault="007B18ED" w:rsidP="007B18ED">
            <w:pPr>
              <w:spacing w:before="40" w:after="120"/>
              <w:ind w:right="113"/>
            </w:pPr>
            <w:r w:rsidRPr="007B18ED">
              <w:t>2016</w:t>
            </w:r>
          </w:p>
        </w:tc>
        <w:tc>
          <w:tcPr>
            <w:tcW w:w="1700" w:type="dxa"/>
            <w:shd w:val="clear" w:color="auto" w:fill="auto"/>
          </w:tcPr>
          <w:p w14:paraId="75426813" w14:textId="172667A9" w:rsidR="007B18ED" w:rsidRPr="007B18ED" w:rsidRDefault="007B18ED" w:rsidP="007B18ED">
            <w:pPr>
              <w:spacing w:before="40" w:after="120"/>
              <w:ind w:right="113"/>
            </w:pPr>
            <w:r w:rsidRPr="007B18ED">
              <w:t>25</w:t>
            </w:r>
          </w:p>
        </w:tc>
      </w:tr>
      <w:tr w:rsidR="007B18ED" w:rsidRPr="007B18ED" w14:paraId="3F7EB676" w14:textId="77777777" w:rsidTr="007B18ED">
        <w:tc>
          <w:tcPr>
            <w:tcW w:w="4395" w:type="dxa"/>
            <w:vMerge/>
            <w:tcBorders>
              <w:bottom w:val="single" w:sz="12" w:space="0" w:color="auto"/>
            </w:tcBorders>
            <w:shd w:val="clear" w:color="auto" w:fill="auto"/>
          </w:tcPr>
          <w:p w14:paraId="6D188523" w14:textId="77777777" w:rsidR="007B18ED" w:rsidRPr="007B18ED" w:rsidRDefault="007B18ED" w:rsidP="007B18ED">
            <w:pPr>
              <w:spacing w:before="40" w:after="120"/>
              <w:ind w:right="113"/>
              <w:rPr>
                <w:lang w:val="fr-FR"/>
              </w:rPr>
            </w:pPr>
          </w:p>
        </w:tc>
        <w:tc>
          <w:tcPr>
            <w:tcW w:w="1275" w:type="dxa"/>
            <w:tcBorders>
              <w:bottom w:val="single" w:sz="12" w:space="0" w:color="auto"/>
            </w:tcBorders>
            <w:shd w:val="clear" w:color="auto" w:fill="auto"/>
          </w:tcPr>
          <w:p w14:paraId="60B889B2" w14:textId="4D7D2CC8" w:rsidR="007B18ED" w:rsidRPr="007B18ED" w:rsidRDefault="007B18ED" w:rsidP="007B18ED">
            <w:pPr>
              <w:spacing w:before="40" w:after="120"/>
              <w:ind w:right="113"/>
            </w:pPr>
            <w:r w:rsidRPr="007B18ED">
              <w:t>2017</w:t>
            </w:r>
          </w:p>
        </w:tc>
        <w:tc>
          <w:tcPr>
            <w:tcW w:w="1700" w:type="dxa"/>
            <w:tcBorders>
              <w:bottom w:val="single" w:sz="12" w:space="0" w:color="auto"/>
            </w:tcBorders>
            <w:shd w:val="clear" w:color="auto" w:fill="auto"/>
          </w:tcPr>
          <w:p w14:paraId="228766C7" w14:textId="7DFA3F56" w:rsidR="007B18ED" w:rsidRPr="007B18ED" w:rsidRDefault="007B18ED" w:rsidP="007B18ED">
            <w:pPr>
              <w:spacing w:before="40" w:after="120"/>
              <w:ind w:right="113"/>
            </w:pPr>
            <w:r w:rsidRPr="007B18ED">
              <w:t>36</w:t>
            </w:r>
          </w:p>
        </w:tc>
      </w:tr>
    </w:tbl>
    <w:p w14:paraId="4413B49F" w14:textId="480CB74E" w:rsidR="00D005FA" w:rsidRDefault="00D005FA" w:rsidP="007B18ED">
      <w:pPr>
        <w:pStyle w:val="H23G"/>
        <w:rPr>
          <w:lang w:val="fr-FR"/>
        </w:rPr>
      </w:pPr>
      <w:r w:rsidRPr="00310D49">
        <w:rPr>
          <w:lang w:val="fr-FR"/>
        </w:rPr>
        <w:tab/>
      </w:r>
      <w:r w:rsidRPr="00310D49">
        <w:rPr>
          <w:lang w:val="fr-FR"/>
        </w:rPr>
        <w:tab/>
        <w:t xml:space="preserve">Inspection et visite des établissements pénitentiaires </w:t>
      </w:r>
      <w:r w:rsidR="007B18ED">
        <w:rPr>
          <w:lang w:val="fr-FR"/>
        </w:rPr>
        <w:br/>
      </w:r>
      <w:r w:rsidRPr="00310D49">
        <w:rPr>
          <w:lang w:val="fr-FR"/>
        </w:rPr>
        <w:t>par la Commission indépendante pour les droits de l</w:t>
      </w:r>
      <w:r w:rsidR="0035332C">
        <w:rPr>
          <w:lang w:val="fr-FR"/>
        </w:rPr>
        <w:t>’</w:t>
      </w:r>
      <w:r w:rsidRPr="00310D49">
        <w:rPr>
          <w:lang w:val="fr-FR"/>
        </w:rPr>
        <w:t>homme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260"/>
        <w:gridCol w:w="3259"/>
      </w:tblGrid>
      <w:tr w:rsidR="007B18ED" w:rsidRPr="007B18ED" w14:paraId="50A12556" w14:textId="77777777" w:rsidTr="00D26D12">
        <w:trPr>
          <w:tblHeader/>
        </w:trPr>
        <w:tc>
          <w:tcPr>
            <w:tcW w:w="851" w:type="dxa"/>
            <w:tcBorders>
              <w:top w:val="single" w:sz="4" w:space="0" w:color="auto"/>
              <w:bottom w:val="single" w:sz="12" w:space="0" w:color="auto"/>
            </w:tcBorders>
            <w:shd w:val="clear" w:color="auto" w:fill="auto"/>
            <w:vAlign w:val="bottom"/>
          </w:tcPr>
          <w:p w14:paraId="73BDADA4" w14:textId="3149D4FE" w:rsidR="007B18ED" w:rsidRPr="007B18ED" w:rsidRDefault="007B18ED" w:rsidP="007B18ED">
            <w:pPr>
              <w:spacing w:before="80" w:after="80" w:line="200" w:lineRule="exact"/>
              <w:ind w:right="113"/>
              <w:rPr>
                <w:i/>
                <w:sz w:val="16"/>
              </w:rPr>
            </w:pPr>
            <w:r w:rsidRPr="007B18ED">
              <w:rPr>
                <w:i/>
                <w:sz w:val="16"/>
                <w:lang w:val="fr-FR"/>
              </w:rPr>
              <w:t>Année</w:t>
            </w:r>
          </w:p>
        </w:tc>
        <w:tc>
          <w:tcPr>
            <w:tcW w:w="3260" w:type="dxa"/>
            <w:tcBorders>
              <w:top w:val="single" w:sz="4" w:space="0" w:color="auto"/>
              <w:bottom w:val="single" w:sz="12" w:space="0" w:color="auto"/>
            </w:tcBorders>
            <w:shd w:val="clear" w:color="auto" w:fill="auto"/>
            <w:vAlign w:val="bottom"/>
          </w:tcPr>
          <w:p w14:paraId="4EBB6D14" w14:textId="03DF7139" w:rsidR="007B18ED" w:rsidRPr="007B18ED" w:rsidRDefault="007B18ED" w:rsidP="007B18ED">
            <w:pPr>
              <w:spacing w:before="80" w:after="80" w:line="200" w:lineRule="exact"/>
              <w:ind w:right="113"/>
              <w:rPr>
                <w:i/>
                <w:sz w:val="16"/>
              </w:rPr>
            </w:pPr>
            <w:r w:rsidRPr="007B18ED">
              <w:rPr>
                <w:i/>
                <w:sz w:val="16"/>
                <w:lang w:val="fr-FR"/>
              </w:rPr>
              <w:t>Nombre de visites auprès des centres de</w:t>
            </w:r>
            <w:r w:rsidR="00D26D12">
              <w:rPr>
                <w:i/>
                <w:sz w:val="16"/>
                <w:lang w:val="fr-FR"/>
              </w:rPr>
              <w:t> </w:t>
            </w:r>
            <w:r w:rsidRPr="007B18ED">
              <w:rPr>
                <w:i/>
                <w:sz w:val="16"/>
                <w:lang w:val="fr-FR"/>
              </w:rPr>
              <w:t>détention du Service des renseignements</w:t>
            </w:r>
          </w:p>
        </w:tc>
        <w:tc>
          <w:tcPr>
            <w:tcW w:w="3259" w:type="dxa"/>
            <w:tcBorders>
              <w:top w:val="single" w:sz="4" w:space="0" w:color="auto"/>
              <w:bottom w:val="single" w:sz="12" w:space="0" w:color="auto"/>
            </w:tcBorders>
            <w:shd w:val="clear" w:color="auto" w:fill="auto"/>
            <w:vAlign w:val="bottom"/>
          </w:tcPr>
          <w:p w14:paraId="075485E4" w14:textId="6888BF7F" w:rsidR="007B18ED" w:rsidRPr="007B18ED" w:rsidRDefault="007B18ED" w:rsidP="007B18ED">
            <w:pPr>
              <w:spacing w:before="80" w:after="80" w:line="200" w:lineRule="exact"/>
              <w:ind w:right="113"/>
              <w:rPr>
                <w:i/>
                <w:sz w:val="16"/>
              </w:rPr>
            </w:pPr>
            <w:r w:rsidRPr="007B18ED">
              <w:rPr>
                <w:i/>
                <w:sz w:val="16"/>
                <w:lang w:val="fr-FR"/>
              </w:rPr>
              <w:t>Nombre de visites auprès des centres de</w:t>
            </w:r>
            <w:r w:rsidR="00D26D12">
              <w:rPr>
                <w:i/>
                <w:sz w:val="16"/>
                <w:lang w:val="fr-FR"/>
              </w:rPr>
              <w:t> </w:t>
            </w:r>
            <w:r w:rsidRPr="007B18ED">
              <w:rPr>
                <w:i/>
                <w:sz w:val="16"/>
                <w:lang w:val="fr-FR"/>
              </w:rPr>
              <w:t>détention de la police</w:t>
            </w:r>
          </w:p>
        </w:tc>
      </w:tr>
      <w:tr w:rsidR="007B18ED" w:rsidRPr="007B18ED" w14:paraId="4DA1AE6B" w14:textId="77777777" w:rsidTr="00D26D12">
        <w:trPr>
          <w:trHeight w:hRule="exact" w:val="113"/>
        </w:trPr>
        <w:tc>
          <w:tcPr>
            <w:tcW w:w="851" w:type="dxa"/>
            <w:tcBorders>
              <w:top w:val="single" w:sz="12" w:space="0" w:color="auto"/>
            </w:tcBorders>
            <w:shd w:val="clear" w:color="auto" w:fill="auto"/>
          </w:tcPr>
          <w:p w14:paraId="21620601" w14:textId="77777777" w:rsidR="007B18ED" w:rsidRPr="007B18ED" w:rsidRDefault="007B18ED" w:rsidP="007B18ED">
            <w:pPr>
              <w:spacing w:before="40" w:after="120"/>
              <w:ind w:right="113"/>
              <w:rPr>
                <w:lang w:val="fr-FR"/>
              </w:rPr>
            </w:pPr>
          </w:p>
        </w:tc>
        <w:tc>
          <w:tcPr>
            <w:tcW w:w="3260" w:type="dxa"/>
            <w:tcBorders>
              <w:top w:val="single" w:sz="12" w:space="0" w:color="auto"/>
            </w:tcBorders>
            <w:shd w:val="clear" w:color="auto" w:fill="auto"/>
          </w:tcPr>
          <w:p w14:paraId="488D26DC" w14:textId="77777777" w:rsidR="007B18ED" w:rsidRPr="007B18ED" w:rsidRDefault="007B18ED" w:rsidP="007B18ED">
            <w:pPr>
              <w:spacing w:before="40" w:after="120"/>
              <w:ind w:right="113"/>
              <w:rPr>
                <w:lang w:val="fr-FR"/>
              </w:rPr>
            </w:pPr>
          </w:p>
        </w:tc>
        <w:tc>
          <w:tcPr>
            <w:tcW w:w="3259" w:type="dxa"/>
            <w:tcBorders>
              <w:top w:val="single" w:sz="12" w:space="0" w:color="auto"/>
            </w:tcBorders>
            <w:shd w:val="clear" w:color="auto" w:fill="auto"/>
          </w:tcPr>
          <w:p w14:paraId="6A189F3C" w14:textId="77777777" w:rsidR="007B18ED" w:rsidRPr="007B18ED" w:rsidRDefault="007B18ED" w:rsidP="007B18ED">
            <w:pPr>
              <w:spacing w:before="40" w:after="120"/>
              <w:ind w:right="113"/>
              <w:rPr>
                <w:lang w:val="fr-FR"/>
              </w:rPr>
            </w:pPr>
          </w:p>
        </w:tc>
      </w:tr>
      <w:tr w:rsidR="007B18ED" w:rsidRPr="007B18ED" w14:paraId="3D246B4D" w14:textId="77777777" w:rsidTr="00D26D12">
        <w:tc>
          <w:tcPr>
            <w:tcW w:w="851" w:type="dxa"/>
            <w:shd w:val="clear" w:color="auto" w:fill="auto"/>
          </w:tcPr>
          <w:p w14:paraId="51224635" w14:textId="205D4288" w:rsidR="007B18ED" w:rsidRPr="007B18ED" w:rsidRDefault="007B18ED" w:rsidP="007B18ED">
            <w:pPr>
              <w:spacing w:before="40" w:after="120"/>
              <w:ind w:right="113"/>
            </w:pPr>
            <w:r w:rsidRPr="007B18ED">
              <w:t>2014</w:t>
            </w:r>
          </w:p>
        </w:tc>
        <w:tc>
          <w:tcPr>
            <w:tcW w:w="3260" w:type="dxa"/>
            <w:shd w:val="clear" w:color="auto" w:fill="auto"/>
          </w:tcPr>
          <w:p w14:paraId="2AEC43A9" w14:textId="0DA72F72" w:rsidR="007B18ED" w:rsidRPr="007B18ED" w:rsidRDefault="007B18ED" w:rsidP="007B18ED">
            <w:pPr>
              <w:spacing w:before="40" w:after="120"/>
              <w:ind w:right="113"/>
            </w:pPr>
            <w:r w:rsidRPr="007B18ED">
              <w:rPr>
                <w:rtl/>
                <w:lang w:val="fr-FR"/>
              </w:rPr>
              <w:t>156</w:t>
            </w:r>
          </w:p>
        </w:tc>
        <w:tc>
          <w:tcPr>
            <w:tcW w:w="3259" w:type="dxa"/>
            <w:shd w:val="clear" w:color="auto" w:fill="auto"/>
          </w:tcPr>
          <w:p w14:paraId="44EC6D28" w14:textId="267B58A8" w:rsidR="007B18ED" w:rsidRPr="007B18ED" w:rsidRDefault="007B18ED" w:rsidP="007B18ED">
            <w:pPr>
              <w:spacing w:before="40" w:after="120"/>
              <w:ind w:right="113"/>
            </w:pPr>
            <w:r w:rsidRPr="007B18ED">
              <w:rPr>
                <w:rtl/>
                <w:lang w:val="fr-FR"/>
              </w:rPr>
              <w:t>93</w:t>
            </w:r>
          </w:p>
        </w:tc>
      </w:tr>
      <w:tr w:rsidR="00D26D12" w:rsidRPr="007B18ED" w14:paraId="5F2DF15E" w14:textId="77777777" w:rsidTr="00D26D12">
        <w:tc>
          <w:tcPr>
            <w:tcW w:w="851" w:type="dxa"/>
            <w:shd w:val="clear" w:color="auto" w:fill="auto"/>
          </w:tcPr>
          <w:p w14:paraId="393545A9" w14:textId="4AF92E62" w:rsidR="007B18ED" w:rsidRPr="007B18ED" w:rsidRDefault="007B18ED" w:rsidP="007B18ED">
            <w:pPr>
              <w:spacing w:before="40" w:after="120"/>
              <w:ind w:right="113"/>
            </w:pPr>
            <w:r w:rsidRPr="007B18ED">
              <w:t>2015</w:t>
            </w:r>
          </w:p>
        </w:tc>
        <w:tc>
          <w:tcPr>
            <w:tcW w:w="3260" w:type="dxa"/>
            <w:shd w:val="clear" w:color="auto" w:fill="auto"/>
          </w:tcPr>
          <w:p w14:paraId="4BBE3252" w14:textId="26E8AAEA" w:rsidR="007B18ED" w:rsidRPr="007B18ED" w:rsidRDefault="007B18ED" w:rsidP="007B18ED">
            <w:pPr>
              <w:spacing w:before="40" w:after="120"/>
              <w:ind w:right="113"/>
            </w:pPr>
            <w:r w:rsidRPr="007B18ED">
              <w:rPr>
                <w:rtl/>
                <w:lang w:val="fr-FR"/>
              </w:rPr>
              <w:t>156</w:t>
            </w:r>
          </w:p>
        </w:tc>
        <w:tc>
          <w:tcPr>
            <w:tcW w:w="3259" w:type="dxa"/>
            <w:shd w:val="clear" w:color="auto" w:fill="auto"/>
          </w:tcPr>
          <w:p w14:paraId="5A9D4A08" w14:textId="06827E70" w:rsidR="007B18ED" w:rsidRPr="007B18ED" w:rsidRDefault="007B18ED" w:rsidP="007B18ED">
            <w:pPr>
              <w:spacing w:before="40" w:after="120"/>
              <w:ind w:right="113"/>
            </w:pPr>
            <w:r w:rsidRPr="007B18ED">
              <w:t>96</w:t>
            </w:r>
          </w:p>
        </w:tc>
      </w:tr>
      <w:tr w:rsidR="00D26D12" w:rsidRPr="007B18ED" w14:paraId="57408F02" w14:textId="77777777" w:rsidTr="00D26D12">
        <w:tc>
          <w:tcPr>
            <w:tcW w:w="851" w:type="dxa"/>
            <w:shd w:val="clear" w:color="auto" w:fill="auto"/>
          </w:tcPr>
          <w:p w14:paraId="00918289" w14:textId="6B74EC91" w:rsidR="007B18ED" w:rsidRPr="007B18ED" w:rsidRDefault="007B18ED" w:rsidP="007B18ED">
            <w:pPr>
              <w:spacing w:before="40" w:after="120"/>
              <w:ind w:right="113"/>
            </w:pPr>
            <w:r w:rsidRPr="007B18ED">
              <w:t>2016</w:t>
            </w:r>
          </w:p>
        </w:tc>
        <w:tc>
          <w:tcPr>
            <w:tcW w:w="3260" w:type="dxa"/>
            <w:shd w:val="clear" w:color="auto" w:fill="auto"/>
          </w:tcPr>
          <w:p w14:paraId="69497E02" w14:textId="46F19FCF" w:rsidR="007B18ED" w:rsidRPr="007B18ED" w:rsidRDefault="007B18ED" w:rsidP="007B18ED">
            <w:pPr>
              <w:spacing w:before="40" w:after="120"/>
              <w:ind w:right="113"/>
            </w:pPr>
            <w:r w:rsidRPr="007B18ED">
              <w:rPr>
                <w:rtl/>
                <w:lang w:val="fr-FR"/>
              </w:rPr>
              <w:t>156</w:t>
            </w:r>
          </w:p>
        </w:tc>
        <w:tc>
          <w:tcPr>
            <w:tcW w:w="3259" w:type="dxa"/>
            <w:shd w:val="clear" w:color="auto" w:fill="auto"/>
          </w:tcPr>
          <w:p w14:paraId="4374146E" w14:textId="590F6F47" w:rsidR="007B18ED" w:rsidRPr="007B18ED" w:rsidRDefault="007B18ED" w:rsidP="007B18ED">
            <w:pPr>
              <w:spacing w:before="40" w:after="120"/>
              <w:ind w:right="113"/>
            </w:pPr>
            <w:r w:rsidRPr="007B18ED">
              <w:t>118</w:t>
            </w:r>
          </w:p>
        </w:tc>
      </w:tr>
      <w:tr w:rsidR="007B18ED" w:rsidRPr="007B18ED" w14:paraId="779A34EC" w14:textId="77777777" w:rsidTr="00D26D12">
        <w:tc>
          <w:tcPr>
            <w:tcW w:w="851" w:type="dxa"/>
            <w:tcBorders>
              <w:bottom w:val="single" w:sz="12" w:space="0" w:color="auto"/>
            </w:tcBorders>
            <w:shd w:val="clear" w:color="auto" w:fill="auto"/>
          </w:tcPr>
          <w:p w14:paraId="62BB31C4" w14:textId="3778B7FA" w:rsidR="007B18ED" w:rsidRPr="007B18ED" w:rsidRDefault="007B18ED" w:rsidP="007B18ED">
            <w:pPr>
              <w:spacing w:before="40" w:after="120"/>
              <w:ind w:right="113"/>
            </w:pPr>
            <w:r w:rsidRPr="007B18ED">
              <w:t>2017</w:t>
            </w:r>
          </w:p>
        </w:tc>
        <w:tc>
          <w:tcPr>
            <w:tcW w:w="3260" w:type="dxa"/>
            <w:tcBorders>
              <w:bottom w:val="single" w:sz="12" w:space="0" w:color="auto"/>
            </w:tcBorders>
            <w:shd w:val="clear" w:color="auto" w:fill="auto"/>
          </w:tcPr>
          <w:p w14:paraId="42711793" w14:textId="3E8CA902" w:rsidR="007B18ED" w:rsidRPr="007B18ED" w:rsidRDefault="007B18ED" w:rsidP="007B18ED">
            <w:pPr>
              <w:spacing w:before="40" w:after="120"/>
              <w:ind w:right="113"/>
            </w:pPr>
            <w:r w:rsidRPr="007B18ED">
              <w:rPr>
                <w:rtl/>
                <w:lang w:val="fr-FR"/>
              </w:rPr>
              <w:t>156</w:t>
            </w:r>
          </w:p>
        </w:tc>
        <w:tc>
          <w:tcPr>
            <w:tcW w:w="3259" w:type="dxa"/>
            <w:tcBorders>
              <w:bottom w:val="single" w:sz="12" w:space="0" w:color="auto"/>
            </w:tcBorders>
            <w:shd w:val="clear" w:color="auto" w:fill="auto"/>
          </w:tcPr>
          <w:p w14:paraId="07A24769" w14:textId="5E35D439" w:rsidR="007B18ED" w:rsidRPr="007B18ED" w:rsidRDefault="007B18ED" w:rsidP="007B18ED">
            <w:pPr>
              <w:spacing w:before="40" w:after="120"/>
              <w:ind w:right="113"/>
            </w:pPr>
            <w:r w:rsidRPr="007B18ED">
              <w:t>114</w:t>
            </w:r>
          </w:p>
        </w:tc>
      </w:tr>
    </w:tbl>
    <w:p w14:paraId="09A58768" w14:textId="599FE432" w:rsidR="00D005FA" w:rsidRDefault="00D005FA" w:rsidP="00AF2AAF">
      <w:pPr>
        <w:pStyle w:val="H23G"/>
        <w:rPr>
          <w:lang w:val="fr-FR"/>
        </w:rPr>
      </w:pPr>
      <w:r w:rsidRPr="00310D49">
        <w:rPr>
          <w:lang w:val="fr-FR"/>
        </w:rPr>
        <w:lastRenderedPageBreak/>
        <w:tab/>
      </w:r>
      <w:r w:rsidRPr="00310D49">
        <w:rPr>
          <w:lang w:val="fr-FR"/>
        </w:rPr>
        <w:tab/>
        <w:t xml:space="preserve">Inspection et visite des établissements pénitentiaires par des organisations </w:t>
      </w:r>
      <w:r w:rsidR="00AF2AAF">
        <w:rPr>
          <w:lang w:val="fr-FR"/>
        </w:rPr>
        <w:br/>
      </w:r>
      <w:r w:rsidRPr="00310D49">
        <w:rPr>
          <w:lang w:val="fr-FR"/>
        </w:rPr>
        <w:t>locales de la société civile/le Service des renseignements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2456"/>
        <w:gridCol w:w="2457"/>
      </w:tblGrid>
      <w:tr w:rsidR="00DE689F" w:rsidRPr="00DE689F" w14:paraId="4A14618F" w14:textId="77777777" w:rsidTr="00DE689F">
        <w:trPr>
          <w:tblHeader/>
        </w:trPr>
        <w:tc>
          <w:tcPr>
            <w:tcW w:w="2457" w:type="dxa"/>
            <w:tcBorders>
              <w:top w:val="single" w:sz="4" w:space="0" w:color="auto"/>
              <w:bottom w:val="single" w:sz="12" w:space="0" w:color="auto"/>
            </w:tcBorders>
            <w:shd w:val="clear" w:color="auto" w:fill="auto"/>
            <w:vAlign w:val="bottom"/>
          </w:tcPr>
          <w:p w14:paraId="16C1F997" w14:textId="78964CCA" w:rsidR="00AF2AAF" w:rsidRPr="00DE689F" w:rsidRDefault="00AF2AAF" w:rsidP="00DE689F">
            <w:pPr>
              <w:keepNext/>
              <w:spacing w:before="80" w:after="80" w:line="200" w:lineRule="exact"/>
              <w:ind w:right="113"/>
              <w:rPr>
                <w:i/>
                <w:sz w:val="16"/>
              </w:rPr>
            </w:pPr>
            <w:r w:rsidRPr="00DE689F">
              <w:rPr>
                <w:i/>
                <w:sz w:val="16"/>
                <w:lang w:val="fr-FR"/>
              </w:rPr>
              <w:t>Institution</w:t>
            </w:r>
          </w:p>
        </w:tc>
        <w:tc>
          <w:tcPr>
            <w:tcW w:w="2456" w:type="dxa"/>
            <w:tcBorders>
              <w:top w:val="single" w:sz="4" w:space="0" w:color="auto"/>
              <w:bottom w:val="single" w:sz="12" w:space="0" w:color="auto"/>
            </w:tcBorders>
            <w:shd w:val="clear" w:color="auto" w:fill="auto"/>
            <w:vAlign w:val="bottom"/>
          </w:tcPr>
          <w:p w14:paraId="2A90D9D1" w14:textId="03DD75BE" w:rsidR="00AF2AAF" w:rsidRPr="00DE689F" w:rsidRDefault="00AF2AAF" w:rsidP="00DE689F">
            <w:pPr>
              <w:keepNext/>
              <w:spacing w:before="80" w:after="80" w:line="200" w:lineRule="exact"/>
              <w:ind w:right="113"/>
              <w:rPr>
                <w:i/>
                <w:sz w:val="16"/>
              </w:rPr>
            </w:pPr>
            <w:r w:rsidRPr="00DE689F">
              <w:rPr>
                <w:i/>
                <w:sz w:val="16"/>
                <w:lang w:val="fr-FR"/>
              </w:rPr>
              <w:t>Année</w:t>
            </w:r>
          </w:p>
        </w:tc>
        <w:tc>
          <w:tcPr>
            <w:tcW w:w="2457" w:type="dxa"/>
            <w:tcBorders>
              <w:top w:val="single" w:sz="4" w:space="0" w:color="auto"/>
              <w:bottom w:val="single" w:sz="12" w:space="0" w:color="auto"/>
            </w:tcBorders>
            <w:shd w:val="clear" w:color="auto" w:fill="auto"/>
            <w:vAlign w:val="bottom"/>
          </w:tcPr>
          <w:p w14:paraId="1200F71A" w14:textId="4289B27E" w:rsidR="00AF2AAF" w:rsidRPr="00DE689F" w:rsidRDefault="00AF2AAF" w:rsidP="00DE689F">
            <w:pPr>
              <w:keepNext/>
              <w:spacing w:before="80" w:after="80" w:line="200" w:lineRule="exact"/>
              <w:ind w:right="113"/>
              <w:rPr>
                <w:i/>
                <w:sz w:val="16"/>
              </w:rPr>
            </w:pPr>
            <w:r w:rsidRPr="00DE689F">
              <w:rPr>
                <w:i/>
                <w:sz w:val="16"/>
                <w:lang w:val="fr-FR"/>
              </w:rPr>
              <w:t>Nombre de visites</w:t>
            </w:r>
          </w:p>
        </w:tc>
      </w:tr>
      <w:tr w:rsidR="00DE689F" w:rsidRPr="00DE689F" w14:paraId="49144153" w14:textId="77777777" w:rsidTr="00DE689F">
        <w:trPr>
          <w:trHeight w:hRule="exact" w:val="113"/>
        </w:trPr>
        <w:tc>
          <w:tcPr>
            <w:tcW w:w="2457" w:type="dxa"/>
            <w:tcBorders>
              <w:top w:val="single" w:sz="12" w:space="0" w:color="auto"/>
            </w:tcBorders>
            <w:shd w:val="clear" w:color="auto" w:fill="auto"/>
          </w:tcPr>
          <w:p w14:paraId="55A9D5C6" w14:textId="77777777" w:rsidR="00DE689F" w:rsidRPr="00DE689F" w:rsidRDefault="00DE689F" w:rsidP="00DE689F">
            <w:pPr>
              <w:keepNext/>
              <w:spacing w:before="40" w:after="120"/>
              <w:ind w:right="113"/>
              <w:rPr>
                <w:lang w:val="fr-FR"/>
              </w:rPr>
            </w:pPr>
          </w:p>
        </w:tc>
        <w:tc>
          <w:tcPr>
            <w:tcW w:w="2456" w:type="dxa"/>
            <w:tcBorders>
              <w:top w:val="single" w:sz="12" w:space="0" w:color="auto"/>
            </w:tcBorders>
            <w:shd w:val="clear" w:color="auto" w:fill="auto"/>
          </w:tcPr>
          <w:p w14:paraId="6F7AE4F8" w14:textId="77777777" w:rsidR="00DE689F" w:rsidRPr="00DE689F" w:rsidRDefault="00DE689F" w:rsidP="00DE689F">
            <w:pPr>
              <w:keepNext/>
              <w:spacing w:before="40" w:after="120"/>
              <w:ind w:right="113"/>
              <w:rPr>
                <w:lang w:val="fr-FR"/>
              </w:rPr>
            </w:pPr>
          </w:p>
        </w:tc>
        <w:tc>
          <w:tcPr>
            <w:tcW w:w="2457" w:type="dxa"/>
            <w:tcBorders>
              <w:top w:val="single" w:sz="12" w:space="0" w:color="auto"/>
            </w:tcBorders>
            <w:shd w:val="clear" w:color="auto" w:fill="auto"/>
          </w:tcPr>
          <w:p w14:paraId="58AEE857" w14:textId="77777777" w:rsidR="00DE689F" w:rsidRPr="00DE689F" w:rsidRDefault="00DE689F" w:rsidP="00DE689F">
            <w:pPr>
              <w:keepNext/>
              <w:spacing w:before="40" w:after="120"/>
              <w:ind w:right="113"/>
              <w:rPr>
                <w:lang w:val="fr-FR"/>
              </w:rPr>
            </w:pPr>
          </w:p>
        </w:tc>
      </w:tr>
      <w:tr w:rsidR="00AF2AAF" w:rsidRPr="00DE689F" w14:paraId="1289E388" w14:textId="77777777" w:rsidTr="00DE689F">
        <w:tc>
          <w:tcPr>
            <w:tcW w:w="2457" w:type="dxa"/>
            <w:vMerge w:val="restart"/>
            <w:shd w:val="clear" w:color="auto" w:fill="auto"/>
            <w:vAlign w:val="center"/>
          </w:tcPr>
          <w:p w14:paraId="0AEF7EDF" w14:textId="7670E00B" w:rsidR="00AF2AAF" w:rsidRPr="00DE689F" w:rsidRDefault="00AF2AAF" w:rsidP="00DE689F">
            <w:pPr>
              <w:keepNext/>
              <w:spacing w:before="40" w:after="120"/>
              <w:ind w:right="113"/>
            </w:pPr>
            <w:r w:rsidRPr="00DE689F">
              <w:rPr>
                <w:lang w:val="fr-FR"/>
              </w:rPr>
              <w:t>Centre Hurriyat</w:t>
            </w:r>
          </w:p>
        </w:tc>
        <w:tc>
          <w:tcPr>
            <w:tcW w:w="2456" w:type="dxa"/>
            <w:shd w:val="clear" w:color="auto" w:fill="auto"/>
          </w:tcPr>
          <w:p w14:paraId="20E2F546" w14:textId="714128B3" w:rsidR="00AF2AAF" w:rsidRPr="00DE689F" w:rsidRDefault="00AF2AAF" w:rsidP="00DE689F">
            <w:pPr>
              <w:keepNext/>
              <w:spacing w:before="40" w:after="120"/>
              <w:ind w:right="113"/>
            </w:pPr>
            <w:r w:rsidRPr="00DE689F">
              <w:t>2014</w:t>
            </w:r>
          </w:p>
        </w:tc>
        <w:tc>
          <w:tcPr>
            <w:tcW w:w="2457" w:type="dxa"/>
            <w:shd w:val="clear" w:color="auto" w:fill="auto"/>
          </w:tcPr>
          <w:p w14:paraId="3DE8441D" w14:textId="482A692F" w:rsidR="00AF2AAF" w:rsidRPr="00DE689F" w:rsidRDefault="00AF2AAF" w:rsidP="00DE689F">
            <w:pPr>
              <w:keepNext/>
              <w:spacing w:before="40" w:after="120"/>
              <w:ind w:right="113"/>
            </w:pPr>
            <w:r w:rsidRPr="00DE689F">
              <w:t>132</w:t>
            </w:r>
          </w:p>
        </w:tc>
      </w:tr>
      <w:tr w:rsidR="00AF2AAF" w:rsidRPr="00DE689F" w14:paraId="3EBA0B0D" w14:textId="77777777" w:rsidTr="00DE689F">
        <w:tc>
          <w:tcPr>
            <w:tcW w:w="2457" w:type="dxa"/>
            <w:vMerge/>
            <w:shd w:val="clear" w:color="auto" w:fill="auto"/>
          </w:tcPr>
          <w:p w14:paraId="4EEA8776" w14:textId="77777777" w:rsidR="00AF2AAF" w:rsidRPr="00DE689F" w:rsidRDefault="00AF2AAF" w:rsidP="00DE689F">
            <w:pPr>
              <w:keepNext/>
              <w:spacing w:before="40" w:after="120"/>
              <w:ind w:right="113"/>
            </w:pPr>
          </w:p>
        </w:tc>
        <w:tc>
          <w:tcPr>
            <w:tcW w:w="2456" w:type="dxa"/>
            <w:shd w:val="clear" w:color="auto" w:fill="auto"/>
          </w:tcPr>
          <w:p w14:paraId="165B9668" w14:textId="7BF5484F" w:rsidR="00AF2AAF" w:rsidRPr="00DE689F" w:rsidRDefault="00AF2AAF" w:rsidP="00DE689F">
            <w:pPr>
              <w:keepNext/>
              <w:spacing w:before="40" w:after="120"/>
              <w:ind w:right="113"/>
            </w:pPr>
            <w:r w:rsidRPr="00DE689F">
              <w:t>2015</w:t>
            </w:r>
          </w:p>
        </w:tc>
        <w:tc>
          <w:tcPr>
            <w:tcW w:w="2457" w:type="dxa"/>
            <w:shd w:val="clear" w:color="auto" w:fill="auto"/>
          </w:tcPr>
          <w:p w14:paraId="52A5D3C5" w14:textId="4EA5AEE1" w:rsidR="00AF2AAF" w:rsidRPr="00DE689F" w:rsidRDefault="00AF2AAF" w:rsidP="00DE689F">
            <w:pPr>
              <w:keepNext/>
              <w:spacing w:before="40" w:after="120"/>
              <w:ind w:right="113"/>
            </w:pPr>
            <w:r w:rsidRPr="00DE689F">
              <w:t>144</w:t>
            </w:r>
          </w:p>
        </w:tc>
      </w:tr>
      <w:tr w:rsidR="00AF2AAF" w:rsidRPr="00DE689F" w14:paraId="0ABBA190" w14:textId="77777777" w:rsidTr="00DE689F">
        <w:tc>
          <w:tcPr>
            <w:tcW w:w="2457" w:type="dxa"/>
            <w:vMerge/>
            <w:shd w:val="clear" w:color="auto" w:fill="auto"/>
          </w:tcPr>
          <w:p w14:paraId="0246CD70" w14:textId="77777777" w:rsidR="00AF2AAF" w:rsidRPr="00DE689F" w:rsidRDefault="00AF2AAF" w:rsidP="00DE689F">
            <w:pPr>
              <w:keepNext/>
              <w:spacing w:before="40" w:after="120"/>
              <w:ind w:right="113"/>
            </w:pPr>
          </w:p>
        </w:tc>
        <w:tc>
          <w:tcPr>
            <w:tcW w:w="2456" w:type="dxa"/>
            <w:shd w:val="clear" w:color="auto" w:fill="auto"/>
          </w:tcPr>
          <w:p w14:paraId="714401C0" w14:textId="1CC1B9E1" w:rsidR="00AF2AAF" w:rsidRPr="00DE689F" w:rsidRDefault="00AF2AAF" w:rsidP="00DE689F">
            <w:pPr>
              <w:keepNext/>
              <w:spacing w:before="40" w:after="120"/>
              <w:ind w:right="113"/>
            </w:pPr>
            <w:r w:rsidRPr="00DE689F">
              <w:t>2016</w:t>
            </w:r>
          </w:p>
        </w:tc>
        <w:tc>
          <w:tcPr>
            <w:tcW w:w="2457" w:type="dxa"/>
            <w:shd w:val="clear" w:color="auto" w:fill="auto"/>
          </w:tcPr>
          <w:p w14:paraId="59040834" w14:textId="7D3782CD" w:rsidR="00AF2AAF" w:rsidRPr="00DE689F" w:rsidRDefault="00AF2AAF" w:rsidP="00DE689F">
            <w:pPr>
              <w:keepNext/>
              <w:spacing w:before="40" w:after="120"/>
              <w:ind w:right="113"/>
            </w:pPr>
            <w:r w:rsidRPr="00DE689F">
              <w:t>132</w:t>
            </w:r>
          </w:p>
        </w:tc>
      </w:tr>
      <w:tr w:rsidR="00AF2AAF" w:rsidRPr="00DE689F" w14:paraId="089B50F3" w14:textId="77777777" w:rsidTr="00DE689F">
        <w:tc>
          <w:tcPr>
            <w:tcW w:w="2457" w:type="dxa"/>
            <w:vMerge/>
            <w:shd w:val="clear" w:color="auto" w:fill="auto"/>
          </w:tcPr>
          <w:p w14:paraId="5B31CFA7" w14:textId="77777777" w:rsidR="00AF2AAF" w:rsidRPr="00DE689F" w:rsidRDefault="00AF2AAF" w:rsidP="00DE689F">
            <w:pPr>
              <w:keepNext/>
              <w:spacing w:before="40" w:after="120"/>
              <w:ind w:right="113"/>
            </w:pPr>
          </w:p>
        </w:tc>
        <w:tc>
          <w:tcPr>
            <w:tcW w:w="2456" w:type="dxa"/>
            <w:shd w:val="clear" w:color="auto" w:fill="auto"/>
          </w:tcPr>
          <w:p w14:paraId="20F8184E" w14:textId="09A59AFF" w:rsidR="00AF2AAF" w:rsidRPr="00DE689F" w:rsidRDefault="00AF2AAF" w:rsidP="00DE689F">
            <w:pPr>
              <w:keepNext/>
              <w:spacing w:before="40" w:after="120"/>
              <w:ind w:right="113"/>
            </w:pPr>
            <w:r w:rsidRPr="00DE689F">
              <w:t>2017</w:t>
            </w:r>
          </w:p>
        </w:tc>
        <w:tc>
          <w:tcPr>
            <w:tcW w:w="2457" w:type="dxa"/>
            <w:shd w:val="clear" w:color="auto" w:fill="auto"/>
          </w:tcPr>
          <w:p w14:paraId="68C92B9F" w14:textId="538F58CD" w:rsidR="00AF2AAF" w:rsidRPr="00DE689F" w:rsidRDefault="00AF2AAF" w:rsidP="00DE689F">
            <w:pPr>
              <w:keepNext/>
              <w:spacing w:before="40" w:after="120"/>
              <w:ind w:right="113"/>
            </w:pPr>
            <w:r w:rsidRPr="00DE689F">
              <w:t>156</w:t>
            </w:r>
          </w:p>
        </w:tc>
      </w:tr>
      <w:tr w:rsidR="00AF2AAF" w:rsidRPr="00DE689F" w14:paraId="73A099D3" w14:textId="77777777" w:rsidTr="00DE689F">
        <w:tc>
          <w:tcPr>
            <w:tcW w:w="2457" w:type="dxa"/>
            <w:vMerge w:val="restart"/>
            <w:shd w:val="clear" w:color="auto" w:fill="auto"/>
            <w:vAlign w:val="center"/>
          </w:tcPr>
          <w:p w14:paraId="497D3A1E" w14:textId="6FA41776" w:rsidR="00AF2AAF" w:rsidRPr="00DE689F" w:rsidRDefault="00AF2AAF" w:rsidP="00DE689F">
            <w:pPr>
              <w:keepNext/>
              <w:spacing w:before="40" w:after="120"/>
              <w:ind w:right="113"/>
            </w:pPr>
            <w:r w:rsidRPr="00DE689F">
              <w:rPr>
                <w:lang w:val="fr-FR"/>
              </w:rPr>
              <w:t>Organisation Al-Haq</w:t>
            </w:r>
          </w:p>
        </w:tc>
        <w:tc>
          <w:tcPr>
            <w:tcW w:w="2456" w:type="dxa"/>
            <w:shd w:val="clear" w:color="auto" w:fill="auto"/>
          </w:tcPr>
          <w:p w14:paraId="642B6172" w14:textId="3DD51D3A" w:rsidR="00AF2AAF" w:rsidRPr="00DE689F" w:rsidRDefault="00AF2AAF" w:rsidP="00DE689F">
            <w:pPr>
              <w:keepNext/>
              <w:spacing w:before="40" w:after="120"/>
              <w:ind w:right="113"/>
            </w:pPr>
            <w:r w:rsidRPr="00DE689F">
              <w:t>2014</w:t>
            </w:r>
          </w:p>
        </w:tc>
        <w:tc>
          <w:tcPr>
            <w:tcW w:w="2457" w:type="dxa"/>
            <w:shd w:val="clear" w:color="auto" w:fill="auto"/>
          </w:tcPr>
          <w:p w14:paraId="6F46365E" w14:textId="7CB59298" w:rsidR="00AF2AAF" w:rsidRPr="00DE689F" w:rsidRDefault="00AF2AAF" w:rsidP="00DE689F">
            <w:pPr>
              <w:keepNext/>
              <w:spacing w:before="40" w:after="120"/>
              <w:ind w:right="113"/>
            </w:pPr>
            <w:r w:rsidRPr="00DE689F">
              <w:t>114</w:t>
            </w:r>
          </w:p>
        </w:tc>
      </w:tr>
      <w:tr w:rsidR="00AF2AAF" w:rsidRPr="00DE689F" w14:paraId="1E838B84" w14:textId="77777777" w:rsidTr="00DE689F">
        <w:tc>
          <w:tcPr>
            <w:tcW w:w="2457" w:type="dxa"/>
            <w:vMerge/>
            <w:shd w:val="clear" w:color="auto" w:fill="auto"/>
          </w:tcPr>
          <w:p w14:paraId="733A2038" w14:textId="77777777" w:rsidR="00AF2AAF" w:rsidRPr="00DE689F" w:rsidRDefault="00AF2AAF" w:rsidP="00DE689F">
            <w:pPr>
              <w:keepNext/>
              <w:spacing w:before="40" w:after="120"/>
              <w:ind w:right="113"/>
            </w:pPr>
          </w:p>
        </w:tc>
        <w:tc>
          <w:tcPr>
            <w:tcW w:w="2456" w:type="dxa"/>
            <w:shd w:val="clear" w:color="auto" w:fill="auto"/>
          </w:tcPr>
          <w:p w14:paraId="17F30C31" w14:textId="6F8CE651" w:rsidR="00AF2AAF" w:rsidRPr="00DE689F" w:rsidRDefault="00AF2AAF" w:rsidP="00DE689F">
            <w:pPr>
              <w:keepNext/>
              <w:spacing w:before="40" w:after="120"/>
              <w:ind w:right="113"/>
            </w:pPr>
            <w:r w:rsidRPr="00DE689F">
              <w:t>2015</w:t>
            </w:r>
          </w:p>
        </w:tc>
        <w:tc>
          <w:tcPr>
            <w:tcW w:w="2457" w:type="dxa"/>
            <w:shd w:val="clear" w:color="auto" w:fill="auto"/>
          </w:tcPr>
          <w:p w14:paraId="6227736A" w14:textId="2AF779E1" w:rsidR="00AF2AAF" w:rsidRPr="00DE689F" w:rsidRDefault="00AF2AAF" w:rsidP="00DE689F">
            <w:pPr>
              <w:keepNext/>
              <w:spacing w:before="40" w:after="120"/>
              <w:ind w:right="113"/>
            </w:pPr>
            <w:r w:rsidRPr="00DE689F">
              <w:t>78</w:t>
            </w:r>
          </w:p>
        </w:tc>
      </w:tr>
      <w:tr w:rsidR="00AF2AAF" w:rsidRPr="00DE689F" w14:paraId="35A70C94" w14:textId="77777777" w:rsidTr="00DE689F">
        <w:tc>
          <w:tcPr>
            <w:tcW w:w="2457" w:type="dxa"/>
            <w:vMerge/>
            <w:shd w:val="clear" w:color="auto" w:fill="auto"/>
          </w:tcPr>
          <w:p w14:paraId="378C10E8" w14:textId="77777777" w:rsidR="00AF2AAF" w:rsidRPr="00DE689F" w:rsidRDefault="00AF2AAF" w:rsidP="00DE689F">
            <w:pPr>
              <w:keepNext/>
              <w:spacing w:before="40" w:after="120"/>
              <w:ind w:right="113"/>
            </w:pPr>
          </w:p>
        </w:tc>
        <w:tc>
          <w:tcPr>
            <w:tcW w:w="2456" w:type="dxa"/>
            <w:shd w:val="clear" w:color="auto" w:fill="auto"/>
          </w:tcPr>
          <w:p w14:paraId="137178D7" w14:textId="141AEAEB" w:rsidR="00AF2AAF" w:rsidRPr="00DE689F" w:rsidRDefault="00AF2AAF" w:rsidP="00DE689F">
            <w:pPr>
              <w:keepNext/>
              <w:spacing w:before="40" w:after="120"/>
              <w:ind w:right="113"/>
            </w:pPr>
            <w:r w:rsidRPr="00DE689F">
              <w:t>2016</w:t>
            </w:r>
          </w:p>
        </w:tc>
        <w:tc>
          <w:tcPr>
            <w:tcW w:w="2457" w:type="dxa"/>
            <w:shd w:val="clear" w:color="auto" w:fill="auto"/>
          </w:tcPr>
          <w:p w14:paraId="03357A72" w14:textId="1A15A634" w:rsidR="00AF2AAF" w:rsidRPr="00DE689F" w:rsidRDefault="00AF2AAF" w:rsidP="00DE689F">
            <w:pPr>
              <w:keepNext/>
              <w:spacing w:before="40" w:after="120"/>
              <w:ind w:right="113"/>
            </w:pPr>
            <w:r w:rsidRPr="00DE689F">
              <w:t>114</w:t>
            </w:r>
          </w:p>
        </w:tc>
      </w:tr>
      <w:tr w:rsidR="00AF2AAF" w:rsidRPr="00DE689F" w14:paraId="24834BCC" w14:textId="77777777" w:rsidTr="00DE689F">
        <w:tc>
          <w:tcPr>
            <w:tcW w:w="2457" w:type="dxa"/>
            <w:vMerge/>
            <w:tcBorders>
              <w:bottom w:val="single" w:sz="12" w:space="0" w:color="auto"/>
            </w:tcBorders>
            <w:shd w:val="clear" w:color="auto" w:fill="auto"/>
          </w:tcPr>
          <w:p w14:paraId="649A6734" w14:textId="77777777" w:rsidR="00AF2AAF" w:rsidRPr="00DE689F" w:rsidRDefault="00AF2AAF" w:rsidP="00DE689F">
            <w:pPr>
              <w:keepNext/>
              <w:spacing w:before="40" w:after="120"/>
              <w:ind w:right="113"/>
            </w:pPr>
          </w:p>
        </w:tc>
        <w:tc>
          <w:tcPr>
            <w:tcW w:w="2456" w:type="dxa"/>
            <w:tcBorders>
              <w:bottom w:val="single" w:sz="12" w:space="0" w:color="auto"/>
            </w:tcBorders>
            <w:shd w:val="clear" w:color="auto" w:fill="auto"/>
          </w:tcPr>
          <w:p w14:paraId="127613C7" w14:textId="6B85A372" w:rsidR="00AF2AAF" w:rsidRPr="00DE689F" w:rsidRDefault="00AF2AAF" w:rsidP="00DE689F">
            <w:pPr>
              <w:keepNext/>
              <w:spacing w:before="40" w:after="120"/>
              <w:ind w:right="113"/>
            </w:pPr>
            <w:r w:rsidRPr="00DE689F">
              <w:t>2017</w:t>
            </w:r>
          </w:p>
        </w:tc>
        <w:tc>
          <w:tcPr>
            <w:tcW w:w="2457" w:type="dxa"/>
            <w:tcBorders>
              <w:bottom w:val="single" w:sz="12" w:space="0" w:color="auto"/>
            </w:tcBorders>
            <w:shd w:val="clear" w:color="auto" w:fill="auto"/>
          </w:tcPr>
          <w:p w14:paraId="56E1839F" w14:textId="08899AB3" w:rsidR="00AF2AAF" w:rsidRPr="00DE689F" w:rsidRDefault="00AF2AAF" w:rsidP="00DE689F">
            <w:pPr>
              <w:keepNext/>
              <w:spacing w:before="40" w:after="120"/>
              <w:ind w:right="113"/>
            </w:pPr>
            <w:r w:rsidRPr="00DE689F">
              <w:t>126</w:t>
            </w:r>
          </w:p>
        </w:tc>
      </w:tr>
    </w:tbl>
    <w:p w14:paraId="5846F089" w14:textId="2BDB7255" w:rsidR="00D005FA" w:rsidRDefault="00D005FA" w:rsidP="00AF2AAF">
      <w:pPr>
        <w:pStyle w:val="H23G"/>
        <w:rPr>
          <w:lang w:val="fr-FR"/>
        </w:rPr>
      </w:pPr>
      <w:r w:rsidRPr="00310D49">
        <w:rPr>
          <w:lang w:val="fr-FR"/>
        </w:rPr>
        <w:tab/>
      </w:r>
      <w:r w:rsidRPr="00310D49">
        <w:rPr>
          <w:lang w:val="fr-FR"/>
        </w:rPr>
        <w:tab/>
        <w:t>Inspection et visite des établissements pénitentiaires par des organisations internationales/le Service des renseignements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842"/>
        <w:gridCol w:w="1700"/>
      </w:tblGrid>
      <w:tr w:rsidR="00DE689F" w:rsidRPr="00DE689F" w14:paraId="7DAA0149" w14:textId="77777777" w:rsidTr="00DE689F">
        <w:trPr>
          <w:tblHeader/>
        </w:trPr>
        <w:tc>
          <w:tcPr>
            <w:tcW w:w="3828" w:type="dxa"/>
            <w:tcBorders>
              <w:top w:val="single" w:sz="4" w:space="0" w:color="auto"/>
              <w:bottom w:val="single" w:sz="12" w:space="0" w:color="auto"/>
            </w:tcBorders>
            <w:shd w:val="clear" w:color="auto" w:fill="auto"/>
            <w:vAlign w:val="bottom"/>
          </w:tcPr>
          <w:p w14:paraId="7F3E20AE" w14:textId="02AA6E4D" w:rsidR="00AF2AAF" w:rsidRPr="00DE689F" w:rsidRDefault="00AF2AAF" w:rsidP="00DE689F">
            <w:pPr>
              <w:spacing w:before="80" w:after="80" w:line="200" w:lineRule="exact"/>
              <w:ind w:right="113"/>
              <w:rPr>
                <w:i/>
                <w:sz w:val="16"/>
              </w:rPr>
            </w:pPr>
            <w:r w:rsidRPr="00DE689F">
              <w:rPr>
                <w:i/>
                <w:sz w:val="16"/>
                <w:lang w:val="fr-FR"/>
              </w:rPr>
              <w:t>Institution</w:t>
            </w:r>
          </w:p>
        </w:tc>
        <w:tc>
          <w:tcPr>
            <w:tcW w:w="1842" w:type="dxa"/>
            <w:tcBorders>
              <w:top w:val="single" w:sz="4" w:space="0" w:color="auto"/>
              <w:bottom w:val="single" w:sz="12" w:space="0" w:color="auto"/>
            </w:tcBorders>
            <w:shd w:val="clear" w:color="auto" w:fill="auto"/>
            <w:vAlign w:val="bottom"/>
          </w:tcPr>
          <w:p w14:paraId="0D78C0E7" w14:textId="32F525A6" w:rsidR="00AF2AAF" w:rsidRPr="00DE689F" w:rsidRDefault="00AF2AAF" w:rsidP="00DE689F">
            <w:pPr>
              <w:spacing w:before="80" w:after="80" w:line="200" w:lineRule="exact"/>
              <w:ind w:right="113"/>
              <w:rPr>
                <w:i/>
                <w:sz w:val="16"/>
              </w:rPr>
            </w:pPr>
            <w:r w:rsidRPr="00DE689F">
              <w:rPr>
                <w:i/>
                <w:sz w:val="16"/>
                <w:lang w:val="fr-FR"/>
              </w:rPr>
              <w:t>Année</w:t>
            </w:r>
          </w:p>
        </w:tc>
        <w:tc>
          <w:tcPr>
            <w:tcW w:w="1700" w:type="dxa"/>
            <w:tcBorders>
              <w:top w:val="single" w:sz="4" w:space="0" w:color="auto"/>
              <w:bottom w:val="single" w:sz="12" w:space="0" w:color="auto"/>
            </w:tcBorders>
            <w:shd w:val="clear" w:color="auto" w:fill="auto"/>
            <w:vAlign w:val="bottom"/>
          </w:tcPr>
          <w:p w14:paraId="6C8D23F9" w14:textId="615F7B94" w:rsidR="00AF2AAF" w:rsidRPr="00DE689F" w:rsidRDefault="00AF2AAF" w:rsidP="00DE689F">
            <w:pPr>
              <w:spacing w:before="80" w:after="80" w:line="200" w:lineRule="exact"/>
              <w:ind w:right="113"/>
              <w:rPr>
                <w:i/>
                <w:sz w:val="16"/>
              </w:rPr>
            </w:pPr>
            <w:r w:rsidRPr="00DE689F">
              <w:rPr>
                <w:i/>
                <w:sz w:val="16"/>
                <w:lang w:val="fr-FR"/>
              </w:rPr>
              <w:t>Nombre de visites</w:t>
            </w:r>
          </w:p>
        </w:tc>
      </w:tr>
      <w:tr w:rsidR="00DE689F" w:rsidRPr="00DE689F" w14:paraId="317D3C69" w14:textId="77777777" w:rsidTr="00DE689F">
        <w:trPr>
          <w:trHeight w:hRule="exact" w:val="113"/>
        </w:trPr>
        <w:tc>
          <w:tcPr>
            <w:tcW w:w="3828" w:type="dxa"/>
            <w:tcBorders>
              <w:top w:val="single" w:sz="12" w:space="0" w:color="auto"/>
            </w:tcBorders>
            <w:shd w:val="clear" w:color="auto" w:fill="auto"/>
          </w:tcPr>
          <w:p w14:paraId="1A582F1F" w14:textId="77777777" w:rsidR="00DE689F" w:rsidRPr="00DE689F" w:rsidRDefault="00DE689F" w:rsidP="00DE689F">
            <w:pPr>
              <w:spacing w:before="40" w:after="120"/>
              <w:ind w:right="113"/>
              <w:rPr>
                <w:lang w:val="fr-FR"/>
              </w:rPr>
            </w:pPr>
          </w:p>
        </w:tc>
        <w:tc>
          <w:tcPr>
            <w:tcW w:w="1842" w:type="dxa"/>
            <w:tcBorders>
              <w:top w:val="single" w:sz="12" w:space="0" w:color="auto"/>
            </w:tcBorders>
            <w:shd w:val="clear" w:color="auto" w:fill="auto"/>
          </w:tcPr>
          <w:p w14:paraId="44146837" w14:textId="77777777" w:rsidR="00DE689F" w:rsidRPr="00DE689F" w:rsidRDefault="00DE689F" w:rsidP="00DE689F">
            <w:pPr>
              <w:spacing w:before="40" w:after="120"/>
              <w:ind w:right="113"/>
              <w:rPr>
                <w:lang w:val="fr-FR"/>
              </w:rPr>
            </w:pPr>
          </w:p>
        </w:tc>
        <w:tc>
          <w:tcPr>
            <w:tcW w:w="1700" w:type="dxa"/>
            <w:tcBorders>
              <w:top w:val="single" w:sz="12" w:space="0" w:color="auto"/>
            </w:tcBorders>
            <w:shd w:val="clear" w:color="auto" w:fill="auto"/>
          </w:tcPr>
          <w:p w14:paraId="5DEEE969" w14:textId="77777777" w:rsidR="00DE689F" w:rsidRPr="00DE689F" w:rsidRDefault="00DE689F" w:rsidP="00DE689F">
            <w:pPr>
              <w:spacing w:before="40" w:after="120"/>
              <w:ind w:right="113"/>
              <w:rPr>
                <w:lang w:val="fr-FR"/>
              </w:rPr>
            </w:pPr>
          </w:p>
        </w:tc>
      </w:tr>
      <w:tr w:rsidR="00DE689F" w:rsidRPr="00DE689F" w14:paraId="0453F68D" w14:textId="77777777" w:rsidTr="00DE689F">
        <w:tc>
          <w:tcPr>
            <w:tcW w:w="3828" w:type="dxa"/>
            <w:vMerge w:val="restart"/>
            <w:shd w:val="clear" w:color="auto" w:fill="auto"/>
            <w:vAlign w:val="center"/>
          </w:tcPr>
          <w:p w14:paraId="7E005B35" w14:textId="650AE1AF" w:rsidR="00DE689F" w:rsidRPr="00DE689F" w:rsidRDefault="00DE689F" w:rsidP="00DE689F">
            <w:pPr>
              <w:spacing w:before="40" w:after="120"/>
              <w:ind w:right="113"/>
            </w:pPr>
            <w:r w:rsidRPr="00DE689F">
              <w:rPr>
                <w:lang w:val="fr-FR"/>
              </w:rPr>
              <w:t>Comité international de la Croix-Rouge</w:t>
            </w:r>
          </w:p>
        </w:tc>
        <w:tc>
          <w:tcPr>
            <w:tcW w:w="1842" w:type="dxa"/>
            <w:shd w:val="clear" w:color="auto" w:fill="auto"/>
          </w:tcPr>
          <w:p w14:paraId="6EB7ECAC" w14:textId="060D12D0" w:rsidR="00DE689F" w:rsidRPr="00DE689F" w:rsidRDefault="00DE689F" w:rsidP="00DE689F">
            <w:pPr>
              <w:spacing w:before="40" w:after="120"/>
              <w:ind w:right="113"/>
            </w:pPr>
            <w:r w:rsidRPr="00DE689F">
              <w:t>2014</w:t>
            </w:r>
          </w:p>
        </w:tc>
        <w:tc>
          <w:tcPr>
            <w:tcW w:w="1700" w:type="dxa"/>
            <w:shd w:val="clear" w:color="auto" w:fill="auto"/>
          </w:tcPr>
          <w:p w14:paraId="20FF7C65" w14:textId="5FDDE7FE" w:rsidR="00DE689F" w:rsidRPr="00DE689F" w:rsidRDefault="00DE689F" w:rsidP="00DE689F">
            <w:pPr>
              <w:spacing w:before="40" w:after="120"/>
              <w:ind w:right="113"/>
            </w:pPr>
            <w:r w:rsidRPr="00DE689F">
              <w:t>156</w:t>
            </w:r>
          </w:p>
        </w:tc>
      </w:tr>
      <w:tr w:rsidR="00DE689F" w:rsidRPr="00DE689F" w14:paraId="5694152B" w14:textId="77777777" w:rsidTr="00DE689F">
        <w:tc>
          <w:tcPr>
            <w:tcW w:w="3828" w:type="dxa"/>
            <w:vMerge/>
            <w:shd w:val="clear" w:color="auto" w:fill="auto"/>
          </w:tcPr>
          <w:p w14:paraId="24263A1E" w14:textId="55923512" w:rsidR="00DE689F" w:rsidRPr="00DE689F" w:rsidRDefault="00DE689F" w:rsidP="00DE689F">
            <w:pPr>
              <w:spacing w:before="40" w:after="120"/>
              <w:ind w:right="113"/>
            </w:pPr>
          </w:p>
        </w:tc>
        <w:tc>
          <w:tcPr>
            <w:tcW w:w="1842" w:type="dxa"/>
            <w:shd w:val="clear" w:color="auto" w:fill="auto"/>
          </w:tcPr>
          <w:p w14:paraId="699061E5" w14:textId="3C67571E" w:rsidR="00DE689F" w:rsidRPr="00DE689F" w:rsidRDefault="00DE689F" w:rsidP="00DE689F">
            <w:pPr>
              <w:spacing w:before="40" w:after="120"/>
              <w:ind w:right="113"/>
            </w:pPr>
            <w:r w:rsidRPr="00DE689F">
              <w:t>2015</w:t>
            </w:r>
          </w:p>
        </w:tc>
        <w:tc>
          <w:tcPr>
            <w:tcW w:w="1700" w:type="dxa"/>
            <w:shd w:val="clear" w:color="auto" w:fill="auto"/>
          </w:tcPr>
          <w:p w14:paraId="63087597" w14:textId="0532AB58" w:rsidR="00DE689F" w:rsidRPr="00DE689F" w:rsidRDefault="00DE689F" w:rsidP="00DE689F">
            <w:pPr>
              <w:spacing w:before="40" w:after="120"/>
              <w:ind w:right="113"/>
            </w:pPr>
            <w:r w:rsidRPr="00DE689F">
              <w:t>156</w:t>
            </w:r>
          </w:p>
        </w:tc>
      </w:tr>
      <w:tr w:rsidR="00DE689F" w:rsidRPr="00DE689F" w14:paraId="2647727B" w14:textId="77777777" w:rsidTr="00DE689F">
        <w:tc>
          <w:tcPr>
            <w:tcW w:w="3828" w:type="dxa"/>
            <w:vMerge/>
            <w:shd w:val="clear" w:color="auto" w:fill="auto"/>
          </w:tcPr>
          <w:p w14:paraId="09FD015E" w14:textId="03D9FEDD" w:rsidR="00DE689F" w:rsidRPr="00DE689F" w:rsidRDefault="00DE689F" w:rsidP="00DE689F">
            <w:pPr>
              <w:spacing w:before="40" w:after="120"/>
              <w:ind w:right="113"/>
            </w:pPr>
          </w:p>
        </w:tc>
        <w:tc>
          <w:tcPr>
            <w:tcW w:w="1842" w:type="dxa"/>
            <w:shd w:val="clear" w:color="auto" w:fill="auto"/>
          </w:tcPr>
          <w:p w14:paraId="4A2A3875" w14:textId="41436F40" w:rsidR="00DE689F" w:rsidRPr="00DE689F" w:rsidRDefault="00DE689F" w:rsidP="00DE689F">
            <w:pPr>
              <w:spacing w:before="40" w:after="120"/>
              <w:ind w:right="113"/>
            </w:pPr>
            <w:r w:rsidRPr="00DE689F">
              <w:t>2016</w:t>
            </w:r>
          </w:p>
        </w:tc>
        <w:tc>
          <w:tcPr>
            <w:tcW w:w="1700" w:type="dxa"/>
            <w:shd w:val="clear" w:color="auto" w:fill="auto"/>
          </w:tcPr>
          <w:p w14:paraId="50C4BB04" w14:textId="03E3F69C" w:rsidR="00DE689F" w:rsidRPr="00DE689F" w:rsidRDefault="00DE689F" w:rsidP="00DE689F">
            <w:pPr>
              <w:spacing w:before="40" w:after="120"/>
              <w:ind w:right="113"/>
            </w:pPr>
            <w:r w:rsidRPr="00DE689F">
              <w:t>156</w:t>
            </w:r>
          </w:p>
        </w:tc>
      </w:tr>
      <w:tr w:rsidR="00DE689F" w:rsidRPr="00DE689F" w14:paraId="27BD72A2" w14:textId="77777777" w:rsidTr="00DE689F">
        <w:tc>
          <w:tcPr>
            <w:tcW w:w="3828" w:type="dxa"/>
            <w:vMerge/>
            <w:shd w:val="clear" w:color="auto" w:fill="auto"/>
          </w:tcPr>
          <w:p w14:paraId="1DFF8CFC" w14:textId="77777777" w:rsidR="00DE689F" w:rsidRPr="00DE689F" w:rsidRDefault="00DE689F" w:rsidP="00DE689F">
            <w:pPr>
              <w:spacing w:before="40" w:after="120"/>
              <w:ind w:right="113"/>
            </w:pPr>
          </w:p>
        </w:tc>
        <w:tc>
          <w:tcPr>
            <w:tcW w:w="1842" w:type="dxa"/>
            <w:shd w:val="clear" w:color="auto" w:fill="auto"/>
          </w:tcPr>
          <w:p w14:paraId="6FD07124" w14:textId="6538EEEC" w:rsidR="00DE689F" w:rsidRPr="00DE689F" w:rsidRDefault="00DE689F" w:rsidP="00DE689F">
            <w:pPr>
              <w:spacing w:before="40" w:after="120"/>
              <w:ind w:right="113"/>
            </w:pPr>
            <w:r w:rsidRPr="00DE689F">
              <w:t>2017</w:t>
            </w:r>
          </w:p>
        </w:tc>
        <w:tc>
          <w:tcPr>
            <w:tcW w:w="1700" w:type="dxa"/>
            <w:shd w:val="clear" w:color="auto" w:fill="auto"/>
          </w:tcPr>
          <w:p w14:paraId="2A916ADD" w14:textId="5B787585" w:rsidR="00DE689F" w:rsidRPr="00DE689F" w:rsidRDefault="00DE689F" w:rsidP="00DE689F">
            <w:pPr>
              <w:spacing w:before="40" w:after="120"/>
              <w:ind w:right="113"/>
            </w:pPr>
            <w:r w:rsidRPr="00DE689F">
              <w:t>156</w:t>
            </w:r>
          </w:p>
        </w:tc>
      </w:tr>
      <w:tr w:rsidR="00DE689F" w:rsidRPr="00DE689F" w14:paraId="0B53C1ED" w14:textId="77777777" w:rsidTr="00DE689F">
        <w:tc>
          <w:tcPr>
            <w:tcW w:w="3828" w:type="dxa"/>
            <w:vMerge/>
            <w:tcBorders>
              <w:bottom w:val="single" w:sz="12" w:space="0" w:color="auto"/>
            </w:tcBorders>
            <w:shd w:val="clear" w:color="auto" w:fill="auto"/>
          </w:tcPr>
          <w:p w14:paraId="29E37C3B" w14:textId="77777777" w:rsidR="00DE689F" w:rsidRPr="00DE689F" w:rsidRDefault="00DE689F" w:rsidP="00DE689F">
            <w:pPr>
              <w:spacing w:before="40" w:after="120"/>
              <w:ind w:right="113"/>
            </w:pPr>
          </w:p>
        </w:tc>
        <w:tc>
          <w:tcPr>
            <w:tcW w:w="1842" w:type="dxa"/>
            <w:tcBorders>
              <w:bottom w:val="single" w:sz="12" w:space="0" w:color="auto"/>
            </w:tcBorders>
            <w:shd w:val="clear" w:color="auto" w:fill="auto"/>
          </w:tcPr>
          <w:p w14:paraId="1721B2EF" w14:textId="107CF6C2" w:rsidR="00DE689F" w:rsidRPr="00DE689F" w:rsidRDefault="00DE689F" w:rsidP="00DE689F">
            <w:pPr>
              <w:spacing w:before="40" w:after="120"/>
              <w:ind w:right="113"/>
            </w:pPr>
            <w:r w:rsidRPr="00DE689F">
              <w:t>2018</w:t>
            </w:r>
          </w:p>
        </w:tc>
        <w:tc>
          <w:tcPr>
            <w:tcW w:w="1700" w:type="dxa"/>
            <w:tcBorders>
              <w:bottom w:val="single" w:sz="12" w:space="0" w:color="auto"/>
            </w:tcBorders>
            <w:shd w:val="clear" w:color="auto" w:fill="auto"/>
          </w:tcPr>
          <w:p w14:paraId="02DA49F4" w14:textId="374147A8" w:rsidR="00DE689F" w:rsidRPr="00DE689F" w:rsidRDefault="00DE689F" w:rsidP="00DE689F">
            <w:pPr>
              <w:spacing w:before="40" w:after="120"/>
              <w:ind w:right="113"/>
            </w:pPr>
            <w:r w:rsidRPr="00DE689F">
              <w:t>156</w:t>
            </w:r>
          </w:p>
        </w:tc>
      </w:tr>
    </w:tbl>
    <w:p w14:paraId="2C2175DE" w14:textId="3E6DEEE8" w:rsidR="00D005FA" w:rsidRDefault="00D005FA" w:rsidP="00DE689F">
      <w:pPr>
        <w:pStyle w:val="H23G"/>
        <w:rPr>
          <w:lang w:val="fr-FR"/>
        </w:rPr>
      </w:pPr>
      <w:r w:rsidRPr="00310D49">
        <w:rPr>
          <w:lang w:val="fr-FR"/>
        </w:rPr>
        <w:tab/>
      </w:r>
      <w:r w:rsidRPr="00310D49">
        <w:rPr>
          <w:lang w:val="fr-FR"/>
        </w:rPr>
        <w:tab/>
        <w:t>Inspection et visite des établissements pénitentiaires par des organisations internationales/la police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842"/>
        <w:gridCol w:w="1700"/>
      </w:tblGrid>
      <w:tr w:rsidR="002A6DB7" w:rsidRPr="002A6DB7" w14:paraId="1128C6D0" w14:textId="77777777" w:rsidTr="002A6DB7">
        <w:trPr>
          <w:tblHeader/>
        </w:trPr>
        <w:tc>
          <w:tcPr>
            <w:tcW w:w="3828" w:type="dxa"/>
            <w:tcBorders>
              <w:top w:val="single" w:sz="4" w:space="0" w:color="auto"/>
              <w:bottom w:val="single" w:sz="12" w:space="0" w:color="auto"/>
            </w:tcBorders>
            <w:shd w:val="clear" w:color="auto" w:fill="auto"/>
            <w:vAlign w:val="bottom"/>
          </w:tcPr>
          <w:p w14:paraId="232F2311" w14:textId="1DB1D621" w:rsidR="00DE689F" w:rsidRPr="002A6DB7" w:rsidRDefault="00DE689F" w:rsidP="002A6DB7">
            <w:pPr>
              <w:spacing w:before="80" w:after="80" w:line="200" w:lineRule="exact"/>
              <w:ind w:right="113"/>
              <w:rPr>
                <w:i/>
                <w:sz w:val="16"/>
              </w:rPr>
            </w:pPr>
            <w:r w:rsidRPr="002A6DB7">
              <w:rPr>
                <w:i/>
                <w:sz w:val="16"/>
                <w:lang w:val="fr-FR"/>
              </w:rPr>
              <w:t>Institution</w:t>
            </w:r>
          </w:p>
        </w:tc>
        <w:tc>
          <w:tcPr>
            <w:tcW w:w="1842" w:type="dxa"/>
            <w:tcBorders>
              <w:top w:val="single" w:sz="4" w:space="0" w:color="auto"/>
              <w:bottom w:val="single" w:sz="12" w:space="0" w:color="auto"/>
            </w:tcBorders>
            <w:shd w:val="clear" w:color="auto" w:fill="auto"/>
            <w:vAlign w:val="bottom"/>
          </w:tcPr>
          <w:p w14:paraId="6260F826" w14:textId="465D9B13" w:rsidR="00DE689F" w:rsidRPr="002A6DB7" w:rsidRDefault="00DE689F" w:rsidP="002A6DB7">
            <w:pPr>
              <w:spacing w:before="80" w:after="80" w:line="200" w:lineRule="exact"/>
              <w:ind w:right="113"/>
              <w:rPr>
                <w:i/>
                <w:sz w:val="16"/>
              </w:rPr>
            </w:pPr>
            <w:r w:rsidRPr="002A6DB7">
              <w:rPr>
                <w:i/>
                <w:sz w:val="16"/>
                <w:lang w:val="fr-FR"/>
              </w:rPr>
              <w:t>Année</w:t>
            </w:r>
          </w:p>
        </w:tc>
        <w:tc>
          <w:tcPr>
            <w:tcW w:w="1700" w:type="dxa"/>
            <w:tcBorders>
              <w:top w:val="single" w:sz="4" w:space="0" w:color="auto"/>
              <w:bottom w:val="single" w:sz="12" w:space="0" w:color="auto"/>
            </w:tcBorders>
            <w:shd w:val="clear" w:color="auto" w:fill="auto"/>
            <w:vAlign w:val="bottom"/>
          </w:tcPr>
          <w:p w14:paraId="3D1CB3C1" w14:textId="501363D4" w:rsidR="00DE689F" w:rsidRPr="002A6DB7" w:rsidRDefault="00DE689F" w:rsidP="002A6DB7">
            <w:pPr>
              <w:spacing w:before="80" w:after="80" w:line="200" w:lineRule="exact"/>
              <w:ind w:right="113"/>
              <w:rPr>
                <w:i/>
                <w:sz w:val="16"/>
              </w:rPr>
            </w:pPr>
            <w:r w:rsidRPr="002A6DB7">
              <w:rPr>
                <w:i/>
                <w:sz w:val="16"/>
                <w:lang w:val="fr-FR"/>
              </w:rPr>
              <w:t>Nombre de visites</w:t>
            </w:r>
          </w:p>
        </w:tc>
      </w:tr>
      <w:tr w:rsidR="002A6DB7" w:rsidRPr="002A6DB7" w14:paraId="2AE77669" w14:textId="77777777" w:rsidTr="002A6DB7">
        <w:trPr>
          <w:trHeight w:hRule="exact" w:val="113"/>
        </w:trPr>
        <w:tc>
          <w:tcPr>
            <w:tcW w:w="3828" w:type="dxa"/>
            <w:tcBorders>
              <w:top w:val="single" w:sz="12" w:space="0" w:color="auto"/>
            </w:tcBorders>
            <w:shd w:val="clear" w:color="auto" w:fill="auto"/>
          </w:tcPr>
          <w:p w14:paraId="2D540148" w14:textId="77777777" w:rsidR="002A6DB7" w:rsidRPr="002A6DB7" w:rsidRDefault="002A6DB7" w:rsidP="002A6DB7">
            <w:pPr>
              <w:spacing w:before="40" w:after="120"/>
              <w:ind w:right="113"/>
              <w:rPr>
                <w:lang w:val="fr-FR"/>
              </w:rPr>
            </w:pPr>
          </w:p>
        </w:tc>
        <w:tc>
          <w:tcPr>
            <w:tcW w:w="1842" w:type="dxa"/>
            <w:tcBorders>
              <w:top w:val="single" w:sz="12" w:space="0" w:color="auto"/>
            </w:tcBorders>
            <w:shd w:val="clear" w:color="auto" w:fill="auto"/>
          </w:tcPr>
          <w:p w14:paraId="0AC1ED98" w14:textId="77777777" w:rsidR="002A6DB7" w:rsidRPr="002A6DB7" w:rsidRDefault="002A6DB7" w:rsidP="002A6DB7">
            <w:pPr>
              <w:spacing w:before="40" w:after="120"/>
              <w:ind w:right="113"/>
              <w:rPr>
                <w:lang w:val="fr-FR"/>
              </w:rPr>
            </w:pPr>
          </w:p>
        </w:tc>
        <w:tc>
          <w:tcPr>
            <w:tcW w:w="1700" w:type="dxa"/>
            <w:tcBorders>
              <w:top w:val="single" w:sz="12" w:space="0" w:color="auto"/>
            </w:tcBorders>
            <w:shd w:val="clear" w:color="auto" w:fill="auto"/>
          </w:tcPr>
          <w:p w14:paraId="4CC489CE" w14:textId="77777777" w:rsidR="002A6DB7" w:rsidRPr="002A6DB7" w:rsidRDefault="002A6DB7" w:rsidP="002A6DB7">
            <w:pPr>
              <w:spacing w:before="40" w:after="120"/>
              <w:ind w:right="113"/>
              <w:rPr>
                <w:lang w:val="fr-FR"/>
              </w:rPr>
            </w:pPr>
          </w:p>
        </w:tc>
      </w:tr>
      <w:tr w:rsidR="0057719F" w:rsidRPr="002A6DB7" w14:paraId="6614D1A4" w14:textId="77777777" w:rsidTr="0057719F">
        <w:tc>
          <w:tcPr>
            <w:tcW w:w="3828" w:type="dxa"/>
            <w:vMerge w:val="restart"/>
            <w:shd w:val="clear" w:color="auto" w:fill="auto"/>
            <w:vAlign w:val="center"/>
          </w:tcPr>
          <w:p w14:paraId="645FC8EA" w14:textId="657A71AD" w:rsidR="0057719F" w:rsidRPr="002A6DB7" w:rsidRDefault="0057719F" w:rsidP="0057719F">
            <w:pPr>
              <w:spacing w:before="40" w:after="120"/>
              <w:ind w:right="113"/>
            </w:pPr>
            <w:r w:rsidRPr="002A6DB7">
              <w:rPr>
                <w:lang w:val="fr-FR"/>
              </w:rPr>
              <w:t>Comité international de la Croix-Rouge</w:t>
            </w:r>
          </w:p>
        </w:tc>
        <w:tc>
          <w:tcPr>
            <w:tcW w:w="1842" w:type="dxa"/>
            <w:shd w:val="clear" w:color="auto" w:fill="auto"/>
          </w:tcPr>
          <w:p w14:paraId="49ABB16B" w14:textId="7F01FC19" w:rsidR="0057719F" w:rsidRPr="002A6DB7" w:rsidRDefault="0057719F" w:rsidP="002A6DB7">
            <w:pPr>
              <w:spacing w:before="40" w:after="120"/>
              <w:ind w:right="113"/>
            </w:pPr>
            <w:r w:rsidRPr="002A6DB7">
              <w:t>2014</w:t>
            </w:r>
          </w:p>
        </w:tc>
        <w:tc>
          <w:tcPr>
            <w:tcW w:w="1700" w:type="dxa"/>
            <w:shd w:val="clear" w:color="auto" w:fill="auto"/>
          </w:tcPr>
          <w:p w14:paraId="5AC22BBD" w14:textId="781F7263" w:rsidR="0057719F" w:rsidRPr="002A6DB7" w:rsidRDefault="0057719F" w:rsidP="002A6DB7">
            <w:pPr>
              <w:spacing w:before="40" w:after="120"/>
              <w:ind w:right="113"/>
            </w:pPr>
            <w:r w:rsidRPr="002A6DB7">
              <w:t>44</w:t>
            </w:r>
          </w:p>
        </w:tc>
      </w:tr>
      <w:tr w:rsidR="0057719F" w:rsidRPr="002A6DB7" w14:paraId="24B3EE9B" w14:textId="77777777" w:rsidTr="002A6DB7">
        <w:tc>
          <w:tcPr>
            <w:tcW w:w="3828" w:type="dxa"/>
            <w:vMerge/>
            <w:shd w:val="clear" w:color="auto" w:fill="auto"/>
          </w:tcPr>
          <w:p w14:paraId="47BB7491" w14:textId="77777777" w:rsidR="0057719F" w:rsidRPr="002A6DB7" w:rsidRDefault="0057719F" w:rsidP="002A6DB7">
            <w:pPr>
              <w:spacing w:before="40" w:after="120"/>
              <w:ind w:right="113"/>
            </w:pPr>
          </w:p>
        </w:tc>
        <w:tc>
          <w:tcPr>
            <w:tcW w:w="1842" w:type="dxa"/>
            <w:shd w:val="clear" w:color="auto" w:fill="auto"/>
          </w:tcPr>
          <w:p w14:paraId="7D73BF68" w14:textId="4FBA80E0" w:rsidR="0057719F" w:rsidRPr="002A6DB7" w:rsidRDefault="0057719F" w:rsidP="002A6DB7">
            <w:pPr>
              <w:spacing w:before="40" w:after="120"/>
              <w:ind w:right="113"/>
            </w:pPr>
            <w:r w:rsidRPr="002A6DB7">
              <w:t>2015</w:t>
            </w:r>
          </w:p>
        </w:tc>
        <w:tc>
          <w:tcPr>
            <w:tcW w:w="1700" w:type="dxa"/>
            <w:shd w:val="clear" w:color="auto" w:fill="auto"/>
          </w:tcPr>
          <w:p w14:paraId="5C82E5BA" w14:textId="28AC8760" w:rsidR="0057719F" w:rsidRPr="002A6DB7" w:rsidRDefault="0057719F" w:rsidP="002A6DB7">
            <w:pPr>
              <w:spacing w:before="40" w:after="120"/>
              <w:ind w:right="113"/>
            </w:pPr>
            <w:r w:rsidRPr="002A6DB7">
              <w:t>65</w:t>
            </w:r>
          </w:p>
        </w:tc>
      </w:tr>
      <w:tr w:rsidR="0057719F" w:rsidRPr="002A6DB7" w14:paraId="47560A16" w14:textId="77777777" w:rsidTr="002A6DB7">
        <w:tc>
          <w:tcPr>
            <w:tcW w:w="3828" w:type="dxa"/>
            <w:vMerge/>
            <w:shd w:val="clear" w:color="auto" w:fill="auto"/>
          </w:tcPr>
          <w:p w14:paraId="25D58893" w14:textId="77777777" w:rsidR="0057719F" w:rsidRPr="002A6DB7" w:rsidRDefault="0057719F" w:rsidP="002A6DB7">
            <w:pPr>
              <w:spacing w:before="40" w:after="120"/>
              <w:ind w:right="113"/>
            </w:pPr>
          </w:p>
        </w:tc>
        <w:tc>
          <w:tcPr>
            <w:tcW w:w="1842" w:type="dxa"/>
            <w:shd w:val="clear" w:color="auto" w:fill="auto"/>
          </w:tcPr>
          <w:p w14:paraId="0BE54832" w14:textId="1B58BAA0" w:rsidR="0057719F" w:rsidRPr="002A6DB7" w:rsidRDefault="0057719F" w:rsidP="002A6DB7">
            <w:pPr>
              <w:spacing w:before="40" w:after="120"/>
              <w:ind w:right="113"/>
            </w:pPr>
            <w:r w:rsidRPr="002A6DB7">
              <w:t>2016</w:t>
            </w:r>
          </w:p>
        </w:tc>
        <w:tc>
          <w:tcPr>
            <w:tcW w:w="1700" w:type="dxa"/>
            <w:shd w:val="clear" w:color="auto" w:fill="auto"/>
          </w:tcPr>
          <w:p w14:paraId="760F6301" w14:textId="06D9ABDF" w:rsidR="0057719F" w:rsidRPr="002A6DB7" w:rsidRDefault="0057719F" w:rsidP="002A6DB7">
            <w:pPr>
              <w:spacing w:before="40" w:after="120"/>
              <w:ind w:right="113"/>
            </w:pPr>
            <w:r w:rsidRPr="002A6DB7">
              <w:t>35</w:t>
            </w:r>
          </w:p>
        </w:tc>
      </w:tr>
      <w:tr w:rsidR="0057719F" w:rsidRPr="002A6DB7" w14:paraId="5E195D57" w14:textId="77777777" w:rsidTr="002A6DB7">
        <w:tc>
          <w:tcPr>
            <w:tcW w:w="3828" w:type="dxa"/>
            <w:vMerge/>
            <w:shd w:val="clear" w:color="auto" w:fill="auto"/>
          </w:tcPr>
          <w:p w14:paraId="4ACDB70C" w14:textId="77777777" w:rsidR="0057719F" w:rsidRPr="002A6DB7" w:rsidRDefault="0057719F" w:rsidP="002A6DB7">
            <w:pPr>
              <w:spacing w:before="40" w:after="120"/>
              <w:ind w:right="113"/>
            </w:pPr>
          </w:p>
        </w:tc>
        <w:tc>
          <w:tcPr>
            <w:tcW w:w="1842" w:type="dxa"/>
            <w:shd w:val="clear" w:color="auto" w:fill="auto"/>
          </w:tcPr>
          <w:p w14:paraId="50F42505" w14:textId="07A45775" w:rsidR="0057719F" w:rsidRPr="002A6DB7" w:rsidRDefault="0057719F" w:rsidP="002A6DB7">
            <w:pPr>
              <w:spacing w:before="40" w:after="120"/>
              <w:ind w:right="113"/>
            </w:pPr>
            <w:r w:rsidRPr="002A6DB7">
              <w:t>2017</w:t>
            </w:r>
          </w:p>
        </w:tc>
        <w:tc>
          <w:tcPr>
            <w:tcW w:w="1700" w:type="dxa"/>
            <w:shd w:val="clear" w:color="auto" w:fill="auto"/>
          </w:tcPr>
          <w:p w14:paraId="413D0C9B" w14:textId="7DE4E5C9" w:rsidR="0057719F" w:rsidRPr="002A6DB7" w:rsidRDefault="0057719F" w:rsidP="002A6DB7">
            <w:pPr>
              <w:spacing w:before="40" w:after="120"/>
              <w:ind w:right="113"/>
            </w:pPr>
            <w:r w:rsidRPr="002A6DB7">
              <w:t>47</w:t>
            </w:r>
          </w:p>
        </w:tc>
      </w:tr>
      <w:tr w:rsidR="0057719F" w:rsidRPr="002A6DB7" w14:paraId="5744FE1A" w14:textId="77777777" w:rsidTr="0057719F">
        <w:tc>
          <w:tcPr>
            <w:tcW w:w="3828" w:type="dxa"/>
            <w:vMerge w:val="restart"/>
            <w:shd w:val="clear" w:color="auto" w:fill="auto"/>
            <w:vAlign w:val="center"/>
          </w:tcPr>
          <w:p w14:paraId="0E1EB3F1" w14:textId="14E3E8C8" w:rsidR="0057719F" w:rsidRPr="002A6DB7" w:rsidRDefault="0057719F" w:rsidP="0057719F">
            <w:pPr>
              <w:spacing w:before="40" w:after="120"/>
              <w:ind w:right="113"/>
            </w:pPr>
            <w:r w:rsidRPr="002A6DB7">
              <w:rPr>
                <w:lang w:val="fr-FR"/>
              </w:rPr>
              <w:t>Haut-Commissariat aux droits de l</w:t>
            </w:r>
            <w:r w:rsidR="0035332C">
              <w:rPr>
                <w:lang w:val="fr-FR"/>
              </w:rPr>
              <w:t>’</w:t>
            </w:r>
            <w:r w:rsidRPr="002A6DB7">
              <w:rPr>
                <w:lang w:val="fr-FR"/>
              </w:rPr>
              <w:t>homme</w:t>
            </w:r>
          </w:p>
        </w:tc>
        <w:tc>
          <w:tcPr>
            <w:tcW w:w="1842" w:type="dxa"/>
            <w:shd w:val="clear" w:color="auto" w:fill="auto"/>
          </w:tcPr>
          <w:p w14:paraId="4AE9D627" w14:textId="03EEF097" w:rsidR="0057719F" w:rsidRPr="002A6DB7" w:rsidRDefault="0057719F" w:rsidP="002A6DB7">
            <w:pPr>
              <w:spacing w:before="40" w:after="120"/>
              <w:ind w:right="113"/>
            </w:pPr>
            <w:r w:rsidRPr="002A6DB7">
              <w:t>2014</w:t>
            </w:r>
          </w:p>
        </w:tc>
        <w:tc>
          <w:tcPr>
            <w:tcW w:w="1700" w:type="dxa"/>
            <w:shd w:val="clear" w:color="auto" w:fill="auto"/>
          </w:tcPr>
          <w:p w14:paraId="07C97974" w14:textId="51503B3E" w:rsidR="0057719F" w:rsidRPr="002A6DB7" w:rsidRDefault="0057719F" w:rsidP="002A6DB7">
            <w:pPr>
              <w:spacing w:before="40" w:after="120"/>
              <w:ind w:right="113"/>
            </w:pPr>
            <w:r w:rsidRPr="002A6DB7">
              <w:t>0</w:t>
            </w:r>
          </w:p>
        </w:tc>
      </w:tr>
      <w:tr w:rsidR="0057719F" w:rsidRPr="002A6DB7" w14:paraId="46CB0D11" w14:textId="77777777" w:rsidTr="002A6DB7">
        <w:tc>
          <w:tcPr>
            <w:tcW w:w="3828" w:type="dxa"/>
            <w:vMerge/>
            <w:shd w:val="clear" w:color="auto" w:fill="auto"/>
          </w:tcPr>
          <w:p w14:paraId="0CD516AC" w14:textId="77777777" w:rsidR="0057719F" w:rsidRPr="002A6DB7" w:rsidRDefault="0057719F" w:rsidP="002A6DB7">
            <w:pPr>
              <w:spacing w:before="40" w:after="120"/>
              <w:ind w:right="113"/>
            </w:pPr>
          </w:p>
        </w:tc>
        <w:tc>
          <w:tcPr>
            <w:tcW w:w="1842" w:type="dxa"/>
            <w:shd w:val="clear" w:color="auto" w:fill="auto"/>
          </w:tcPr>
          <w:p w14:paraId="65D37530" w14:textId="7ABCFFD6" w:rsidR="0057719F" w:rsidRPr="002A6DB7" w:rsidRDefault="0057719F" w:rsidP="002A6DB7">
            <w:pPr>
              <w:spacing w:before="40" w:after="120"/>
              <w:ind w:right="113"/>
            </w:pPr>
            <w:r w:rsidRPr="002A6DB7">
              <w:t>2015</w:t>
            </w:r>
          </w:p>
        </w:tc>
        <w:tc>
          <w:tcPr>
            <w:tcW w:w="1700" w:type="dxa"/>
            <w:shd w:val="clear" w:color="auto" w:fill="auto"/>
          </w:tcPr>
          <w:p w14:paraId="7C438ED2" w14:textId="0DFD90AB" w:rsidR="0057719F" w:rsidRPr="002A6DB7" w:rsidRDefault="0057719F" w:rsidP="002A6DB7">
            <w:pPr>
              <w:spacing w:before="40" w:after="120"/>
              <w:ind w:right="113"/>
            </w:pPr>
            <w:r w:rsidRPr="002A6DB7">
              <w:t>1</w:t>
            </w:r>
          </w:p>
        </w:tc>
      </w:tr>
      <w:tr w:rsidR="0057719F" w:rsidRPr="002A6DB7" w14:paraId="7FC5995E" w14:textId="77777777" w:rsidTr="002A6DB7">
        <w:tc>
          <w:tcPr>
            <w:tcW w:w="3828" w:type="dxa"/>
            <w:vMerge/>
            <w:shd w:val="clear" w:color="auto" w:fill="auto"/>
          </w:tcPr>
          <w:p w14:paraId="76C12BE6" w14:textId="77777777" w:rsidR="0057719F" w:rsidRPr="002A6DB7" w:rsidRDefault="0057719F" w:rsidP="002A6DB7">
            <w:pPr>
              <w:spacing w:before="40" w:after="120"/>
              <w:ind w:right="113"/>
            </w:pPr>
          </w:p>
        </w:tc>
        <w:tc>
          <w:tcPr>
            <w:tcW w:w="1842" w:type="dxa"/>
            <w:shd w:val="clear" w:color="auto" w:fill="auto"/>
          </w:tcPr>
          <w:p w14:paraId="6BBE17E1" w14:textId="7DD2720C" w:rsidR="0057719F" w:rsidRPr="002A6DB7" w:rsidRDefault="0057719F" w:rsidP="002A6DB7">
            <w:pPr>
              <w:spacing w:before="40" w:after="120"/>
              <w:ind w:right="113"/>
            </w:pPr>
            <w:r w:rsidRPr="002A6DB7">
              <w:t>2016</w:t>
            </w:r>
          </w:p>
        </w:tc>
        <w:tc>
          <w:tcPr>
            <w:tcW w:w="1700" w:type="dxa"/>
            <w:shd w:val="clear" w:color="auto" w:fill="auto"/>
          </w:tcPr>
          <w:p w14:paraId="76A7005B" w14:textId="53A3AD1D" w:rsidR="0057719F" w:rsidRPr="002A6DB7" w:rsidRDefault="0057719F" w:rsidP="002A6DB7">
            <w:pPr>
              <w:spacing w:before="40" w:after="120"/>
              <w:ind w:right="113"/>
            </w:pPr>
            <w:r w:rsidRPr="002A6DB7">
              <w:t>0</w:t>
            </w:r>
          </w:p>
        </w:tc>
      </w:tr>
      <w:tr w:rsidR="0057719F" w:rsidRPr="002A6DB7" w14:paraId="4DE23AC8" w14:textId="77777777" w:rsidTr="002A6DB7">
        <w:tc>
          <w:tcPr>
            <w:tcW w:w="3828" w:type="dxa"/>
            <w:vMerge/>
            <w:tcBorders>
              <w:bottom w:val="single" w:sz="12" w:space="0" w:color="auto"/>
            </w:tcBorders>
            <w:shd w:val="clear" w:color="auto" w:fill="auto"/>
          </w:tcPr>
          <w:p w14:paraId="5A99A428" w14:textId="77777777" w:rsidR="0057719F" w:rsidRPr="002A6DB7" w:rsidRDefault="0057719F" w:rsidP="002A6DB7">
            <w:pPr>
              <w:spacing w:before="40" w:after="120"/>
              <w:ind w:right="113"/>
            </w:pPr>
          </w:p>
        </w:tc>
        <w:tc>
          <w:tcPr>
            <w:tcW w:w="1842" w:type="dxa"/>
            <w:tcBorders>
              <w:bottom w:val="single" w:sz="12" w:space="0" w:color="auto"/>
            </w:tcBorders>
            <w:shd w:val="clear" w:color="auto" w:fill="auto"/>
          </w:tcPr>
          <w:p w14:paraId="533B79DB" w14:textId="5C2BA61E" w:rsidR="0057719F" w:rsidRPr="002A6DB7" w:rsidRDefault="0057719F" w:rsidP="002A6DB7">
            <w:pPr>
              <w:spacing w:before="40" w:after="120"/>
              <w:ind w:right="113"/>
            </w:pPr>
            <w:r w:rsidRPr="002A6DB7">
              <w:t>2017</w:t>
            </w:r>
          </w:p>
        </w:tc>
        <w:tc>
          <w:tcPr>
            <w:tcW w:w="1700" w:type="dxa"/>
            <w:tcBorders>
              <w:bottom w:val="single" w:sz="12" w:space="0" w:color="auto"/>
            </w:tcBorders>
            <w:shd w:val="clear" w:color="auto" w:fill="auto"/>
          </w:tcPr>
          <w:p w14:paraId="2BBEB2E8" w14:textId="493505D4" w:rsidR="0057719F" w:rsidRPr="002A6DB7" w:rsidRDefault="0057719F" w:rsidP="002A6DB7">
            <w:pPr>
              <w:spacing w:before="40" w:after="120"/>
              <w:ind w:right="113"/>
            </w:pPr>
            <w:r w:rsidRPr="002A6DB7">
              <w:t>2</w:t>
            </w:r>
          </w:p>
        </w:tc>
      </w:tr>
    </w:tbl>
    <w:p w14:paraId="61917934" w14:textId="12D1B151" w:rsidR="00D005FA" w:rsidRPr="00310D49" w:rsidRDefault="00D005FA" w:rsidP="00572343">
      <w:pPr>
        <w:pStyle w:val="SingleTxtG"/>
        <w:spacing w:before="240"/>
        <w:rPr>
          <w:rFonts w:eastAsia="Times New Roman"/>
          <w:lang w:val="fr-FR"/>
        </w:rPr>
      </w:pPr>
      <w:r w:rsidRPr="00310D49">
        <w:rPr>
          <w:lang w:val="fr-FR"/>
        </w:rPr>
        <w:t>225.</w:t>
      </w:r>
      <w:r w:rsidRPr="00310D49">
        <w:rPr>
          <w:lang w:val="fr-FR"/>
        </w:rPr>
        <w:tab/>
        <w:t>La réponse donnée à l</w:t>
      </w:r>
      <w:r w:rsidR="0035332C">
        <w:rPr>
          <w:lang w:val="fr-FR"/>
        </w:rPr>
        <w:t>’</w:t>
      </w:r>
      <w:r w:rsidRPr="00310D49">
        <w:rPr>
          <w:lang w:val="fr-FR"/>
        </w:rPr>
        <w:t>article 24 traite de de la question des mineurs.</w:t>
      </w:r>
    </w:p>
    <w:p w14:paraId="24E3A904" w14:textId="77777777" w:rsidR="00D005FA" w:rsidRPr="00310D49" w:rsidRDefault="00D005FA" w:rsidP="0057719F">
      <w:pPr>
        <w:pStyle w:val="H23G"/>
        <w:rPr>
          <w:rFonts w:eastAsia="Times New Roman"/>
          <w:lang w:val="fr-FR"/>
        </w:rPr>
      </w:pPr>
      <w:r w:rsidRPr="00310D49">
        <w:rPr>
          <w:lang w:val="fr-FR"/>
        </w:rPr>
        <w:tab/>
      </w:r>
      <w:r w:rsidRPr="00310D49">
        <w:rPr>
          <w:lang w:val="fr-FR"/>
        </w:rPr>
        <w:tab/>
        <w:t>Régime disciplinaire</w:t>
      </w:r>
    </w:p>
    <w:p w14:paraId="4CD7D239" w14:textId="665FB4F2" w:rsidR="00D005FA" w:rsidRPr="00310D49" w:rsidRDefault="00D005FA" w:rsidP="0057719F">
      <w:pPr>
        <w:pStyle w:val="SingleTxtG"/>
        <w:spacing w:before="120"/>
        <w:rPr>
          <w:rFonts w:eastAsia="Times New Roman"/>
          <w:lang w:val="fr-FR"/>
        </w:rPr>
      </w:pPr>
      <w:r w:rsidRPr="00310D49">
        <w:rPr>
          <w:lang w:val="fr-FR"/>
        </w:rPr>
        <w:t>226.</w:t>
      </w:r>
      <w:r w:rsidRPr="00310D49">
        <w:rPr>
          <w:lang w:val="fr-FR"/>
        </w:rPr>
        <w:tab/>
        <w:t>Trois sanctions disciplinaires sont prévues, en droit comme en pratique, à savoir l</w:t>
      </w:r>
      <w:r w:rsidR="0035332C">
        <w:rPr>
          <w:lang w:val="fr-FR"/>
        </w:rPr>
        <w:t>’</w:t>
      </w:r>
      <w:r w:rsidRPr="00310D49">
        <w:rPr>
          <w:lang w:val="fr-FR"/>
        </w:rPr>
        <w:t>avertissement, la mise à l</w:t>
      </w:r>
      <w:r w:rsidR="0035332C">
        <w:rPr>
          <w:lang w:val="fr-FR"/>
        </w:rPr>
        <w:t>’</w:t>
      </w:r>
      <w:r w:rsidRPr="00310D49">
        <w:rPr>
          <w:lang w:val="fr-FR"/>
        </w:rPr>
        <w:t>isolement pour une période n</w:t>
      </w:r>
      <w:r w:rsidR="0035332C">
        <w:rPr>
          <w:lang w:val="fr-FR"/>
        </w:rPr>
        <w:t>’</w:t>
      </w:r>
      <w:r w:rsidRPr="00310D49">
        <w:rPr>
          <w:lang w:val="fr-FR"/>
        </w:rPr>
        <w:t>excédant pas une semaine et la privation pendant une période n</w:t>
      </w:r>
      <w:r w:rsidR="0035332C">
        <w:rPr>
          <w:lang w:val="fr-FR"/>
        </w:rPr>
        <w:t>’</w:t>
      </w:r>
      <w:r w:rsidRPr="00310D49">
        <w:rPr>
          <w:lang w:val="fr-FR"/>
        </w:rPr>
        <w:t xml:space="preserve">excédant pas trente jours de certains privilèges prévus pour la catégorie de détenus dont le détenu concerné fait partie. Il convient de préciser que le </w:t>
      </w:r>
      <w:r w:rsidRPr="00310D49">
        <w:rPr>
          <w:lang w:val="fr-FR"/>
        </w:rPr>
        <w:lastRenderedPageBreak/>
        <w:t>détenu a le droit de contester la sanction disciplinaire dont il fait l</w:t>
      </w:r>
      <w:r w:rsidR="0035332C">
        <w:rPr>
          <w:lang w:val="fr-FR"/>
        </w:rPr>
        <w:t>’</w:t>
      </w:r>
      <w:r w:rsidRPr="00310D49">
        <w:rPr>
          <w:lang w:val="fr-FR"/>
        </w:rPr>
        <w:t>objet. Le tableau ci-après présente les sanctions disciplinaires infligées dans les établissements pénitentiaires en 2015 et 2016.</w:t>
      </w:r>
    </w:p>
    <w:tbl>
      <w:tblPr>
        <w:tblW w:w="9639" w:type="dxa"/>
        <w:tblLayout w:type="fixed"/>
        <w:tblCellMar>
          <w:left w:w="0" w:type="dxa"/>
          <w:right w:w="0" w:type="dxa"/>
        </w:tblCellMar>
        <w:tblLook w:val="04A0" w:firstRow="1" w:lastRow="0" w:firstColumn="1" w:lastColumn="0" w:noHBand="0" w:noVBand="1"/>
      </w:tblPr>
      <w:tblGrid>
        <w:gridCol w:w="966"/>
        <w:gridCol w:w="982"/>
        <w:gridCol w:w="1029"/>
        <w:gridCol w:w="851"/>
        <w:gridCol w:w="1806"/>
        <w:gridCol w:w="1029"/>
        <w:gridCol w:w="992"/>
        <w:gridCol w:w="1984"/>
      </w:tblGrid>
      <w:tr w:rsidR="0057719F" w:rsidRPr="0057719F" w14:paraId="29A7FAE4" w14:textId="77777777" w:rsidTr="0057719F">
        <w:trPr>
          <w:tblHeader/>
        </w:trPr>
        <w:tc>
          <w:tcPr>
            <w:tcW w:w="966" w:type="dxa"/>
            <w:vMerge w:val="restart"/>
            <w:tcBorders>
              <w:top w:val="single" w:sz="4" w:space="0" w:color="auto"/>
              <w:bottom w:val="single" w:sz="12" w:space="0" w:color="auto"/>
            </w:tcBorders>
            <w:shd w:val="clear" w:color="auto" w:fill="auto"/>
            <w:vAlign w:val="bottom"/>
          </w:tcPr>
          <w:p w14:paraId="0EA8B166"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Établissement</w:t>
            </w:r>
          </w:p>
        </w:tc>
        <w:tc>
          <w:tcPr>
            <w:tcW w:w="982" w:type="dxa"/>
            <w:vMerge w:val="restart"/>
            <w:tcBorders>
              <w:top w:val="single" w:sz="4" w:space="0" w:color="auto"/>
              <w:bottom w:val="single" w:sz="12" w:space="0" w:color="auto"/>
            </w:tcBorders>
            <w:shd w:val="clear" w:color="auto" w:fill="auto"/>
            <w:vAlign w:val="bottom"/>
          </w:tcPr>
          <w:p w14:paraId="78AA3D9D"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Catégorie</w:t>
            </w:r>
          </w:p>
        </w:tc>
        <w:tc>
          <w:tcPr>
            <w:tcW w:w="3686" w:type="dxa"/>
            <w:gridSpan w:val="3"/>
            <w:tcBorders>
              <w:top w:val="single" w:sz="4" w:space="0" w:color="auto"/>
              <w:bottom w:val="single" w:sz="4" w:space="0" w:color="auto"/>
            </w:tcBorders>
            <w:shd w:val="clear" w:color="auto" w:fill="auto"/>
            <w:vAlign w:val="bottom"/>
          </w:tcPr>
          <w:p w14:paraId="360AACA4" w14:textId="77777777" w:rsidR="00D005FA" w:rsidRPr="0057719F" w:rsidRDefault="00D005FA" w:rsidP="0057719F">
            <w:pPr>
              <w:suppressAutoHyphens w:val="0"/>
              <w:spacing w:before="80" w:after="80" w:line="200" w:lineRule="exact"/>
              <w:jc w:val="center"/>
              <w:rPr>
                <w:i/>
                <w:iCs/>
                <w:sz w:val="16"/>
                <w:lang w:val="fr-FR"/>
              </w:rPr>
            </w:pPr>
            <w:r w:rsidRPr="0057719F">
              <w:rPr>
                <w:i/>
                <w:iCs/>
                <w:sz w:val="16"/>
                <w:lang w:val="fr-FR"/>
              </w:rPr>
              <w:t>2015</w:t>
            </w:r>
          </w:p>
        </w:tc>
        <w:tc>
          <w:tcPr>
            <w:tcW w:w="4005" w:type="dxa"/>
            <w:gridSpan w:val="3"/>
            <w:tcBorders>
              <w:top w:val="single" w:sz="4" w:space="0" w:color="auto"/>
              <w:bottom w:val="single" w:sz="4" w:space="0" w:color="auto"/>
            </w:tcBorders>
            <w:shd w:val="clear" w:color="auto" w:fill="auto"/>
            <w:vAlign w:val="bottom"/>
          </w:tcPr>
          <w:p w14:paraId="528DEC1D" w14:textId="77777777" w:rsidR="00D005FA" w:rsidRPr="0057719F" w:rsidRDefault="00D005FA" w:rsidP="0057719F">
            <w:pPr>
              <w:suppressAutoHyphens w:val="0"/>
              <w:spacing w:before="80" w:after="80" w:line="200" w:lineRule="exact"/>
              <w:jc w:val="center"/>
              <w:rPr>
                <w:i/>
                <w:iCs/>
                <w:sz w:val="16"/>
                <w:lang w:val="fr-FR"/>
              </w:rPr>
            </w:pPr>
            <w:r w:rsidRPr="0057719F">
              <w:rPr>
                <w:i/>
                <w:iCs/>
                <w:sz w:val="16"/>
                <w:lang w:val="fr-FR"/>
              </w:rPr>
              <w:t>2016</w:t>
            </w:r>
          </w:p>
        </w:tc>
      </w:tr>
      <w:tr w:rsidR="0057719F" w:rsidRPr="0057719F" w14:paraId="50DBC831" w14:textId="77777777" w:rsidTr="0057719F">
        <w:trPr>
          <w:tblHeader/>
        </w:trPr>
        <w:tc>
          <w:tcPr>
            <w:tcW w:w="966" w:type="dxa"/>
            <w:vMerge/>
            <w:tcBorders>
              <w:bottom w:val="single" w:sz="12" w:space="0" w:color="auto"/>
            </w:tcBorders>
            <w:shd w:val="clear" w:color="auto" w:fill="auto"/>
            <w:vAlign w:val="bottom"/>
          </w:tcPr>
          <w:p w14:paraId="2C50B4F3" w14:textId="77777777" w:rsidR="00D005FA" w:rsidRPr="0057719F" w:rsidRDefault="00D005FA" w:rsidP="0057719F">
            <w:pPr>
              <w:suppressAutoHyphens w:val="0"/>
              <w:spacing w:before="40" w:after="40" w:line="220" w:lineRule="exact"/>
              <w:rPr>
                <w:i/>
                <w:iCs/>
                <w:sz w:val="18"/>
                <w:rtl/>
                <w:lang w:val="fr-FR" w:bidi="ar-JO"/>
              </w:rPr>
            </w:pPr>
          </w:p>
        </w:tc>
        <w:tc>
          <w:tcPr>
            <w:tcW w:w="982" w:type="dxa"/>
            <w:vMerge/>
            <w:tcBorders>
              <w:bottom w:val="single" w:sz="12" w:space="0" w:color="auto"/>
            </w:tcBorders>
            <w:shd w:val="clear" w:color="auto" w:fill="auto"/>
            <w:vAlign w:val="bottom"/>
          </w:tcPr>
          <w:p w14:paraId="2F3AA9FE" w14:textId="77777777" w:rsidR="00D005FA" w:rsidRPr="0057719F" w:rsidRDefault="00D005FA" w:rsidP="0057719F">
            <w:pPr>
              <w:suppressAutoHyphens w:val="0"/>
              <w:spacing w:before="40" w:after="40" w:line="220" w:lineRule="exact"/>
              <w:jc w:val="right"/>
              <w:rPr>
                <w:i/>
                <w:iCs/>
                <w:sz w:val="18"/>
                <w:rtl/>
                <w:lang w:val="fr-FR" w:bidi="ar-JO"/>
              </w:rPr>
            </w:pPr>
          </w:p>
        </w:tc>
        <w:tc>
          <w:tcPr>
            <w:tcW w:w="1029" w:type="dxa"/>
            <w:tcBorders>
              <w:top w:val="single" w:sz="4" w:space="0" w:color="auto"/>
              <w:bottom w:val="single" w:sz="12" w:space="0" w:color="auto"/>
            </w:tcBorders>
            <w:shd w:val="clear" w:color="auto" w:fill="auto"/>
            <w:vAlign w:val="bottom"/>
          </w:tcPr>
          <w:p w14:paraId="78983556"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Avertissement</w:t>
            </w:r>
          </w:p>
        </w:tc>
        <w:tc>
          <w:tcPr>
            <w:tcW w:w="851" w:type="dxa"/>
            <w:tcBorders>
              <w:top w:val="single" w:sz="4" w:space="0" w:color="auto"/>
              <w:bottom w:val="single" w:sz="12" w:space="0" w:color="auto"/>
            </w:tcBorders>
            <w:shd w:val="clear" w:color="auto" w:fill="auto"/>
            <w:vAlign w:val="bottom"/>
          </w:tcPr>
          <w:p w14:paraId="024309B3" w14:textId="1EB8D3DC"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Mise</w:t>
            </w:r>
            <w:r w:rsidR="0057719F">
              <w:rPr>
                <w:i/>
                <w:iCs/>
                <w:sz w:val="16"/>
                <w:lang w:val="fr-FR"/>
              </w:rPr>
              <w:t xml:space="preserve"> à </w:t>
            </w:r>
            <w:r w:rsidRPr="0057719F">
              <w:rPr>
                <w:i/>
                <w:iCs/>
                <w:sz w:val="16"/>
                <w:lang w:val="fr-FR"/>
              </w:rPr>
              <w:t>l</w:t>
            </w:r>
            <w:r w:rsidR="0035332C">
              <w:rPr>
                <w:i/>
                <w:iCs/>
                <w:sz w:val="16"/>
                <w:lang w:val="fr-FR"/>
              </w:rPr>
              <w:t>’</w:t>
            </w:r>
            <w:r w:rsidRPr="0057719F">
              <w:rPr>
                <w:i/>
                <w:iCs/>
                <w:sz w:val="16"/>
                <w:lang w:val="fr-FR"/>
              </w:rPr>
              <w:t>isolement</w:t>
            </w:r>
          </w:p>
        </w:tc>
        <w:tc>
          <w:tcPr>
            <w:tcW w:w="1806" w:type="dxa"/>
            <w:tcBorders>
              <w:top w:val="single" w:sz="4" w:space="0" w:color="auto"/>
              <w:bottom w:val="single" w:sz="12" w:space="0" w:color="auto"/>
            </w:tcBorders>
            <w:shd w:val="clear" w:color="auto" w:fill="auto"/>
            <w:vAlign w:val="bottom"/>
          </w:tcPr>
          <w:p w14:paraId="60D7C967"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Privation de visites et de communications</w:t>
            </w:r>
          </w:p>
        </w:tc>
        <w:tc>
          <w:tcPr>
            <w:tcW w:w="1029" w:type="dxa"/>
            <w:tcBorders>
              <w:top w:val="single" w:sz="4" w:space="0" w:color="auto"/>
              <w:bottom w:val="single" w:sz="12" w:space="0" w:color="auto"/>
            </w:tcBorders>
            <w:shd w:val="clear" w:color="auto" w:fill="auto"/>
            <w:vAlign w:val="bottom"/>
          </w:tcPr>
          <w:p w14:paraId="51566928"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Avertissement</w:t>
            </w:r>
          </w:p>
        </w:tc>
        <w:tc>
          <w:tcPr>
            <w:tcW w:w="992" w:type="dxa"/>
            <w:tcBorders>
              <w:top w:val="single" w:sz="4" w:space="0" w:color="auto"/>
              <w:bottom w:val="single" w:sz="12" w:space="0" w:color="auto"/>
            </w:tcBorders>
            <w:shd w:val="clear" w:color="auto" w:fill="auto"/>
            <w:vAlign w:val="bottom"/>
          </w:tcPr>
          <w:p w14:paraId="7B0D1438" w14:textId="45BCE4E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 xml:space="preserve">Mise </w:t>
            </w:r>
            <w:r w:rsidR="0057719F">
              <w:rPr>
                <w:i/>
                <w:iCs/>
                <w:sz w:val="16"/>
                <w:lang w:val="fr-FR"/>
              </w:rPr>
              <w:t xml:space="preserve">à </w:t>
            </w:r>
            <w:r w:rsidR="0057719F">
              <w:rPr>
                <w:i/>
                <w:iCs/>
                <w:sz w:val="16"/>
                <w:lang w:val="fr-FR"/>
              </w:rPr>
              <w:br/>
            </w:r>
            <w:r w:rsidRPr="0057719F">
              <w:rPr>
                <w:i/>
                <w:iCs/>
                <w:sz w:val="16"/>
                <w:lang w:val="fr-FR"/>
              </w:rPr>
              <w:t>l</w:t>
            </w:r>
            <w:r w:rsidR="0035332C">
              <w:rPr>
                <w:i/>
                <w:iCs/>
                <w:sz w:val="16"/>
                <w:lang w:val="fr-FR"/>
              </w:rPr>
              <w:t>’</w:t>
            </w:r>
            <w:r w:rsidRPr="0057719F">
              <w:rPr>
                <w:i/>
                <w:iCs/>
                <w:sz w:val="16"/>
                <w:lang w:val="fr-FR"/>
              </w:rPr>
              <w:t>isolement</w:t>
            </w:r>
          </w:p>
        </w:tc>
        <w:tc>
          <w:tcPr>
            <w:tcW w:w="1984" w:type="dxa"/>
            <w:tcBorders>
              <w:top w:val="single" w:sz="4" w:space="0" w:color="auto"/>
              <w:bottom w:val="single" w:sz="12" w:space="0" w:color="auto"/>
            </w:tcBorders>
            <w:shd w:val="clear" w:color="auto" w:fill="auto"/>
            <w:vAlign w:val="bottom"/>
          </w:tcPr>
          <w:p w14:paraId="3FCDAFBD" w14:textId="77777777" w:rsidR="00D005FA" w:rsidRPr="0057719F" w:rsidRDefault="00D005FA" w:rsidP="0057719F">
            <w:pPr>
              <w:suppressAutoHyphens w:val="0"/>
              <w:spacing w:before="80" w:after="80" w:line="200" w:lineRule="exact"/>
              <w:jc w:val="right"/>
              <w:rPr>
                <w:i/>
                <w:iCs/>
                <w:sz w:val="16"/>
                <w:lang w:val="fr-FR"/>
              </w:rPr>
            </w:pPr>
            <w:r w:rsidRPr="0057719F">
              <w:rPr>
                <w:i/>
                <w:iCs/>
                <w:sz w:val="16"/>
                <w:lang w:val="fr-FR"/>
              </w:rPr>
              <w:t>Privation de visites et de communications</w:t>
            </w:r>
          </w:p>
        </w:tc>
      </w:tr>
      <w:tr w:rsidR="0057719F" w:rsidRPr="0057719F" w14:paraId="43D854B1" w14:textId="77777777" w:rsidTr="0057719F">
        <w:tc>
          <w:tcPr>
            <w:tcW w:w="966" w:type="dxa"/>
            <w:vMerge w:val="restart"/>
            <w:tcBorders>
              <w:top w:val="single" w:sz="12" w:space="0" w:color="auto"/>
            </w:tcBorders>
            <w:shd w:val="clear" w:color="auto" w:fill="auto"/>
          </w:tcPr>
          <w:p w14:paraId="1A9BD42C" w14:textId="77777777" w:rsidR="00D005FA" w:rsidRPr="0057719F" w:rsidRDefault="00D005FA" w:rsidP="0057719F">
            <w:pPr>
              <w:suppressAutoHyphens w:val="0"/>
              <w:spacing w:before="40" w:after="40" w:line="220" w:lineRule="exact"/>
              <w:rPr>
                <w:sz w:val="18"/>
                <w:lang w:val="fr-FR"/>
              </w:rPr>
            </w:pPr>
            <w:r w:rsidRPr="0057719F">
              <w:rPr>
                <w:sz w:val="18"/>
                <w:lang w:val="fr-FR"/>
              </w:rPr>
              <w:t>Bethléem</w:t>
            </w:r>
          </w:p>
        </w:tc>
        <w:tc>
          <w:tcPr>
            <w:tcW w:w="982" w:type="dxa"/>
            <w:tcBorders>
              <w:top w:val="single" w:sz="12" w:space="0" w:color="auto"/>
            </w:tcBorders>
            <w:shd w:val="clear" w:color="auto" w:fill="auto"/>
            <w:vAlign w:val="bottom"/>
          </w:tcPr>
          <w:p w14:paraId="672763B0"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tcBorders>
              <w:top w:val="single" w:sz="12" w:space="0" w:color="auto"/>
            </w:tcBorders>
            <w:shd w:val="clear" w:color="auto" w:fill="auto"/>
            <w:vAlign w:val="bottom"/>
          </w:tcPr>
          <w:p w14:paraId="6D28509E"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w:t>
            </w:r>
          </w:p>
        </w:tc>
        <w:tc>
          <w:tcPr>
            <w:tcW w:w="851" w:type="dxa"/>
            <w:tcBorders>
              <w:top w:val="single" w:sz="12" w:space="0" w:color="auto"/>
            </w:tcBorders>
            <w:shd w:val="clear" w:color="auto" w:fill="auto"/>
            <w:vAlign w:val="bottom"/>
          </w:tcPr>
          <w:p w14:paraId="3EA9BD00"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w:t>
            </w:r>
          </w:p>
        </w:tc>
        <w:tc>
          <w:tcPr>
            <w:tcW w:w="1806" w:type="dxa"/>
            <w:tcBorders>
              <w:top w:val="single" w:sz="12" w:space="0" w:color="auto"/>
            </w:tcBorders>
            <w:shd w:val="clear" w:color="auto" w:fill="auto"/>
            <w:vAlign w:val="bottom"/>
          </w:tcPr>
          <w:p w14:paraId="10C48FBB"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23</w:t>
            </w:r>
          </w:p>
        </w:tc>
        <w:tc>
          <w:tcPr>
            <w:tcW w:w="1029" w:type="dxa"/>
            <w:tcBorders>
              <w:top w:val="single" w:sz="12" w:space="0" w:color="auto"/>
            </w:tcBorders>
            <w:shd w:val="clear" w:color="auto" w:fill="auto"/>
            <w:vAlign w:val="bottom"/>
          </w:tcPr>
          <w:p w14:paraId="5FCAAD88"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0</w:t>
            </w:r>
          </w:p>
        </w:tc>
        <w:tc>
          <w:tcPr>
            <w:tcW w:w="992" w:type="dxa"/>
            <w:tcBorders>
              <w:top w:val="single" w:sz="12" w:space="0" w:color="auto"/>
            </w:tcBorders>
            <w:shd w:val="clear" w:color="auto" w:fill="auto"/>
            <w:vAlign w:val="bottom"/>
          </w:tcPr>
          <w:p w14:paraId="7D7027E0"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26</w:t>
            </w:r>
          </w:p>
        </w:tc>
        <w:tc>
          <w:tcPr>
            <w:tcW w:w="1984" w:type="dxa"/>
            <w:tcBorders>
              <w:top w:val="single" w:sz="12" w:space="0" w:color="auto"/>
            </w:tcBorders>
            <w:shd w:val="clear" w:color="auto" w:fill="auto"/>
            <w:vAlign w:val="bottom"/>
          </w:tcPr>
          <w:p w14:paraId="52B6A4AD"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28</w:t>
            </w:r>
          </w:p>
        </w:tc>
      </w:tr>
      <w:tr w:rsidR="0057719F" w:rsidRPr="0057719F" w14:paraId="297B3695" w14:textId="77777777" w:rsidTr="0057719F">
        <w:tc>
          <w:tcPr>
            <w:tcW w:w="966" w:type="dxa"/>
            <w:vMerge/>
            <w:shd w:val="clear" w:color="auto" w:fill="auto"/>
          </w:tcPr>
          <w:p w14:paraId="5D35EDF4"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78F699CE"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277770D1"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2C2FDADE"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42EC416D"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7C96D713"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41C5E3FF"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5FC87D49"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1A0AA3F3" w14:textId="77777777" w:rsidTr="0057719F">
        <w:tc>
          <w:tcPr>
            <w:tcW w:w="966" w:type="dxa"/>
            <w:vMerge/>
            <w:shd w:val="clear" w:color="auto" w:fill="auto"/>
          </w:tcPr>
          <w:p w14:paraId="76E9BC88"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7FF29567"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185A951E"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66176DBF"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2BDA2E07"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6C247CC3"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4ED323D9"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151321F6"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1B530600" w14:textId="77777777" w:rsidTr="0057719F">
        <w:tc>
          <w:tcPr>
            <w:tcW w:w="966" w:type="dxa"/>
            <w:vMerge w:val="restart"/>
            <w:shd w:val="clear" w:color="auto" w:fill="auto"/>
          </w:tcPr>
          <w:p w14:paraId="254062FE" w14:textId="77777777" w:rsidR="00D005FA" w:rsidRPr="0057719F" w:rsidRDefault="00D005FA" w:rsidP="0057719F">
            <w:pPr>
              <w:suppressAutoHyphens w:val="0"/>
              <w:spacing w:before="40" w:after="40" w:line="220" w:lineRule="exact"/>
              <w:rPr>
                <w:sz w:val="18"/>
                <w:lang w:val="fr-FR"/>
              </w:rPr>
            </w:pPr>
            <w:r w:rsidRPr="0057719F">
              <w:rPr>
                <w:sz w:val="18"/>
                <w:lang w:val="fr-FR"/>
              </w:rPr>
              <w:t>Jénine</w:t>
            </w:r>
          </w:p>
        </w:tc>
        <w:tc>
          <w:tcPr>
            <w:tcW w:w="982" w:type="dxa"/>
            <w:shd w:val="clear" w:color="auto" w:fill="auto"/>
            <w:vAlign w:val="bottom"/>
          </w:tcPr>
          <w:p w14:paraId="32226937"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6D2B2CA2"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2C5C31E6"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78</w:t>
            </w:r>
          </w:p>
        </w:tc>
        <w:tc>
          <w:tcPr>
            <w:tcW w:w="1806" w:type="dxa"/>
            <w:shd w:val="clear" w:color="auto" w:fill="auto"/>
            <w:vAlign w:val="bottom"/>
          </w:tcPr>
          <w:p w14:paraId="67F2FF85"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74</w:t>
            </w:r>
          </w:p>
        </w:tc>
        <w:tc>
          <w:tcPr>
            <w:tcW w:w="1029" w:type="dxa"/>
            <w:shd w:val="clear" w:color="auto" w:fill="auto"/>
            <w:vAlign w:val="bottom"/>
          </w:tcPr>
          <w:p w14:paraId="70418FA5"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6</w:t>
            </w:r>
          </w:p>
        </w:tc>
        <w:tc>
          <w:tcPr>
            <w:tcW w:w="992" w:type="dxa"/>
            <w:shd w:val="clear" w:color="auto" w:fill="auto"/>
            <w:vAlign w:val="bottom"/>
          </w:tcPr>
          <w:p w14:paraId="1E309039"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49</w:t>
            </w:r>
          </w:p>
        </w:tc>
        <w:tc>
          <w:tcPr>
            <w:tcW w:w="1984" w:type="dxa"/>
            <w:shd w:val="clear" w:color="auto" w:fill="auto"/>
            <w:vAlign w:val="bottom"/>
          </w:tcPr>
          <w:p w14:paraId="4819A81C"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41</w:t>
            </w:r>
          </w:p>
        </w:tc>
      </w:tr>
      <w:tr w:rsidR="0057719F" w:rsidRPr="0057719F" w14:paraId="2A9FAC2C" w14:textId="77777777" w:rsidTr="0057719F">
        <w:tc>
          <w:tcPr>
            <w:tcW w:w="966" w:type="dxa"/>
            <w:vMerge/>
            <w:shd w:val="clear" w:color="auto" w:fill="auto"/>
          </w:tcPr>
          <w:p w14:paraId="5B1A00F2"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0FA320AE"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002961BF"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4E978825"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w:t>
            </w:r>
          </w:p>
        </w:tc>
        <w:tc>
          <w:tcPr>
            <w:tcW w:w="1806" w:type="dxa"/>
            <w:shd w:val="clear" w:color="auto" w:fill="auto"/>
            <w:vAlign w:val="bottom"/>
          </w:tcPr>
          <w:p w14:paraId="264ED048"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3</w:t>
            </w:r>
          </w:p>
        </w:tc>
        <w:tc>
          <w:tcPr>
            <w:tcW w:w="1029" w:type="dxa"/>
            <w:shd w:val="clear" w:color="auto" w:fill="auto"/>
            <w:vAlign w:val="bottom"/>
          </w:tcPr>
          <w:p w14:paraId="38991E0B"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65225533"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3</w:t>
            </w:r>
          </w:p>
        </w:tc>
        <w:tc>
          <w:tcPr>
            <w:tcW w:w="1984" w:type="dxa"/>
            <w:shd w:val="clear" w:color="auto" w:fill="auto"/>
            <w:vAlign w:val="bottom"/>
          </w:tcPr>
          <w:p w14:paraId="712B711F"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w:t>
            </w:r>
          </w:p>
        </w:tc>
      </w:tr>
      <w:tr w:rsidR="0057719F" w:rsidRPr="0057719F" w14:paraId="76B3E8CA" w14:textId="77777777" w:rsidTr="0057719F">
        <w:tc>
          <w:tcPr>
            <w:tcW w:w="966" w:type="dxa"/>
            <w:vMerge/>
            <w:shd w:val="clear" w:color="auto" w:fill="auto"/>
          </w:tcPr>
          <w:p w14:paraId="4A9CDBD7"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7EAAA85C"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7409C8C8"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36688822"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10</w:t>
            </w:r>
          </w:p>
        </w:tc>
        <w:tc>
          <w:tcPr>
            <w:tcW w:w="1806" w:type="dxa"/>
            <w:shd w:val="clear" w:color="auto" w:fill="auto"/>
            <w:vAlign w:val="bottom"/>
          </w:tcPr>
          <w:p w14:paraId="633B5458"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w:t>
            </w:r>
          </w:p>
        </w:tc>
        <w:tc>
          <w:tcPr>
            <w:tcW w:w="1029" w:type="dxa"/>
            <w:shd w:val="clear" w:color="auto" w:fill="auto"/>
            <w:vAlign w:val="bottom"/>
          </w:tcPr>
          <w:p w14:paraId="761FA58F"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3</w:t>
            </w:r>
          </w:p>
        </w:tc>
        <w:tc>
          <w:tcPr>
            <w:tcW w:w="992" w:type="dxa"/>
            <w:shd w:val="clear" w:color="auto" w:fill="auto"/>
            <w:vAlign w:val="bottom"/>
          </w:tcPr>
          <w:p w14:paraId="371F46E0"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0</w:t>
            </w:r>
          </w:p>
        </w:tc>
        <w:tc>
          <w:tcPr>
            <w:tcW w:w="1984" w:type="dxa"/>
            <w:shd w:val="clear" w:color="auto" w:fill="auto"/>
            <w:vAlign w:val="bottom"/>
          </w:tcPr>
          <w:p w14:paraId="45EED6D1"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0</w:t>
            </w:r>
          </w:p>
        </w:tc>
      </w:tr>
      <w:tr w:rsidR="0057719F" w:rsidRPr="0057719F" w14:paraId="6918BB53" w14:textId="77777777" w:rsidTr="0057719F">
        <w:tc>
          <w:tcPr>
            <w:tcW w:w="966" w:type="dxa"/>
            <w:vMerge w:val="restart"/>
            <w:shd w:val="clear" w:color="auto" w:fill="auto"/>
          </w:tcPr>
          <w:p w14:paraId="6EF6778E" w14:textId="77777777" w:rsidR="00D005FA" w:rsidRPr="0057719F" w:rsidRDefault="00D005FA" w:rsidP="0057719F">
            <w:pPr>
              <w:suppressAutoHyphens w:val="0"/>
              <w:spacing w:before="40" w:after="40" w:line="220" w:lineRule="exact"/>
              <w:rPr>
                <w:sz w:val="18"/>
                <w:lang w:val="fr-FR"/>
              </w:rPr>
            </w:pPr>
            <w:r w:rsidRPr="0057719F">
              <w:rPr>
                <w:sz w:val="18"/>
                <w:lang w:val="fr-FR"/>
              </w:rPr>
              <w:t>Naplouse</w:t>
            </w:r>
          </w:p>
        </w:tc>
        <w:tc>
          <w:tcPr>
            <w:tcW w:w="982" w:type="dxa"/>
            <w:shd w:val="clear" w:color="auto" w:fill="auto"/>
            <w:vAlign w:val="bottom"/>
          </w:tcPr>
          <w:p w14:paraId="00556B44"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6800B9BC"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7EE25DAD"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145</w:t>
            </w:r>
          </w:p>
        </w:tc>
        <w:tc>
          <w:tcPr>
            <w:tcW w:w="1806" w:type="dxa"/>
            <w:shd w:val="clear" w:color="auto" w:fill="auto"/>
            <w:vAlign w:val="bottom"/>
          </w:tcPr>
          <w:p w14:paraId="4D30B227"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182</w:t>
            </w:r>
          </w:p>
        </w:tc>
        <w:tc>
          <w:tcPr>
            <w:tcW w:w="1029" w:type="dxa"/>
            <w:shd w:val="clear" w:color="auto" w:fill="auto"/>
            <w:vAlign w:val="bottom"/>
          </w:tcPr>
          <w:p w14:paraId="602F6931"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15E373A4"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58</w:t>
            </w:r>
          </w:p>
        </w:tc>
        <w:tc>
          <w:tcPr>
            <w:tcW w:w="1984" w:type="dxa"/>
            <w:shd w:val="clear" w:color="auto" w:fill="auto"/>
            <w:vAlign w:val="bottom"/>
          </w:tcPr>
          <w:p w14:paraId="51D81133"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167</w:t>
            </w:r>
          </w:p>
        </w:tc>
      </w:tr>
      <w:tr w:rsidR="0057719F" w:rsidRPr="0057719F" w14:paraId="3560B96E" w14:textId="77777777" w:rsidTr="0057719F">
        <w:tc>
          <w:tcPr>
            <w:tcW w:w="966" w:type="dxa"/>
            <w:vMerge/>
            <w:shd w:val="clear" w:color="auto" w:fill="auto"/>
          </w:tcPr>
          <w:p w14:paraId="74D74B45"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026F9A65"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0E82BFC7"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4903F9C8"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389238E3"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5C9D1E07"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1295C9EA"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176FC18B"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201AC80C" w14:textId="77777777" w:rsidTr="0057719F">
        <w:tc>
          <w:tcPr>
            <w:tcW w:w="966" w:type="dxa"/>
            <w:vMerge/>
            <w:shd w:val="clear" w:color="auto" w:fill="auto"/>
          </w:tcPr>
          <w:p w14:paraId="5AB672D2"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245FD588"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0B8F83D2"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1BC0D8B9"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15</w:t>
            </w:r>
          </w:p>
        </w:tc>
        <w:tc>
          <w:tcPr>
            <w:tcW w:w="1806" w:type="dxa"/>
            <w:shd w:val="clear" w:color="auto" w:fill="auto"/>
            <w:vAlign w:val="bottom"/>
          </w:tcPr>
          <w:p w14:paraId="5046E4FB"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w:t>
            </w:r>
          </w:p>
        </w:tc>
        <w:tc>
          <w:tcPr>
            <w:tcW w:w="1029" w:type="dxa"/>
            <w:shd w:val="clear" w:color="auto" w:fill="auto"/>
            <w:vAlign w:val="bottom"/>
          </w:tcPr>
          <w:p w14:paraId="4ACB5EBA"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76FDF4D6"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w:t>
            </w:r>
          </w:p>
        </w:tc>
        <w:tc>
          <w:tcPr>
            <w:tcW w:w="1984" w:type="dxa"/>
            <w:shd w:val="clear" w:color="auto" w:fill="auto"/>
            <w:vAlign w:val="bottom"/>
          </w:tcPr>
          <w:p w14:paraId="07A6ABD5"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w:t>
            </w:r>
          </w:p>
        </w:tc>
      </w:tr>
      <w:tr w:rsidR="0057719F" w:rsidRPr="0057719F" w14:paraId="1854B145" w14:textId="77777777" w:rsidTr="0057719F">
        <w:tc>
          <w:tcPr>
            <w:tcW w:w="966" w:type="dxa"/>
            <w:vMerge w:val="restart"/>
            <w:shd w:val="clear" w:color="auto" w:fill="auto"/>
          </w:tcPr>
          <w:p w14:paraId="3E793AA4" w14:textId="77777777" w:rsidR="00D005FA" w:rsidRPr="0057719F" w:rsidRDefault="00D005FA" w:rsidP="0057719F">
            <w:pPr>
              <w:suppressAutoHyphens w:val="0"/>
              <w:spacing w:before="40" w:after="40" w:line="220" w:lineRule="exact"/>
              <w:rPr>
                <w:sz w:val="18"/>
                <w:lang w:val="fr-FR"/>
              </w:rPr>
            </w:pPr>
            <w:r w:rsidRPr="0057719F">
              <w:rPr>
                <w:sz w:val="18"/>
                <w:lang w:val="fr-FR"/>
              </w:rPr>
              <w:t>Jéricho</w:t>
            </w:r>
          </w:p>
        </w:tc>
        <w:tc>
          <w:tcPr>
            <w:tcW w:w="982" w:type="dxa"/>
            <w:shd w:val="clear" w:color="auto" w:fill="auto"/>
            <w:vAlign w:val="bottom"/>
          </w:tcPr>
          <w:p w14:paraId="4BCB8DF4"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5B11A474"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4EDED5AC"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38</w:t>
            </w:r>
          </w:p>
        </w:tc>
        <w:tc>
          <w:tcPr>
            <w:tcW w:w="1806" w:type="dxa"/>
            <w:shd w:val="clear" w:color="auto" w:fill="auto"/>
            <w:vAlign w:val="bottom"/>
          </w:tcPr>
          <w:p w14:paraId="55B81807"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15</w:t>
            </w:r>
          </w:p>
        </w:tc>
        <w:tc>
          <w:tcPr>
            <w:tcW w:w="1029" w:type="dxa"/>
            <w:shd w:val="clear" w:color="auto" w:fill="auto"/>
            <w:vAlign w:val="bottom"/>
          </w:tcPr>
          <w:p w14:paraId="127E97A4"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w:t>
            </w:r>
          </w:p>
        </w:tc>
        <w:tc>
          <w:tcPr>
            <w:tcW w:w="992" w:type="dxa"/>
            <w:shd w:val="clear" w:color="auto" w:fill="auto"/>
            <w:vAlign w:val="bottom"/>
          </w:tcPr>
          <w:p w14:paraId="1D8C32EA"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40</w:t>
            </w:r>
          </w:p>
        </w:tc>
        <w:tc>
          <w:tcPr>
            <w:tcW w:w="1984" w:type="dxa"/>
            <w:shd w:val="clear" w:color="auto" w:fill="auto"/>
            <w:vAlign w:val="bottom"/>
          </w:tcPr>
          <w:p w14:paraId="268A07A9"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7</w:t>
            </w:r>
          </w:p>
        </w:tc>
      </w:tr>
      <w:tr w:rsidR="0057719F" w:rsidRPr="0057719F" w14:paraId="5A28A0B3" w14:textId="77777777" w:rsidTr="0057719F">
        <w:tc>
          <w:tcPr>
            <w:tcW w:w="966" w:type="dxa"/>
            <w:vMerge/>
            <w:shd w:val="clear" w:color="auto" w:fill="auto"/>
          </w:tcPr>
          <w:p w14:paraId="04215380"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0D8D0828"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767E91E9"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70B09E5D"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w:t>
            </w:r>
          </w:p>
        </w:tc>
        <w:tc>
          <w:tcPr>
            <w:tcW w:w="1806" w:type="dxa"/>
            <w:shd w:val="clear" w:color="auto" w:fill="auto"/>
            <w:vAlign w:val="bottom"/>
          </w:tcPr>
          <w:p w14:paraId="42B84667"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w:t>
            </w:r>
          </w:p>
        </w:tc>
        <w:tc>
          <w:tcPr>
            <w:tcW w:w="1029" w:type="dxa"/>
            <w:shd w:val="clear" w:color="auto" w:fill="auto"/>
            <w:vAlign w:val="bottom"/>
          </w:tcPr>
          <w:p w14:paraId="3271B78F"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4F9BB021"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w:t>
            </w:r>
          </w:p>
        </w:tc>
        <w:tc>
          <w:tcPr>
            <w:tcW w:w="1984" w:type="dxa"/>
            <w:shd w:val="clear" w:color="auto" w:fill="auto"/>
            <w:vAlign w:val="bottom"/>
          </w:tcPr>
          <w:p w14:paraId="22C0D142"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0</w:t>
            </w:r>
          </w:p>
        </w:tc>
      </w:tr>
      <w:tr w:rsidR="0057719F" w:rsidRPr="0057719F" w14:paraId="708450BF" w14:textId="77777777" w:rsidTr="0057719F">
        <w:tc>
          <w:tcPr>
            <w:tcW w:w="966" w:type="dxa"/>
            <w:vMerge/>
            <w:shd w:val="clear" w:color="auto" w:fill="auto"/>
          </w:tcPr>
          <w:p w14:paraId="63A9D70E"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05AC20BC"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37708E4F"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74104782"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2F944C20"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673931E0"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183B5ECE"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38B0C50D"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4EBB9B9E" w14:textId="77777777" w:rsidTr="0057719F">
        <w:tc>
          <w:tcPr>
            <w:tcW w:w="966" w:type="dxa"/>
            <w:vMerge w:val="restart"/>
            <w:shd w:val="clear" w:color="auto" w:fill="auto"/>
          </w:tcPr>
          <w:p w14:paraId="1F1AA51A" w14:textId="77777777" w:rsidR="00D005FA" w:rsidRPr="0057719F" w:rsidRDefault="00D005FA" w:rsidP="0057719F">
            <w:pPr>
              <w:suppressAutoHyphens w:val="0"/>
              <w:spacing w:before="40" w:after="40" w:line="220" w:lineRule="exact"/>
              <w:rPr>
                <w:sz w:val="18"/>
                <w:lang w:val="fr-FR"/>
              </w:rPr>
            </w:pPr>
            <w:r w:rsidRPr="0057719F">
              <w:rPr>
                <w:sz w:val="18"/>
                <w:lang w:val="fr-FR"/>
              </w:rPr>
              <w:t>Ramallah</w:t>
            </w:r>
          </w:p>
        </w:tc>
        <w:tc>
          <w:tcPr>
            <w:tcW w:w="982" w:type="dxa"/>
            <w:shd w:val="clear" w:color="auto" w:fill="auto"/>
            <w:vAlign w:val="bottom"/>
          </w:tcPr>
          <w:p w14:paraId="5C3C97B5"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1B94DC9D"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38E02F0E"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0B79F286"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6059A843"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6A990B46"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42</w:t>
            </w:r>
          </w:p>
        </w:tc>
        <w:tc>
          <w:tcPr>
            <w:tcW w:w="1984" w:type="dxa"/>
            <w:shd w:val="clear" w:color="auto" w:fill="auto"/>
            <w:vAlign w:val="bottom"/>
          </w:tcPr>
          <w:p w14:paraId="0C525CB7"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141</w:t>
            </w:r>
          </w:p>
        </w:tc>
      </w:tr>
      <w:tr w:rsidR="0057719F" w:rsidRPr="0057719F" w14:paraId="2610E673" w14:textId="77777777" w:rsidTr="0057719F">
        <w:tc>
          <w:tcPr>
            <w:tcW w:w="966" w:type="dxa"/>
            <w:vMerge/>
            <w:shd w:val="clear" w:color="auto" w:fill="auto"/>
          </w:tcPr>
          <w:p w14:paraId="0E4DCCA6"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59B0C462"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6D6AD9C3"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3730F8D7"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6CC71244"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2C14A374"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2ECF7095"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671EDCFE"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05B7F8A2" w14:textId="77777777" w:rsidTr="0057719F">
        <w:tc>
          <w:tcPr>
            <w:tcW w:w="966" w:type="dxa"/>
            <w:vMerge/>
            <w:shd w:val="clear" w:color="auto" w:fill="auto"/>
          </w:tcPr>
          <w:p w14:paraId="71658C03"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5FB93ECE"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60AB5E71"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29530DB0"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7240DD58"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3D7872F4"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50DEC964"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0DE0D780"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56B29732" w14:textId="77777777" w:rsidTr="0057719F">
        <w:tc>
          <w:tcPr>
            <w:tcW w:w="966" w:type="dxa"/>
            <w:vMerge w:val="restart"/>
            <w:shd w:val="clear" w:color="auto" w:fill="auto"/>
          </w:tcPr>
          <w:p w14:paraId="7DCA1BFD" w14:textId="77777777" w:rsidR="00D005FA" w:rsidRPr="0057719F" w:rsidRDefault="00D005FA" w:rsidP="0057719F">
            <w:pPr>
              <w:suppressAutoHyphens w:val="0"/>
              <w:spacing w:before="40" w:after="40" w:line="220" w:lineRule="exact"/>
              <w:rPr>
                <w:sz w:val="18"/>
                <w:lang w:val="fr-FR"/>
              </w:rPr>
            </w:pPr>
            <w:r w:rsidRPr="0057719F">
              <w:rPr>
                <w:sz w:val="18"/>
                <w:lang w:val="fr-FR"/>
              </w:rPr>
              <w:t>Hébron</w:t>
            </w:r>
          </w:p>
        </w:tc>
        <w:tc>
          <w:tcPr>
            <w:tcW w:w="982" w:type="dxa"/>
            <w:shd w:val="clear" w:color="auto" w:fill="auto"/>
            <w:vAlign w:val="bottom"/>
          </w:tcPr>
          <w:p w14:paraId="4DA0C181"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2B2C50CD"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5E248144"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58</w:t>
            </w:r>
          </w:p>
        </w:tc>
        <w:tc>
          <w:tcPr>
            <w:tcW w:w="1806" w:type="dxa"/>
            <w:shd w:val="clear" w:color="auto" w:fill="auto"/>
            <w:vAlign w:val="bottom"/>
          </w:tcPr>
          <w:p w14:paraId="398001C5"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39</w:t>
            </w:r>
          </w:p>
        </w:tc>
        <w:tc>
          <w:tcPr>
            <w:tcW w:w="1029" w:type="dxa"/>
            <w:shd w:val="clear" w:color="auto" w:fill="auto"/>
            <w:vAlign w:val="bottom"/>
          </w:tcPr>
          <w:p w14:paraId="7ED0A3E6"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252CBDBF"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56</w:t>
            </w:r>
          </w:p>
        </w:tc>
        <w:tc>
          <w:tcPr>
            <w:tcW w:w="1984" w:type="dxa"/>
            <w:shd w:val="clear" w:color="auto" w:fill="auto"/>
            <w:vAlign w:val="bottom"/>
          </w:tcPr>
          <w:p w14:paraId="4078005C"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21</w:t>
            </w:r>
          </w:p>
        </w:tc>
      </w:tr>
      <w:tr w:rsidR="0057719F" w:rsidRPr="0057719F" w14:paraId="6B798C0D" w14:textId="77777777" w:rsidTr="0057719F">
        <w:tc>
          <w:tcPr>
            <w:tcW w:w="966" w:type="dxa"/>
            <w:vMerge/>
            <w:shd w:val="clear" w:color="auto" w:fill="auto"/>
          </w:tcPr>
          <w:p w14:paraId="1C5F47D6"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0E539B16"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38715344"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6E941AFC"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42DC3A18"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15AD9100"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3EA05E27"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2948DE01"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3171E77A" w14:textId="77777777" w:rsidTr="0057719F">
        <w:tc>
          <w:tcPr>
            <w:tcW w:w="966" w:type="dxa"/>
            <w:vMerge/>
            <w:shd w:val="clear" w:color="auto" w:fill="auto"/>
          </w:tcPr>
          <w:p w14:paraId="30FEB7B3"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36DA13F0"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shd w:val="clear" w:color="auto" w:fill="auto"/>
            <w:vAlign w:val="bottom"/>
          </w:tcPr>
          <w:p w14:paraId="673BA3B8"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7604B942"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2E441D00"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061964F1"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17422029"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5ED8779F"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0D41BCEC" w14:textId="77777777" w:rsidTr="0057719F">
        <w:tc>
          <w:tcPr>
            <w:tcW w:w="966" w:type="dxa"/>
            <w:vMerge w:val="restart"/>
            <w:shd w:val="clear" w:color="auto" w:fill="auto"/>
          </w:tcPr>
          <w:p w14:paraId="79CA0F8E" w14:textId="77777777" w:rsidR="00D005FA" w:rsidRPr="0057719F" w:rsidRDefault="00D005FA" w:rsidP="0057719F">
            <w:pPr>
              <w:suppressAutoHyphens w:val="0"/>
              <w:spacing w:before="40" w:after="40" w:line="220" w:lineRule="exact"/>
              <w:rPr>
                <w:sz w:val="18"/>
                <w:lang w:val="fr-FR"/>
              </w:rPr>
            </w:pPr>
            <w:r w:rsidRPr="0057719F">
              <w:rPr>
                <w:sz w:val="18"/>
                <w:lang w:val="fr-FR"/>
              </w:rPr>
              <w:t>Toulkarem</w:t>
            </w:r>
          </w:p>
        </w:tc>
        <w:tc>
          <w:tcPr>
            <w:tcW w:w="982" w:type="dxa"/>
            <w:shd w:val="clear" w:color="auto" w:fill="auto"/>
            <w:vAlign w:val="bottom"/>
          </w:tcPr>
          <w:p w14:paraId="57C3AB6D"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Hommes</w:t>
            </w:r>
          </w:p>
        </w:tc>
        <w:tc>
          <w:tcPr>
            <w:tcW w:w="1029" w:type="dxa"/>
            <w:shd w:val="clear" w:color="auto" w:fill="auto"/>
            <w:vAlign w:val="bottom"/>
          </w:tcPr>
          <w:p w14:paraId="089463B8"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3FC24BA2"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52</w:t>
            </w:r>
          </w:p>
        </w:tc>
        <w:tc>
          <w:tcPr>
            <w:tcW w:w="1806" w:type="dxa"/>
            <w:shd w:val="clear" w:color="auto" w:fill="auto"/>
            <w:vAlign w:val="bottom"/>
          </w:tcPr>
          <w:p w14:paraId="1BDC4BC3"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53</w:t>
            </w:r>
          </w:p>
        </w:tc>
        <w:tc>
          <w:tcPr>
            <w:tcW w:w="1029" w:type="dxa"/>
            <w:shd w:val="clear" w:color="auto" w:fill="auto"/>
            <w:vAlign w:val="bottom"/>
          </w:tcPr>
          <w:p w14:paraId="6D533D5F"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2D6654EE"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44</w:t>
            </w:r>
          </w:p>
        </w:tc>
        <w:tc>
          <w:tcPr>
            <w:tcW w:w="1984" w:type="dxa"/>
            <w:shd w:val="clear" w:color="auto" w:fill="auto"/>
            <w:vAlign w:val="bottom"/>
          </w:tcPr>
          <w:p w14:paraId="49D50C32"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49</w:t>
            </w:r>
          </w:p>
        </w:tc>
      </w:tr>
      <w:tr w:rsidR="0057719F" w:rsidRPr="0057719F" w14:paraId="4B0ADDBD" w14:textId="77777777" w:rsidTr="0057719F">
        <w:tc>
          <w:tcPr>
            <w:tcW w:w="966" w:type="dxa"/>
            <w:vMerge/>
            <w:shd w:val="clear" w:color="auto" w:fill="auto"/>
          </w:tcPr>
          <w:p w14:paraId="2DF96CA6" w14:textId="77777777" w:rsidR="00D005FA" w:rsidRPr="0057719F" w:rsidRDefault="00D005FA" w:rsidP="0057719F">
            <w:pPr>
              <w:suppressAutoHyphens w:val="0"/>
              <w:spacing w:before="40" w:after="40" w:line="220" w:lineRule="exact"/>
              <w:rPr>
                <w:sz w:val="18"/>
                <w:rtl/>
                <w:lang w:val="fr-FR" w:bidi="ar-JO"/>
              </w:rPr>
            </w:pPr>
          </w:p>
        </w:tc>
        <w:tc>
          <w:tcPr>
            <w:tcW w:w="982" w:type="dxa"/>
            <w:shd w:val="clear" w:color="auto" w:fill="auto"/>
            <w:vAlign w:val="bottom"/>
          </w:tcPr>
          <w:p w14:paraId="54C9D7A6"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Femmes</w:t>
            </w:r>
          </w:p>
        </w:tc>
        <w:tc>
          <w:tcPr>
            <w:tcW w:w="1029" w:type="dxa"/>
            <w:shd w:val="clear" w:color="auto" w:fill="auto"/>
            <w:vAlign w:val="bottom"/>
          </w:tcPr>
          <w:p w14:paraId="5E62CFBF"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shd w:val="clear" w:color="auto" w:fill="auto"/>
            <w:vAlign w:val="bottom"/>
          </w:tcPr>
          <w:p w14:paraId="0FC8C76E"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shd w:val="clear" w:color="auto" w:fill="auto"/>
            <w:vAlign w:val="bottom"/>
          </w:tcPr>
          <w:p w14:paraId="24976FCD"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shd w:val="clear" w:color="auto" w:fill="auto"/>
            <w:vAlign w:val="bottom"/>
          </w:tcPr>
          <w:p w14:paraId="60A8BEB9"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shd w:val="clear" w:color="auto" w:fill="auto"/>
            <w:vAlign w:val="bottom"/>
          </w:tcPr>
          <w:p w14:paraId="44A9A256" w14:textId="77777777" w:rsidR="00D005FA" w:rsidRPr="0057719F" w:rsidRDefault="00D005FA" w:rsidP="0057719F">
            <w:pPr>
              <w:suppressAutoHyphens w:val="0"/>
              <w:spacing w:before="40" w:after="40" w:line="220" w:lineRule="exact"/>
              <w:jc w:val="right"/>
              <w:rPr>
                <w:sz w:val="18"/>
                <w:rtl/>
                <w:lang w:val="fr-FR" w:bidi="ar-JO"/>
              </w:rPr>
            </w:pPr>
          </w:p>
        </w:tc>
        <w:tc>
          <w:tcPr>
            <w:tcW w:w="1984" w:type="dxa"/>
            <w:shd w:val="clear" w:color="auto" w:fill="auto"/>
            <w:vAlign w:val="bottom"/>
          </w:tcPr>
          <w:p w14:paraId="3AC5A2FF" w14:textId="77777777" w:rsidR="00D005FA" w:rsidRPr="0057719F" w:rsidRDefault="00D005FA" w:rsidP="0057719F">
            <w:pPr>
              <w:suppressAutoHyphens w:val="0"/>
              <w:spacing w:before="40" w:after="40" w:line="220" w:lineRule="exact"/>
              <w:jc w:val="right"/>
              <w:rPr>
                <w:sz w:val="18"/>
                <w:rtl/>
                <w:lang w:val="fr-FR" w:bidi="ar-JO"/>
              </w:rPr>
            </w:pPr>
          </w:p>
        </w:tc>
      </w:tr>
      <w:tr w:rsidR="0057719F" w:rsidRPr="0057719F" w14:paraId="11883995" w14:textId="77777777" w:rsidTr="0057719F">
        <w:tc>
          <w:tcPr>
            <w:tcW w:w="966" w:type="dxa"/>
            <w:vMerge/>
            <w:tcBorders>
              <w:bottom w:val="single" w:sz="12" w:space="0" w:color="auto"/>
            </w:tcBorders>
            <w:shd w:val="clear" w:color="auto" w:fill="auto"/>
          </w:tcPr>
          <w:p w14:paraId="7AE971F9" w14:textId="77777777" w:rsidR="00D005FA" w:rsidRPr="0057719F" w:rsidRDefault="00D005FA" w:rsidP="0057719F">
            <w:pPr>
              <w:suppressAutoHyphens w:val="0"/>
              <w:spacing w:before="40" w:after="40" w:line="220" w:lineRule="exact"/>
              <w:rPr>
                <w:sz w:val="18"/>
                <w:rtl/>
                <w:lang w:val="fr-FR" w:bidi="ar-JO"/>
              </w:rPr>
            </w:pPr>
          </w:p>
        </w:tc>
        <w:tc>
          <w:tcPr>
            <w:tcW w:w="982" w:type="dxa"/>
            <w:tcBorders>
              <w:bottom w:val="single" w:sz="12" w:space="0" w:color="auto"/>
            </w:tcBorders>
            <w:shd w:val="clear" w:color="auto" w:fill="auto"/>
            <w:vAlign w:val="bottom"/>
          </w:tcPr>
          <w:p w14:paraId="68C6673F" w14:textId="77777777" w:rsidR="00D005FA" w:rsidRPr="0057719F" w:rsidRDefault="00D005FA" w:rsidP="0057719F">
            <w:pPr>
              <w:suppressAutoHyphens w:val="0"/>
              <w:spacing w:before="40" w:after="40" w:line="220" w:lineRule="exact"/>
              <w:jc w:val="right"/>
              <w:rPr>
                <w:sz w:val="18"/>
                <w:lang w:val="fr-FR"/>
              </w:rPr>
            </w:pPr>
            <w:r w:rsidRPr="0057719F">
              <w:rPr>
                <w:sz w:val="18"/>
                <w:lang w:val="fr-FR"/>
              </w:rPr>
              <w:t>Mineurs</w:t>
            </w:r>
          </w:p>
        </w:tc>
        <w:tc>
          <w:tcPr>
            <w:tcW w:w="1029" w:type="dxa"/>
            <w:tcBorders>
              <w:bottom w:val="single" w:sz="12" w:space="0" w:color="auto"/>
            </w:tcBorders>
            <w:shd w:val="clear" w:color="auto" w:fill="auto"/>
            <w:vAlign w:val="bottom"/>
          </w:tcPr>
          <w:p w14:paraId="1E73DD97" w14:textId="77777777" w:rsidR="00D005FA" w:rsidRPr="0057719F" w:rsidRDefault="00D005FA" w:rsidP="0057719F">
            <w:pPr>
              <w:suppressAutoHyphens w:val="0"/>
              <w:spacing w:before="40" w:after="40" w:line="220" w:lineRule="exact"/>
              <w:jc w:val="right"/>
              <w:rPr>
                <w:sz w:val="18"/>
                <w:rtl/>
                <w:lang w:val="fr-FR" w:bidi="ar-JO"/>
              </w:rPr>
            </w:pPr>
          </w:p>
        </w:tc>
        <w:tc>
          <w:tcPr>
            <w:tcW w:w="851" w:type="dxa"/>
            <w:tcBorders>
              <w:bottom w:val="single" w:sz="12" w:space="0" w:color="auto"/>
            </w:tcBorders>
            <w:shd w:val="clear" w:color="auto" w:fill="auto"/>
            <w:vAlign w:val="bottom"/>
          </w:tcPr>
          <w:p w14:paraId="5E08AD70" w14:textId="77777777" w:rsidR="00D005FA" w:rsidRPr="0057719F" w:rsidRDefault="00D005FA" w:rsidP="0057719F">
            <w:pPr>
              <w:suppressAutoHyphens w:val="0"/>
              <w:spacing w:before="40" w:after="40" w:line="220" w:lineRule="exact"/>
              <w:jc w:val="right"/>
              <w:rPr>
                <w:sz w:val="18"/>
                <w:rtl/>
                <w:lang w:val="fr-FR" w:bidi="ar-JO"/>
              </w:rPr>
            </w:pPr>
          </w:p>
        </w:tc>
        <w:tc>
          <w:tcPr>
            <w:tcW w:w="1806" w:type="dxa"/>
            <w:tcBorders>
              <w:bottom w:val="single" w:sz="12" w:space="0" w:color="auto"/>
            </w:tcBorders>
            <w:shd w:val="clear" w:color="auto" w:fill="auto"/>
            <w:vAlign w:val="bottom"/>
          </w:tcPr>
          <w:p w14:paraId="0DF29BC0" w14:textId="77777777" w:rsidR="00D005FA" w:rsidRPr="0057719F" w:rsidRDefault="00D005FA" w:rsidP="0057719F">
            <w:pPr>
              <w:suppressAutoHyphens w:val="0"/>
              <w:spacing w:before="40" w:after="40" w:line="220" w:lineRule="exact"/>
              <w:jc w:val="right"/>
              <w:rPr>
                <w:sz w:val="18"/>
                <w:rtl/>
                <w:lang w:val="fr-FR" w:bidi="ar-JO"/>
              </w:rPr>
            </w:pPr>
          </w:p>
        </w:tc>
        <w:tc>
          <w:tcPr>
            <w:tcW w:w="1029" w:type="dxa"/>
            <w:tcBorders>
              <w:bottom w:val="single" w:sz="12" w:space="0" w:color="auto"/>
            </w:tcBorders>
            <w:shd w:val="clear" w:color="auto" w:fill="auto"/>
            <w:vAlign w:val="bottom"/>
          </w:tcPr>
          <w:p w14:paraId="2F4DC41B" w14:textId="77777777" w:rsidR="00D005FA" w:rsidRPr="0057719F" w:rsidRDefault="00D005FA" w:rsidP="0057719F">
            <w:pPr>
              <w:suppressAutoHyphens w:val="0"/>
              <w:spacing w:before="40" w:after="40" w:line="220" w:lineRule="exact"/>
              <w:jc w:val="right"/>
              <w:rPr>
                <w:sz w:val="18"/>
                <w:rtl/>
                <w:lang w:val="fr-FR" w:bidi="ar-JO"/>
              </w:rPr>
            </w:pPr>
          </w:p>
        </w:tc>
        <w:tc>
          <w:tcPr>
            <w:tcW w:w="992" w:type="dxa"/>
            <w:tcBorders>
              <w:bottom w:val="single" w:sz="12" w:space="0" w:color="auto"/>
            </w:tcBorders>
            <w:shd w:val="clear" w:color="auto" w:fill="auto"/>
            <w:vAlign w:val="bottom"/>
          </w:tcPr>
          <w:p w14:paraId="556911DB" w14:textId="77777777" w:rsidR="00D005FA" w:rsidRPr="0057719F" w:rsidRDefault="00D005FA" w:rsidP="0057719F">
            <w:pPr>
              <w:suppressAutoHyphens w:val="0"/>
              <w:spacing w:before="40" w:after="40" w:line="220" w:lineRule="exact"/>
              <w:jc w:val="right"/>
              <w:rPr>
                <w:sz w:val="18"/>
                <w:rtl/>
                <w:lang w:val="fr-FR" w:bidi="ar-JO"/>
              </w:rPr>
            </w:pPr>
            <w:r w:rsidRPr="0057719F">
              <w:rPr>
                <w:sz w:val="18"/>
                <w:lang w:val="fr-FR" w:bidi="ar-JO"/>
              </w:rPr>
              <w:t>9</w:t>
            </w:r>
          </w:p>
        </w:tc>
        <w:tc>
          <w:tcPr>
            <w:tcW w:w="1984" w:type="dxa"/>
            <w:tcBorders>
              <w:bottom w:val="single" w:sz="12" w:space="0" w:color="auto"/>
            </w:tcBorders>
            <w:shd w:val="clear" w:color="auto" w:fill="auto"/>
            <w:vAlign w:val="bottom"/>
          </w:tcPr>
          <w:p w14:paraId="3ADED46D" w14:textId="77777777" w:rsidR="00D005FA" w:rsidRPr="0057719F" w:rsidRDefault="00D005FA" w:rsidP="0057719F">
            <w:pPr>
              <w:suppressAutoHyphens w:val="0"/>
              <w:spacing w:before="40" w:after="40" w:line="220" w:lineRule="exact"/>
              <w:jc w:val="right"/>
              <w:rPr>
                <w:sz w:val="18"/>
                <w:rtl/>
                <w:lang w:val="fr-FR" w:bidi="ar-JO"/>
              </w:rPr>
            </w:pPr>
          </w:p>
        </w:tc>
      </w:tr>
    </w:tbl>
    <w:p w14:paraId="3215D6C1" w14:textId="77777777" w:rsidR="00D005FA" w:rsidRPr="00310D49" w:rsidRDefault="00D005FA" w:rsidP="00204EDE">
      <w:pPr>
        <w:pStyle w:val="H23G"/>
        <w:rPr>
          <w:lang w:val="fr-FR"/>
        </w:rPr>
      </w:pPr>
      <w:r w:rsidRPr="00310D49">
        <w:rPr>
          <w:lang w:val="fr-FR"/>
        </w:rPr>
        <w:tab/>
      </w:r>
      <w:r w:rsidRPr="00310D49">
        <w:rPr>
          <w:lang w:val="fr-FR"/>
        </w:rPr>
        <w:tab/>
        <w:t>Classification des détenus</w:t>
      </w:r>
    </w:p>
    <w:p w14:paraId="0ADC8AD9" w14:textId="5AE9F9B2" w:rsidR="00D005FA" w:rsidRPr="00310D49" w:rsidRDefault="00D005FA" w:rsidP="00204EDE">
      <w:pPr>
        <w:pStyle w:val="SingleTxtG"/>
        <w:spacing w:before="120"/>
        <w:rPr>
          <w:lang w:val="fr-FR"/>
        </w:rPr>
      </w:pPr>
      <w:r w:rsidRPr="00310D49">
        <w:rPr>
          <w:lang w:val="fr-FR"/>
        </w:rPr>
        <w:t>227.</w:t>
      </w:r>
      <w:r w:rsidRPr="00310D49">
        <w:rPr>
          <w:lang w:val="fr-FR"/>
        </w:rPr>
        <w:tab/>
        <w:t>Les articles 24 et 25 de la loi sur les établissements pénitentiaires traitent de la classification des détenus et disposent que les détenus de sexe masculin sont placés dans des sections distinctes de celles des détenus de sexe féminin, tandis que les mineurs sont placés dans des établissements qui leur sont réservés. Les détenus de sexe masculin ou de sexe féminin sont répartis entre les différents quartiers de l</w:t>
      </w:r>
      <w:r w:rsidR="0035332C">
        <w:rPr>
          <w:lang w:val="fr-FR"/>
        </w:rPr>
        <w:t>’</w:t>
      </w:r>
      <w:r w:rsidRPr="00310D49">
        <w:rPr>
          <w:lang w:val="fr-FR"/>
        </w:rPr>
        <w:t>établissement en fonction des catégories suivantes</w:t>
      </w:r>
      <w:r w:rsidR="00204EDE">
        <w:rPr>
          <w:lang w:val="fr-FR"/>
        </w:rPr>
        <w:t> </w:t>
      </w:r>
      <w:r w:rsidRPr="00310D49">
        <w:rPr>
          <w:lang w:val="fr-FR"/>
        </w:rPr>
        <w:t xml:space="preserve">: les prévenus, les détenus dans le cadre de contentieux civils et commerciaux tels que les poursuites pour dettes ou pour non-paiement de pension alimentaire, les détenus sans antécédents, les détenus avec antécédents et les détenus condamnés à mort, qui sont isolés des autres et placés sous surveillance permanente. </w:t>
      </w:r>
    </w:p>
    <w:p w14:paraId="49C76D6A" w14:textId="19C381BC" w:rsidR="00D005FA" w:rsidRPr="00310D49" w:rsidRDefault="00D005FA" w:rsidP="00204EDE">
      <w:pPr>
        <w:pStyle w:val="SingleTxtG"/>
        <w:spacing w:before="120"/>
        <w:rPr>
          <w:lang w:val="fr-FR"/>
        </w:rPr>
      </w:pPr>
      <w:r w:rsidRPr="00310D49">
        <w:rPr>
          <w:lang w:val="fr-FR"/>
        </w:rPr>
        <w:t>228.</w:t>
      </w:r>
      <w:r w:rsidRPr="00310D49">
        <w:rPr>
          <w:lang w:val="fr-FR"/>
        </w:rPr>
        <w:tab/>
        <w:t>Dans le cadre du développement des infrastructures, la Direction de l</w:t>
      </w:r>
      <w:r w:rsidR="0035332C">
        <w:rPr>
          <w:lang w:val="fr-FR"/>
        </w:rPr>
        <w:t>’</w:t>
      </w:r>
      <w:r w:rsidRPr="00310D49">
        <w:rPr>
          <w:lang w:val="fr-FR"/>
        </w:rPr>
        <w:t>administration pénitentiaire a élaboré un plan stratégique triennal (2014-2016) de construction de bâtiments modèles dans les établissements pénitentiaires dans plusieurs gouvernorats. Ce plan a pour objectif de répondre aux besoins des détenus en matière d</w:t>
      </w:r>
      <w:r w:rsidR="0035332C">
        <w:rPr>
          <w:lang w:val="fr-FR"/>
        </w:rPr>
        <w:t>’</w:t>
      </w:r>
      <w:r w:rsidRPr="00310D49">
        <w:rPr>
          <w:lang w:val="fr-FR"/>
        </w:rPr>
        <w:t>amendement et de réinsertion, d</w:t>
      </w:r>
      <w:r w:rsidR="0035332C">
        <w:rPr>
          <w:lang w:val="fr-FR"/>
        </w:rPr>
        <w:t>’</w:t>
      </w:r>
      <w:r w:rsidRPr="00310D49">
        <w:rPr>
          <w:lang w:val="fr-FR"/>
        </w:rPr>
        <w:t>améliorer leurs conditions de vie, d</w:t>
      </w:r>
      <w:r w:rsidR="0035332C">
        <w:rPr>
          <w:lang w:val="fr-FR"/>
        </w:rPr>
        <w:t>’</w:t>
      </w:r>
      <w:r w:rsidRPr="00310D49">
        <w:rPr>
          <w:lang w:val="fr-FR"/>
        </w:rPr>
        <w:t>attribuer à chaque détenu une surface de quatre mètres carrés au sein des dortoirs, d</w:t>
      </w:r>
      <w:r w:rsidR="0035332C">
        <w:rPr>
          <w:lang w:val="fr-FR"/>
        </w:rPr>
        <w:t>’</w:t>
      </w:r>
      <w:r w:rsidRPr="00310D49">
        <w:rPr>
          <w:lang w:val="fr-FR"/>
        </w:rPr>
        <w:t>agrandir les installations, les sections spéciales et les cours extérieures dans les nouveaux établissements et de réserver des espaces aux salles de sport, aux bibliothèques, aux ateliers et autres structures.</w:t>
      </w:r>
    </w:p>
    <w:p w14:paraId="02BD5966" w14:textId="77777777" w:rsidR="00D005FA" w:rsidRPr="00310D49" w:rsidRDefault="00D005FA" w:rsidP="00204EDE">
      <w:pPr>
        <w:pStyle w:val="H23G"/>
        <w:rPr>
          <w:lang w:val="fr-FR"/>
        </w:rPr>
      </w:pPr>
      <w:r w:rsidRPr="00310D49">
        <w:rPr>
          <w:lang w:val="fr-FR"/>
        </w:rPr>
        <w:tab/>
      </w:r>
      <w:r w:rsidRPr="00310D49">
        <w:rPr>
          <w:lang w:val="fr-FR"/>
        </w:rPr>
        <w:tab/>
        <w:t>Services de santé</w:t>
      </w:r>
    </w:p>
    <w:p w14:paraId="351B4205" w14:textId="32A42ACB" w:rsidR="00D005FA" w:rsidRPr="00310D49" w:rsidRDefault="00D005FA" w:rsidP="00204EDE">
      <w:pPr>
        <w:pStyle w:val="SingleTxtG"/>
        <w:spacing w:before="120"/>
        <w:rPr>
          <w:lang w:val="fr-FR"/>
        </w:rPr>
      </w:pPr>
      <w:r w:rsidRPr="00310D49">
        <w:rPr>
          <w:lang w:val="fr-FR"/>
        </w:rPr>
        <w:t>229.</w:t>
      </w:r>
      <w:r w:rsidRPr="00310D49">
        <w:rPr>
          <w:lang w:val="fr-FR"/>
        </w:rPr>
        <w:tab/>
        <w:t>Les services médicaux militaires, qui sont rattachés à l</w:t>
      </w:r>
      <w:r w:rsidR="0035332C">
        <w:rPr>
          <w:lang w:val="fr-FR"/>
        </w:rPr>
        <w:t>’</w:t>
      </w:r>
      <w:r w:rsidRPr="00310D49">
        <w:rPr>
          <w:lang w:val="fr-FR"/>
        </w:rPr>
        <w:t>institution militaire, sont chargés du suivi médical des détenus dans les établissements pénitentiaires. Tout détenu fait l</w:t>
      </w:r>
      <w:r w:rsidR="0035332C">
        <w:rPr>
          <w:lang w:val="fr-FR"/>
        </w:rPr>
        <w:t>’</w:t>
      </w:r>
      <w:r w:rsidRPr="00310D49">
        <w:rPr>
          <w:lang w:val="fr-FR"/>
        </w:rPr>
        <w:t>objet d</w:t>
      </w:r>
      <w:r w:rsidR="0035332C">
        <w:rPr>
          <w:lang w:val="fr-FR"/>
        </w:rPr>
        <w:t>’</w:t>
      </w:r>
      <w:r w:rsidRPr="00310D49">
        <w:rPr>
          <w:lang w:val="fr-FR"/>
        </w:rPr>
        <w:t xml:space="preserve">un examen médical complet dans les </w:t>
      </w:r>
      <w:r w:rsidR="004D6394">
        <w:rPr>
          <w:lang w:val="fr-FR"/>
        </w:rPr>
        <w:t>vingt-quatre</w:t>
      </w:r>
      <w:r w:rsidRPr="00310D49">
        <w:rPr>
          <w:lang w:val="fr-FR"/>
        </w:rPr>
        <w:t xml:space="preserve"> heures suivant son admission dans </w:t>
      </w:r>
      <w:r w:rsidRPr="00310D49">
        <w:rPr>
          <w:lang w:val="fr-FR"/>
        </w:rPr>
        <w:lastRenderedPageBreak/>
        <w:t>l</w:t>
      </w:r>
      <w:r w:rsidR="0035332C">
        <w:rPr>
          <w:lang w:val="fr-FR"/>
        </w:rPr>
        <w:t>’</w:t>
      </w:r>
      <w:r w:rsidRPr="00310D49">
        <w:rPr>
          <w:lang w:val="fr-FR"/>
        </w:rPr>
        <w:t>établissement et un autre avant sa mise en liberté, les résultats de ces examens étant consignés dans son dossier médical. En outre, s</w:t>
      </w:r>
      <w:r w:rsidR="0035332C">
        <w:rPr>
          <w:lang w:val="fr-FR"/>
        </w:rPr>
        <w:t>’</w:t>
      </w:r>
      <w:r w:rsidRPr="00310D49">
        <w:rPr>
          <w:lang w:val="fr-FR"/>
        </w:rPr>
        <w:t>il est constaté des traces de torture sur le corps du détenu, le médecin de l</w:t>
      </w:r>
      <w:r w:rsidR="0035332C">
        <w:rPr>
          <w:lang w:val="fr-FR"/>
        </w:rPr>
        <w:t>’</w:t>
      </w:r>
      <w:r w:rsidRPr="00310D49">
        <w:rPr>
          <w:lang w:val="fr-FR"/>
        </w:rPr>
        <w:t>établissement rédige un rapport médical détaillé sur l</w:t>
      </w:r>
      <w:r w:rsidR="0035332C">
        <w:rPr>
          <w:lang w:val="fr-FR"/>
        </w:rPr>
        <w:t>’</w:t>
      </w:r>
      <w:r w:rsidRPr="00310D49">
        <w:rPr>
          <w:lang w:val="fr-FR"/>
        </w:rPr>
        <w:t>état du détenu et le directeur de l</w:t>
      </w:r>
      <w:r w:rsidR="0035332C">
        <w:rPr>
          <w:lang w:val="fr-FR"/>
        </w:rPr>
        <w:t>’</w:t>
      </w:r>
      <w:r w:rsidRPr="00310D49">
        <w:rPr>
          <w:lang w:val="fr-FR"/>
        </w:rPr>
        <w:t>établissement en est informé afin que la procédure pertinente puisse être menée à bien conformément à la loi. Dans le cas où le détenu refuse de se soumettre à une évaluation médicale, le médecin de l</w:t>
      </w:r>
      <w:r w:rsidR="0035332C">
        <w:rPr>
          <w:lang w:val="fr-FR"/>
        </w:rPr>
        <w:t>’</w:t>
      </w:r>
      <w:r w:rsidRPr="00310D49">
        <w:rPr>
          <w:lang w:val="fr-FR"/>
        </w:rPr>
        <w:t>établissement doit consigner le refus du détenu dans le registre officiel.</w:t>
      </w:r>
    </w:p>
    <w:p w14:paraId="71C09AD9" w14:textId="79C93B04" w:rsidR="00D005FA" w:rsidRPr="00310D49" w:rsidRDefault="00D005FA" w:rsidP="00204EDE">
      <w:pPr>
        <w:pStyle w:val="SingleTxtG"/>
        <w:spacing w:before="120"/>
        <w:rPr>
          <w:lang w:val="fr-FR"/>
        </w:rPr>
      </w:pPr>
      <w:r w:rsidRPr="00310D49">
        <w:rPr>
          <w:lang w:val="fr-FR"/>
        </w:rPr>
        <w:t>230.</w:t>
      </w:r>
      <w:r w:rsidRPr="00310D49">
        <w:rPr>
          <w:lang w:val="fr-FR"/>
        </w:rPr>
        <w:tab/>
        <w:t>Certains établissements pénitentiaires ne disposent toujours pas de dispensaires ou de médecins ou d</w:t>
      </w:r>
      <w:r w:rsidR="0035332C">
        <w:rPr>
          <w:lang w:val="fr-FR"/>
        </w:rPr>
        <w:t>’</w:t>
      </w:r>
      <w:r w:rsidRPr="00310D49">
        <w:rPr>
          <w:lang w:val="fr-FR"/>
        </w:rPr>
        <w:t>infirmiers présents en permanence, tandis que la plupart des établissements pénitentiaires ne disposent pas des services d</w:t>
      </w:r>
      <w:r w:rsidR="0035332C">
        <w:rPr>
          <w:lang w:val="fr-FR"/>
        </w:rPr>
        <w:t>’</w:t>
      </w:r>
      <w:r w:rsidRPr="00310D49">
        <w:rPr>
          <w:lang w:val="fr-FR"/>
        </w:rPr>
        <w:t>un dentiste et d</w:t>
      </w:r>
      <w:r w:rsidR="0035332C">
        <w:rPr>
          <w:lang w:val="fr-FR"/>
        </w:rPr>
        <w:t>’</w:t>
      </w:r>
      <w:r w:rsidRPr="00310D49">
        <w:rPr>
          <w:lang w:val="fr-FR"/>
        </w:rPr>
        <w:t>un psychiatre, obligeant la Direction de l</w:t>
      </w:r>
      <w:r w:rsidR="0035332C">
        <w:rPr>
          <w:lang w:val="fr-FR"/>
        </w:rPr>
        <w:t>’</w:t>
      </w:r>
      <w:r w:rsidRPr="00310D49">
        <w:rPr>
          <w:lang w:val="fr-FR"/>
        </w:rPr>
        <w:t>administration pénitentiaire à transférer certains cas aux hôpitaux publics.</w:t>
      </w:r>
    </w:p>
    <w:p w14:paraId="0501704B" w14:textId="77777777" w:rsidR="00D005FA" w:rsidRPr="00310D49" w:rsidRDefault="00D005FA" w:rsidP="00204EDE">
      <w:pPr>
        <w:pStyle w:val="SingleTxtG"/>
        <w:spacing w:before="120"/>
        <w:rPr>
          <w:lang w:val="fr-FR"/>
        </w:rPr>
      </w:pPr>
      <w:r w:rsidRPr="00310D49">
        <w:rPr>
          <w:lang w:val="fr-FR"/>
        </w:rPr>
        <w:t>231.</w:t>
      </w:r>
      <w:r w:rsidRPr="00310D49">
        <w:rPr>
          <w:lang w:val="fr-FR"/>
        </w:rPr>
        <w:tab/>
        <w:t>Le tableau ci-après présente les statistiques relatives aux visites médicales et aux soins médicaux (nombre de détenus transférés pour bénéficier de soins).</w:t>
      </w:r>
    </w:p>
    <w:tbl>
      <w:tblPr>
        <w:tblW w:w="9639" w:type="dxa"/>
        <w:tblLayout w:type="fixed"/>
        <w:tblCellMar>
          <w:left w:w="0" w:type="dxa"/>
          <w:right w:w="0" w:type="dxa"/>
        </w:tblCellMar>
        <w:tblLook w:val="04A0" w:firstRow="1" w:lastRow="0" w:firstColumn="1" w:lastColumn="0" w:noHBand="0" w:noVBand="1"/>
      </w:tblPr>
      <w:tblGrid>
        <w:gridCol w:w="1160"/>
        <w:gridCol w:w="1208"/>
        <w:gridCol w:w="1032"/>
        <w:gridCol w:w="985"/>
        <w:gridCol w:w="1208"/>
        <w:gridCol w:w="1097"/>
        <w:gridCol w:w="938"/>
        <w:gridCol w:w="938"/>
        <w:gridCol w:w="1073"/>
      </w:tblGrid>
      <w:tr w:rsidR="00204EDE" w:rsidRPr="00204EDE" w14:paraId="46612A73" w14:textId="77777777" w:rsidTr="00204EDE">
        <w:trPr>
          <w:tblHeader/>
        </w:trPr>
        <w:tc>
          <w:tcPr>
            <w:tcW w:w="1160" w:type="dxa"/>
            <w:vMerge w:val="restart"/>
            <w:tcBorders>
              <w:top w:val="single" w:sz="4" w:space="0" w:color="auto"/>
              <w:bottom w:val="single" w:sz="12" w:space="0" w:color="auto"/>
            </w:tcBorders>
            <w:shd w:val="clear" w:color="auto" w:fill="auto"/>
            <w:vAlign w:val="center"/>
          </w:tcPr>
          <w:p w14:paraId="233DB1A8" w14:textId="77777777" w:rsidR="00D005FA" w:rsidRPr="00204EDE" w:rsidRDefault="00D005FA" w:rsidP="00204EDE">
            <w:pPr>
              <w:spacing w:before="40" w:after="120"/>
              <w:ind w:right="113"/>
              <w:rPr>
                <w:i/>
                <w:sz w:val="16"/>
                <w:lang w:val="fr-FR"/>
              </w:rPr>
            </w:pPr>
            <w:r w:rsidRPr="00204EDE">
              <w:rPr>
                <w:lang w:val="fr-FR"/>
              </w:rPr>
              <w:t>2014</w:t>
            </w:r>
          </w:p>
        </w:tc>
        <w:tc>
          <w:tcPr>
            <w:tcW w:w="1208" w:type="dxa"/>
            <w:tcBorders>
              <w:top w:val="single" w:sz="4" w:space="0" w:color="auto"/>
            </w:tcBorders>
            <w:shd w:val="clear" w:color="auto" w:fill="auto"/>
            <w:vAlign w:val="bottom"/>
          </w:tcPr>
          <w:p w14:paraId="10D54DA8" w14:textId="77777777" w:rsidR="00D005FA" w:rsidRPr="00204EDE" w:rsidRDefault="00D005FA" w:rsidP="00204EDE">
            <w:pPr>
              <w:spacing w:before="40" w:after="120"/>
              <w:ind w:right="113"/>
              <w:rPr>
                <w:lang w:val="fr-FR"/>
              </w:rPr>
            </w:pPr>
            <w:r w:rsidRPr="00204EDE">
              <w:rPr>
                <w:lang w:val="fr-FR"/>
              </w:rPr>
              <w:t>Centre</w:t>
            </w:r>
          </w:p>
        </w:tc>
        <w:tc>
          <w:tcPr>
            <w:tcW w:w="1032" w:type="dxa"/>
            <w:tcBorders>
              <w:top w:val="single" w:sz="4" w:space="0" w:color="auto"/>
            </w:tcBorders>
            <w:shd w:val="clear" w:color="auto" w:fill="auto"/>
            <w:vAlign w:val="bottom"/>
          </w:tcPr>
          <w:p w14:paraId="6210CE6A" w14:textId="77777777" w:rsidR="00D005FA" w:rsidRPr="00204EDE" w:rsidRDefault="00D005FA" w:rsidP="00204EDE">
            <w:pPr>
              <w:spacing w:before="40" w:after="120"/>
              <w:ind w:right="113"/>
              <w:rPr>
                <w:lang w:val="fr-FR"/>
              </w:rPr>
            </w:pPr>
            <w:r w:rsidRPr="00204EDE">
              <w:rPr>
                <w:lang w:val="fr-FR"/>
              </w:rPr>
              <w:t>Ramallah</w:t>
            </w:r>
          </w:p>
        </w:tc>
        <w:tc>
          <w:tcPr>
            <w:tcW w:w="985" w:type="dxa"/>
            <w:tcBorders>
              <w:top w:val="single" w:sz="4" w:space="0" w:color="auto"/>
            </w:tcBorders>
            <w:shd w:val="clear" w:color="auto" w:fill="auto"/>
            <w:vAlign w:val="bottom"/>
          </w:tcPr>
          <w:p w14:paraId="39CBB50A" w14:textId="77777777" w:rsidR="00D005FA" w:rsidRPr="00204EDE" w:rsidRDefault="00D005FA" w:rsidP="00204EDE">
            <w:pPr>
              <w:spacing w:before="40" w:after="120"/>
              <w:ind w:right="113"/>
              <w:rPr>
                <w:lang w:val="fr-FR"/>
              </w:rPr>
            </w:pPr>
            <w:r w:rsidRPr="00204EDE">
              <w:rPr>
                <w:lang w:val="fr-FR"/>
              </w:rPr>
              <w:t>Naplouse</w:t>
            </w:r>
          </w:p>
        </w:tc>
        <w:tc>
          <w:tcPr>
            <w:tcW w:w="1208" w:type="dxa"/>
            <w:tcBorders>
              <w:top w:val="single" w:sz="4" w:space="0" w:color="auto"/>
            </w:tcBorders>
            <w:shd w:val="clear" w:color="auto" w:fill="auto"/>
            <w:vAlign w:val="bottom"/>
          </w:tcPr>
          <w:p w14:paraId="56ED1620" w14:textId="77777777" w:rsidR="00D005FA" w:rsidRPr="00204EDE" w:rsidRDefault="00D005FA" w:rsidP="00204EDE">
            <w:pPr>
              <w:spacing w:before="40" w:after="120"/>
              <w:ind w:right="113"/>
              <w:rPr>
                <w:lang w:val="fr-FR"/>
              </w:rPr>
            </w:pPr>
            <w:r w:rsidRPr="00204EDE">
              <w:rPr>
                <w:lang w:val="fr-FR"/>
              </w:rPr>
              <w:t>Bethléem</w:t>
            </w:r>
          </w:p>
        </w:tc>
        <w:tc>
          <w:tcPr>
            <w:tcW w:w="1097" w:type="dxa"/>
            <w:tcBorders>
              <w:top w:val="single" w:sz="4" w:space="0" w:color="auto"/>
            </w:tcBorders>
            <w:shd w:val="clear" w:color="auto" w:fill="auto"/>
            <w:vAlign w:val="bottom"/>
          </w:tcPr>
          <w:p w14:paraId="6076AD21" w14:textId="77777777" w:rsidR="00D005FA" w:rsidRPr="00204EDE" w:rsidRDefault="00D005FA" w:rsidP="00204EDE">
            <w:pPr>
              <w:spacing w:before="40" w:after="120"/>
              <w:ind w:right="113"/>
              <w:rPr>
                <w:lang w:val="fr-FR"/>
              </w:rPr>
            </w:pPr>
            <w:r w:rsidRPr="00204EDE">
              <w:rPr>
                <w:lang w:val="fr-FR"/>
              </w:rPr>
              <w:t>Jéricho</w:t>
            </w:r>
          </w:p>
        </w:tc>
        <w:tc>
          <w:tcPr>
            <w:tcW w:w="938" w:type="dxa"/>
            <w:tcBorders>
              <w:top w:val="single" w:sz="4" w:space="0" w:color="auto"/>
            </w:tcBorders>
            <w:shd w:val="clear" w:color="auto" w:fill="auto"/>
            <w:vAlign w:val="bottom"/>
          </w:tcPr>
          <w:p w14:paraId="43DCAD38" w14:textId="77777777" w:rsidR="00D005FA" w:rsidRPr="00204EDE" w:rsidRDefault="00D005FA" w:rsidP="00204EDE">
            <w:pPr>
              <w:spacing w:before="40" w:after="120"/>
              <w:ind w:right="113"/>
              <w:rPr>
                <w:lang w:val="fr-FR"/>
              </w:rPr>
            </w:pPr>
            <w:r w:rsidRPr="00204EDE">
              <w:rPr>
                <w:lang w:val="fr-FR"/>
              </w:rPr>
              <w:t>Jénine</w:t>
            </w:r>
          </w:p>
        </w:tc>
        <w:tc>
          <w:tcPr>
            <w:tcW w:w="938" w:type="dxa"/>
            <w:tcBorders>
              <w:top w:val="single" w:sz="4" w:space="0" w:color="auto"/>
            </w:tcBorders>
            <w:shd w:val="clear" w:color="auto" w:fill="auto"/>
            <w:vAlign w:val="bottom"/>
          </w:tcPr>
          <w:p w14:paraId="03EE1C35" w14:textId="77777777" w:rsidR="00D005FA" w:rsidRPr="00204EDE" w:rsidRDefault="00D005FA" w:rsidP="00204EDE">
            <w:pPr>
              <w:spacing w:before="40" w:after="120"/>
              <w:ind w:right="113"/>
              <w:rPr>
                <w:lang w:val="fr-FR"/>
              </w:rPr>
            </w:pPr>
            <w:r w:rsidRPr="00204EDE">
              <w:rPr>
                <w:lang w:val="fr-FR"/>
              </w:rPr>
              <w:t>Hébron</w:t>
            </w:r>
          </w:p>
        </w:tc>
        <w:tc>
          <w:tcPr>
            <w:tcW w:w="1073" w:type="dxa"/>
            <w:tcBorders>
              <w:top w:val="single" w:sz="4" w:space="0" w:color="auto"/>
            </w:tcBorders>
            <w:shd w:val="clear" w:color="auto" w:fill="auto"/>
            <w:vAlign w:val="bottom"/>
          </w:tcPr>
          <w:p w14:paraId="60BCCF14" w14:textId="77777777" w:rsidR="00D005FA" w:rsidRPr="00204EDE" w:rsidRDefault="00D005FA" w:rsidP="00204EDE">
            <w:pPr>
              <w:spacing w:before="40" w:after="120"/>
              <w:ind w:right="113"/>
              <w:rPr>
                <w:lang w:val="fr-FR"/>
              </w:rPr>
            </w:pPr>
            <w:r w:rsidRPr="00204EDE">
              <w:rPr>
                <w:lang w:val="fr-FR"/>
              </w:rPr>
              <w:t>Toulkarem</w:t>
            </w:r>
          </w:p>
        </w:tc>
      </w:tr>
      <w:tr w:rsidR="00204EDE" w:rsidRPr="00204EDE" w14:paraId="48791C4A" w14:textId="77777777" w:rsidTr="00204EDE">
        <w:trPr>
          <w:tblHeader/>
        </w:trPr>
        <w:tc>
          <w:tcPr>
            <w:tcW w:w="1160" w:type="dxa"/>
            <w:vMerge/>
            <w:shd w:val="clear" w:color="auto" w:fill="auto"/>
          </w:tcPr>
          <w:p w14:paraId="18A6651B" w14:textId="77777777" w:rsidR="00D005FA" w:rsidRPr="00204EDE" w:rsidRDefault="00D005FA" w:rsidP="00204EDE">
            <w:pPr>
              <w:spacing w:before="40" w:after="120"/>
              <w:ind w:right="113"/>
              <w:rPr>
                <w:rtl/>
                <w:lang w:val="fr-FR" w:bidi="ar-JO"/>
              </w:rPr>
            </w:pPr>
          </w:p>
        </w:tc>
        <w:tc>
          <w:tcPr>
            <w:tcW w:w="1208" w:type="dxa"/>
            <w:shd w:val="clear" w:color="auto" w:fill="auto"/>
          </w:tcPr>
          <w:p w14:paraId="428182CB" w14:textId="77777777" w:rsidR="00D005FA" w:rsidRPr="00204EDE" w:rsidRDefault="00D005FA" w:rsidP="00204EDE">
            <w:pPr>
              <w:spacing w:before="80" w:after="120"/>
              <w:ind w:right="113"/>
              <w:rPr>
                <w:lang w:val="fr-FR"/>
              </w:rPr>
            </w:pPr>
            <w:r w:rsidRPr="00204EDE">
              <w:rPr>
                <w:b/>
                <w:bCs/>
                <w:lang w:val="fr-FR"/>
              </w:rPr>
              <w:t>Total</w:t>
            </w:r>
          </w:p>
        </w:tc>
        <w:tc>
          <w:tcPr>
            <w:tcW w:w="1032" w:type="dxa"/>
            <w:shd w:val="clear" w:color="auto" w:fill="auto"/>
          </w:tcPr>
          <w:p w14:paraId="7D83723F" w14:textId="77777777" w:rsidR="00D005FA" w:rsidRPr="00204EDE" w:rsidRDefault="00D005FA" w:rsidP="00204EDE">
            <w:pPr>
              <w:spacing w:before="80" w:after="120"/>
              <w:ind w:right="113"/>
              <w:rPr>
                <w:rtl/>
                <w:lang w:val="fr-FR" w:bidi="ar-JO"/>
              </w:rPr>
            </w:pPr>
            <w:r w:rsidRPr="00204EDE">
              <w:rPr>
                <w:lang w:val="fr-FR" w:bidi="ar-JO"/>
              </w:rPr>
              <w:t>3 656</w:t>
            </w:r>
          </w:p>
        </w:tc>
        <w:tc>
          <w:tcPr>
            <w:tcW w:w="985" w:type="dxa"/>
            <w:shd w:val="clear" w:color="auto" w:fill="auto"/>
          </w:tcPr>
          <w:p w14:paraId="36C2C62F" w14:textId="77777777" w:rsidR="00D005FA" w:rsidRPr="00204EDE" w:rsidRDefault="00D005FA" w:rsidP="00204EDE">
            <w:pPr>
              <w:spacing w:before="80" w:after="120"/>
              <w:ind w:right="113"/>
              <w:rPr>
                <w:rtl/>
                <w:lang w:val="fr-FR" w:bidi="ar-JO"/>
              </w:rPr>
            </w:pPr>
            <w:r w:rsidRPr="00204EDE">
              <w:rPr>
                <w:lang w:val="fr-FR" w:bidi="ar-JO"/>
              </w:rPr>
              <w:t>7 764</w:t>
            </w:r>
          </w:p>
        </w:tc>
        <w:tc>
          <w:tcPr>
            <w:tcW w:w="1208" w:type="dxa"/>
            <w:shd w:val="clear" w:color="auto" w:fill="auto"/>
          </w:tcPr>
          <w:p w14:paraId="6939D71B" w14:textId="77777777" w:rsidR="00D005FA" w:rsidRPr="00204EDE" w:rsidRDefault="00D005FA" w:rsidP="00204EDE">
            <w:pPr>
              <w:spacing w:before="80" w:after="120"/>
              <w:ind w:right="113"/>
              <w:rPr>
                <w:rtl/>
                <w:lang w:val="fr-FR" w:bidi="ar-JO"/>
              </w:rPr>
            </w:pPr>
            <w:r w:rsidRPr="00204EDE">
              <w:rPr>
                <w:lang w:val="fr-FR" w:bidi="ar-JO"/>
              </w:rPr>
              <w:t>1 855</w:t>
            </w:r>
          </w:p>
        </w:tc>
        <w:tc>
          <w:tcPr>
            <w:tcW w:w="1097" w:type="dxa"/>
            <w:shd w:val="clear" w:color="auto" w:fill="auto"/>
          </w:tcPr>
          <w:p w14:paraId="6AFE256F" w14:textId="77777777" w:rsidR="00D005FA" w:rsidRPr="00204EDE" w:rsidRDefault="00D005FA" w:rsidP="00204EDE">
            <w:pPr>
              <w:spacing w:before="80" w:after="120"/>
              <w:ind w:right="113"/>
              <w:rPr>
                <w:rtl/>
                <w:lang w:val="fr-FR" w:bidi="ar-JO"/>
              </w:rPr>
            </w:pPr>
            <w:r w:rsidRPr="00204EDE">
              <w:rPr>
                <w:lang w:val="fr-FR" w:bidi="ar-JO"/>
              </w:rPr>
              <w:t>4 743</w:t>
            </w:r>
          </w:p>
        </w:tc>
        <w:tc>
          <w:tcPr>
            <w:tcW w:w="938" w:type="dxa"/>
            <w:shd w:val="clear" w:color="auto" w:fill="auto"/>
          </w:tcPr>
          <w:p w14:paraId="32EF127B" w14:textId="77777777" w:rsidR="00D005FA" w:rsidRPr="00204EDE" w:rsidRDefault="00D005FA" w:rsidP="00204EDE">
            <w:pPr>
              <w:spacing w:before="80" w:after="120"/>
              <w:ind w:right="113"/>
              <w:rPr>
                <w:rtl/>
                <w:lang w:val="fr-FR" w:bidi="ar-JO"/>
              </w:rPr>
            </w:pPr>
            <w:r w:rsidRPr="00204EDE">
              <w:rPr>
                <w:lang w:val="fr-FR" w:bidi="ar-JO"/>
              </w:rPr>
              <w:t>4 966</w:t>
            </w:r>
          </w:p>
        </w:tc>
        <w:tc>
          <w:tcPr>
            <w:tcW w:w="938" w:type="dxa"/>
            <w:shd w:val="clear" w:color="auto" w:fill="auto"/>
          </w:tcPr>
          <w:p w14:paraId="18A4B59A" w14:textId="77777777" w:rsidR="00D005FA" w:rsidRPr="00204EDE" w:rsidRDefault="00D005FA" w:rsidP="00204EDE">
            <w:pPr>
              <w:spacing w:before="80" w:after="120"/>
              <w:ind w:right="113"/>
              <w:rPr>
                <w:rtl/>
                <w:lang w:val="fr-FR" w:bidi="ar-JO"/>
              </w:rPr>
            </w:pPr>
            <w:r w:rsidRPr="00204EDE">
              <w:rPr>
                <w:lang w:val="fr-FR" w:bidi="ar-JO"/>
              </w:rPr>
              <w:t>2 954</w:t>
            </w:r>
          </w:p>
        </w:tc>
        <w:tc>
          <w:tcPr>
            <w:tcW w:w="1073" w:type="dxa"/>
            <w:shd w:val="clear" w:color="auto" w:fill="auto"/>
          </w:tcPr>
          <w:p w14:paraId="01D7A247" w14:textId="77777777" w:rsidR="00D005FA" w:rsidRPr="00204EDE" w:rsidRDefault="00D005FA" w:rsidP="00204EDE">
            <w:pPr>
              <w:spacing w:before="80" w:after="120"/>
              <w:ind w:right="113"/>
              <w:rPr>
                <w:rtl/>
                <w:lang w:val="fr-FR" w:bidi="ar-JO"/>
              </w:rPr>
            </w:pPr>
            <w:r w:rsidRPr="00204EDE">
              <w:rPr>
                <w:lang w:val="fr-FR" w:bidi="ar-JO"/>
              </w:rPr>
              <w:t>2 644</w:t>
            </w:r>
          </w:p>
        </w:tc>
      </w:tr>
      <w:tr w:rsidR="00204EDE" w:rsidRPr="00204EDE" w14:paraId="0B53395B" w14:textId="77777777" w:rsidTr="00204EDE">
        <w:tc>
          <w:tcPr>
            <w:tcW w:w="1160" w:type="dxa"/>
            <w:vMerge w:val="restart"/>
            <w:shd w:val="clear" w:color="auto" w:fill="auto"/>
            <w:vAlign w:val="center"/>
          </w:tcPr>
          <w:p w14:paraId="693F19F3" w14:textId="77777777" w:rsidR="00D005FA" w:rsidRPr="00204EDE" w:rsidRDefault="00D005FA" w:rsidP="00204EDE">
            <w:pPr>
              <w:spacing w:before="40" w:after="120"/>
              <w:ind w:right="113"/>
              <w:rPr>
                <w:lang w:val="fr-FR"/>
              </w:rPr>
            </w:pPr>
            <w:r w:rsidRPr="00204EDE">
              <w:rPr>
                <w:lang w:val="fr-FR"/>
              </w:rPr>
              <w:t>2015</w:t>
            </w:r>
          </w:p>
        </w:tc>
        <w:tc>
          <w:tcPr>
            <w:tcW w:w="1208" w:type="dxa"/>
            <w:shd w:val="clear" w:color="auto" w:fill="auto"/>
          </w:tcPr>
          <w:p w14:paraId="34D372AB" w14:textId="77777777" w:rsidR="00D005FA" w:rsidRPr="00204EDE" w:rsidRDefault="00D005FA" w:rsidP="00204EDE">
            <w:pPr>
              <w:spacing w:before="40" w:after="120"/>
              <w:ind w:right="113"/>
              <w:rPr>
                <w:lang w:val="fr-FR"/>
              </w:rPr>
            </w:pPr>
            <w:r w:rsidRPr="00204EDE">
              <w:rPr>
                <w:lang w:val="fr-FR"/>
              </w:rPr>
              <w:t>Centre</w:t>
            </w:r>
          </w:p>
        </w:tc>
        <w:tc>
          <w:tcPr>
            <w:tcW w:w="1032" w:type="dxa"/>
            <w:shd w:val="clear" w:color="auto" w:fill="auto"/>
          </w:tcPr>
          <w:p w14:paraId="2EE2D979" w14:textId="77777777" w:rsidR="00D005FA" w:rsidRPr="00204EDE" w:rsidRDefault="00D005FA" w:rsidP="00204EDE">
            <w:pPr>
              <w:spacing w:before="40" w:after="120"/>
              <w:ind w:right="113"/>
              <w:rPr>
                <w:lang w:val="fr-FR"/>
              </w:rPr>
            </w:pPr>
            <w:r w:rsidRPr="00204EDE">
              <w:rPr>
                <w:lang w:val="fr-FR"/>
              </w:rPr>
              <w:t>Ramallah</w:t>
            </w:r>
          </w:p>
        </w:tc>
        <w:tc>
          <w:tcPr>
            <w:tcW w:w="985" w:type="dxa"/>
            <w:shd w:val="clear" w:color="auto" w:fill="auto"/>
          </w:tcPr>
          <w:p w14:paraId="4FBDB825" w14:textId="77777777" w:rsidR="00D005FA" w:rsidRPr="00204EDE" w:rsidRDefault="00D005FA" w:rsidP="00204EDE">
            <w:pPr>
              <w:spacing w:before="40" w:after="120"/>
              <w:ind w:right="113"/>
              <w:rPr>
                <w:lang w:val="fr-FR"/>
              </w:rPr>
            </w:pPr>
            <w:r w:rsidRPr="00204EDE">
              <w:rPr>
                <w:lang w:val="fr-FR"/>
              </w:rPr>
              <w:t>Naplouse</w:t>
            </w:r>
          </w:p>
        </w:tc>
        <w:tc>
          <w:tcPr>
            <w:tcW w:w="1208" w:type="dxa"/>
            <w:shd w:val="clear" w:color="auto" w:fill="auto"/>
          </w:tcPr>
          <w:p w14:paraId="3C4E3E54" w14:textId="77777777" w:rsidR="00D005FA" w:rsidRPr="00204EDE" w:rsidRDefault="00D005FA" w:rsidP="00204EDE">
            <w:pPr>
              <w:spacing w:before="40" w:after="120"/>
              <w:ind w:right="113"/>
              <w:rPr>
                <w:lang w:val="fr-FR"/>
              </w:rPr>
            </w:pPr>
            <w:r w:rsidRPr="00204EDE">
              <w:rPr>
                <w:lang w:val="fr-FR"/>
              </w:rPr>
              <w:t>Bethléem</w:t>
            </w:r>
          </w:p>
        </w:tc>
        <w:tc>
          <w:tcPr>
            <w:tcW w:w="1097" w:type="dxa"/>
            <w:shd w:val="clear" w:color="auto" w:fill="auto"/>
          </w:tcPr>
          <w:p w14:paraId="20BA0305" w14:textId="77777777" w:rsidR="00D005FA" w:rsidRPr="00204EDE" w:rsidRDefault="00D005FA" w:rsidP="00204EDE">
            <w:pPr>
              <w:spacing w:before="40" w:after="120"/>
              <w:ind w:right="113"/>
              <w:rPr>
                <w:lang w:val="fr-FR"/>
              </w:rPr>
            </w:pPr>
            <w:r w:rsidRPr="00204EDE">
              <w:rPr>
                <w:lang w:val="fr-FR"/>
              </w:rPr>
              <w:t>Jéricho</w:t>
            </w:r>
          </w:p>
        </w:tc>
        <w:tc>
          <w:tcPr>
            <w:tcW w:w="938" w:type="dxa"/>
            <w:shd w:val="clear" w:color="auto" w:fill="auto"/>
          </w:tcPr>
          <w:p w14:paraId="1B129CE0" w14:textId="77777777" w:rsidR="00D005FA" w:rsidRPr="00204EDE" w:rsidRDefault="00D005FA" w:rsidP="00204EDE">
            <w:pPr>
              <w:spacing w:before="40" w:after="120"/>
              <w:ind w:right="113"/>
              <w:rPr>
                <w:lang w:val="fr-FR"/>
              </w:rPr>
            </w:pPr>
            <w:r w:rsidRPr="00204EDE">
              <w:rPr>
                <w:lang w:val="fr-FR"/>
              </w:rPr>
              <w:t>Jénine</w:t>
            </w:r>
          </w:p>
        </w:tc>
        <w:tc>
          <w:tcPr>
            <w:tcW w:w="938" w:type="dxa"/>
            <w:shd w:val="clear" w:color="auto" w:fill="auto"/>
          </w:tcPr>
          <w:p w14:paraId="341910D9" w14:textId="77777777" w:rsidR="00D005FA" w:rsidRPr="00204EDE" w:rsidRDefault="00D005FA" w:rsidP="00204EDE">
            <w:pPr>
              <w:spacing w:before="40" w:after="120"/>
              <w:ind w:right="113"/>
              <w:rPr>
                <w:lang w:val="fr-FR"/>
              </w:rPr>
            </w:pPr>
            <w:r w:rsidRPr="00204EDE">
              <w:rPr>
                <w:lang w:val="fr-FR"/>
              </w:rPr>
              <w:t>Hébron</w:t>
            </w:r>
          </w:p>
        </w:tc>
        <w:tc>
          <w:tcPr>
            <w:tcW w:w="1073" w:type="dxa"/>
            <w:shd w:val="clear" w:color="auto" w:fill="auto"/>
          </w:tcPr>
          <w:p w14:paraId="40A815A5" w14:textId="77777777" w:rsidR="00D005FA" w:rsidRPr="00204EDE" w:rsidRDefault="00D005FA" w:rsidP="00204EDE">
            <w:pPr>
              <w:spacing w:before="40" w:after="120"/>
              <w:ind w:right="113"/>
              <w:rPr>
                <w:lang w:val="fr-FR"/>
              </w:rPr>
            </w:pPr>
            <w:r w:rsidRPr="00204EDE">
              <w:rPr>
                <w:lang w:val="fr-FR"/>
              </w:rPr>
              <w:t>Toulkarem</w:t>
            </w:r>
          </w:p>
        </w:tc>
      </w:tr>
      <w:tr w:rsidR="00204EDE" w:rsidRPr="00204EDE" w14:paraId="264C768B" w14:textId="77777777" w:rsidTr="00204EDE">
        <w:tc>
          <w:tcPr>
            <w:tcW w:w="1160" w:type="dxa"/>
            <w:vMerge/>
            <w:shd w:val="clear" w:color="auto" w:fill="auto"/>
          </w:tcPr>
          <w:p w14:paraId="12CC0671" w14:textId="77777777" w:rsidR="00D005FA" w:rsidRPr="00204EDE" w:rsidRDefault="00D005FA" w:rsidP="00204EDE">
            <w:pPr>
              <w:spacing w:before="40" w:after="120"/>
              <w:ind w:right="113"/>
              <w:rPr>
                <w:rtl/>
                <w:lang w:val="fr-FR" w:bidi="ar-JO"/>
              </w:rPr>
            </w:pPr>
          </w:p>
        </w:tc>
        <w:tc>
          <w:tcPr>
            <w:tcW w:w="1208" w:type="dxa"/>
            <w:shd w:val="clear" w:color="auto" w:fill="auto"/>
          </w:tcPr>
          <w:p w14:paraId="381FE13D" w14:textId="77777777" w:rsidR="00D005FA" w:rsidRPr="00204EDE" w:rsidRDefault="00D005FA" w:rsidP="00204EDE">
            <w:pPr>
              <w:spacing w:before="80" w:after="120"/>
              <w:ind w:right="113"/>
              <w:rPr>
                <w:lang w:val="fr-FR"/>
              </w:rPr>
            </w:pPr>
            <w:r w:rsidRPr="00204EDE">
              <w:rPr>
                <w:b/>
                <w:bCs/>
                <w:lang w:val="fr-FR"/>
              </w:rPr>
              <w:t>Total</w:t>
            </w:r>
          </w:p>
        </w:tc>
        <w:tc>
          <w:tcPr>
            <w:tcW w:w="1032" w:type="dxa"/>
            <w:shd w:val="clear" w:color="auto" w:fill="auto"/>
          </w:tcPr>
          <w:p w14:paraId="3A109FE0" w14:textId="77777777" w:rsidR="00D005FA" w:rsidRPr="00204EDE" w:rsidRDefault="00D005FA" w:rsidP="00204EDE">
            <w:pPr>
              <w:spacing w:before="80" w:after="120"/>
              <w:ind w:right="113"/>
              <w:rPr>
                <w:rtl/>
                <w:lang w:val="fr-FR" w:bidi="ar-JO"/>
              </w:rPr>
            </w:pPr>
            <w:r w:rsidRPr="00204EDE">
              <w:rPr>
                <w:lang w:val="fr-FR" w:bidi="ar-JO"/>
              </w:rPr>
              <w:t>3 879</w:t>
            </w:r>
          </w:p>
        </w:tc>
        <w:tc>
          <w:tcPr>
            <w:tcW w:w="985" w:type="dxa"/>
            <w:shd w:val="clear" w:color="auto" w:fill="auto"/>
          </w:tcPr>
          <w:p w14:paraId="2AD22F7D" w14:textId="77777777" w:rsidR="00D005FA" w:rsidRPr="00204EDE" w:rsidRDefault="00D005FA" w:rsidP="00204EDE">
            <w:pPr>
              <w:spacing w:before="80" w:after="120"/>
              <w:ind w:right="113"/>
              <w:rPr>
                <w:rtl/>
                <w:lang w:val="fr-FR" w:bidi="ar-JO"/>
              </w:rPr>
            </w:pPr>
            <w:r w:rsidRPr="00204EDE">
              <w:rPr>
                <w:lang w:val="fr-FR" w:bidi="ar-JO"/>
              </w:rPr>
              <w:t>2 805</w:t>
            </w:r>
          </w:p>
        </w:tc>
        <w:tc>
          <w:tcPr>
            <w:tcW w:w="1208" w:type="dxa"/>
            <w:shd w:val="clear" w:color="auto" w:fill="auto"/>
          </w:tcPr>
          <w:p w14:paraId="5C74A374" w14:textId="77777777" w:rsidR="00D005FA" w:rsidRPr="00204EDE" w:rsidRDefault="00D005FA" w:rsidP="00204EDE">
            <w:pPr>
              <w:spacing w:before="80" w:after="120"/>
              <w:ind w:right="113"/>
              <w:rPr>
                <w:rtl/>
                <w:lang w:val="fr-FR" w:bidi="ar-JO"/>
              </w:rPr>
            </w:pPr>
            <w:r w:rsidRPr="00204EDE">
              <w:rPr>
                <w:lang w:val="fr-FR" w:bidi="ar-JO"/>
              </w:rPr>
              <w:t>1 684</w:t>
            </w:r>
          </w:p>
        </w:tc>
        <w:tc>
          <w:tcPr>
            <w:tcW w:w="1097" w:type="dxa"/>
            <w:shd w:val="clear" w:color="auto" w:fill="auto"/>
          </w:tcPr>
          <w:p w14:paraId="01AF7934" w14:textId="77777777" w:rsidR="00D005FA" w:rsidRPr="00204EDE" w:rsidRDefault="00D005FA" w:rsidP="00204EDE">
            <w:pPr>
              <w:spacing w:before="80" w:after="120"/>
              <w:ind w:right="113"/>
              <w:rPr>
                <w:rtl/>
                <w:lang w:val="fr-FR" w:bidi="ar-JO"/>
              </w:rPr>
            </w:pPr>
            <w:r w:rsidRPr="00204EDE">
              <w:rPr>
                <w:lang w:val="fr-FR" w:bidi="ar-JO"/>
              </w:rPr>
              <w:t>5 480</w:t>
            </w:r>
          </w:p>
        </w:tc>
        <w:tc>
          <w:tcPr>
            <w:tcW w:w="938" w:type="dxa"/>
            <w:shd w:val="clear" w:color="auto" w:fill="auto"/>
          </w:tcPr>
          <w:p w14:paraId="43C96E1F" w14:textId="77777777" w:rsidR="00D005FA" w:rsidRPr="00204EDE" w:rsidRDefault="00D005FA" w:rsidP="00204EDE">
            <w:pPr>
              <w:spacing w:before="80" w:after="120"/>
              <w:ind w:right="113"/>
              <w:rPr>
                <w:rtl/>
                <w:lang w:val="fr-FR" w:bidi="ar-JO"/>
              </w:rPr>
            </w:pPr>
            <w:r w:rsidRPr="00204EDE">
              <w:rPr>
                <w:lang w:val="fr-FR" w:bidi="ar-JO"/>
              </w:rPr>
              <w:t>3 627</w:t>
            </w:r>
          </w:p>
        </w:tc>
        <w:tc>
          <w:tcPr>
            <w:tcW w:w="938" w:type="dxa"/>
            <w:shd w:val="clear" w:color="auto" w:fill="auto"/>
          </w:tcPr>
          <w:p w14:paraId="219277E1" w14:textId="77777777" w:rsidR="00D005FA" w:rsidRPr="00204EDE" w:rsidRDefault="00D005FA" w:rsidP="00204EDE">
            <w:pPr>
              <w:spacing w:before="80" w:after="120"/>
              <w:ind w:right="113"/>
              <w:rPr>
                <w:rtl/>
                <w:lang w:val="fr-FR" w:bidi="ar-JO"/>
              </w:rPr>
            </w:pPr>
            <w:r w:rsidRPr="00204EDE">
              <w:rPr>
                <w:lang w:val="fr-FR" w:bidi="ar-JO"/>
              </w:rPr>
              <w:t>2 875</w:t>
            </w:r>
          </w:p>
        </w:tc>
        <w:tc>
          <w:tcPr>
            <w:tcW w:w="1073" w:type="dxa"/>
            <w:shd w:val="clear" w:color="auto" w:fill="auto"/>
          </w:tcPr>
          <w:p w14:paraId="0B0DAA57" w14:textId="77777777" w:rsidR="00D005FA" w:rsidRPr="00204EDE" w:rsidRDefault="00D005FA" w:rsidP="00204EDE">
            <w:pPr>
              <w:spacing w:before="80" w:after="120"/>
              <w:ind w:right="113"/>
              <w:rPr>
                <w:rtl/>
                <w:lang w:val="fr-FR" w:bidi="ar-JO"/>
              </w:rPr>
            </w:pPr>
            <w:r w:rsidRPr="00204EDE">
              <w:rPr>
                <w:lang w:val="fr-FR" w:bidi="ar-JO"/>
              </w:rPr>
              <w:t>3 147</w:t>
            </w:r>
          </w:p>
        </w:tc>
      </w:tr>
      <w:tr w:rsidR="00204EDE" w:rsidRPr="00204EDE" w14:paraId="2D3E97ED" w14:textId="77777777" w:rsidTr="00204EDE">
        <w:tc>
          <w:tcPr>
            <w:tcW w:w="1160" w:type="dxa"/>
            <w:vMerge w:val="restart"/>
            <w:shd w:val="clear" w:color="auto" w:fill="auto"/>
            <w:vAlign w:val="center"/>
          </w:tcPr>
          <w:p w14:paraId="5E6C690B" w14:textId="77777777" w:rsidR="00D005FA" w:rsidRPr="00204EDE" w:rsidRDefault="00D005FA" w:rsidP="00204EDE">
            <w:pPr>
              <w:spacing w:before="40" w:after="120"/>
              <w:ind w:right="113"/>
              <w:rPr>
                <w:lang w:val="fr-FR"/>
              </w:rPr>
            </w:pPr>
            <w:r w:rsidRPr="00204EDE">
              <w:rPr>
                <w:lang w:val="fr-FR"/>
              </w:rPr>
              <w:t>2016</w:t>
            </w:r>
          </w:p>
        </w:tc>
        <w:tc>
          <w:tcPr>
            <w:tcW w:w="1208" w:type="dxa"/>
            <w:shd w:val="clear" w:color="auto" w:fill="auto"/>
          </w:tcPr>
          <w:p w14:paraId="0006ADD5" w14:textId="77777777" w:rsidR="00D005FA" w:rsidRPr="00204EDE" w:rsidRDefault="00D005FA" w:rsidP="00204EDE">
            <w:pPr>
              <w:spacing w:before="40" w:after="120"/>
              <w:ind w:right="113"/>
              <w:rPr>
                <w:lang w:val="fr-FR"/>
              </w:rPr>
            </w:pPr>
            <w:r w:rsidRPr="00204EDE">
              <w:rPr>
                <w:lang w:val="fr-FR"/>
              </w:rPr>
              <w:t>Centre</w:t>
            </w:r>
          </w:p>
        </w:tc>
        <w:tc>
          <w:tcPr>
            <w:tcW w:w="1032" w:type="dxa"/>
            <w:shd w:val="clear" w:color="auto" w:fill="auto"/>
          </w:tcPr>
          <w:p w14:paraId="1B4767E6" w14:textId="77777777" w:rsidR="00D005FA" w:rsidRPr="00204EDE" w:rsidRDefault="00D005FA" w:rsidP="00204EDE">
            <w:pPr>
              <w:spacing w:before="40" w:after="120"/>
              <w:ind w:right="113"/>
              <w:rPr>
                <w:lang w:val="fr-FR"/>
              </w:rPr>
            </w:pPr>
            <w:r w:rsidRPr="00204EDE">
              <w:rPr>
                <w:lang w:val="fr-FR"/>
              </w:rPr>
              <w:t>Ramallah</w:t>
            </w:r>
          </w:p>
        </w:tc>
        <w:tc>
          <w:tcPr>
            <w:tcW w:w="985" w:type="dxa"/>
            <w:shd w:val="clear" w:color="auto" w:fill="auto"/>
          </w:tcPr>
          <w:p w14:paraId="1D6999C8" w14:textId="77777777" w:rsidR="00D005FA" w:rsidRPr="00204EDE" w:rsidRDefault="00D005FA" w:rsidP="00204EDE">
            <w:pPr>
              <w:spacing w:before="40" w:after="120"/>
              <w:ind w:right="113"/>
              <w:rPr>
                <w:lang w:val="fr-FR"/>
              </w:rPr>
            </w:pPr>
            <w:r w:rsidRPr="00204EDE">
              <w:rPr>
                <w:lang w:val="fr-FR"/>
              </w:rPr>
              <w:t>Naplouse</w:t>
            </w:r>
          </w:p>
        </w:tc>
        <w:tc>
          <w:tcPr>
            <w:tcW w:w="1208" w:type="dxa"/>
            <w:shd w:val="clear" w:color="auto" w:fill="auto"/>
          </w:tcPr>
          <w:p w14:paraId="773D49BF" w14:textId="77777777" w:rsidR="00D005FA" w:rsidRPr="00204EDE" w:rsidRDefault="00D005FA" w:rsidP="00204EDE">
            <w:pPr>
              <w:spacing w:before="40" w:after="120"/>
              <w:ind w:right="113"/>
              <w:rPr>
                <w:lang w:val="fr-FR"/>
              </w:rPr>
            </w:pPr>
            <w:r w:rsidRPr="00204EDE">
              <w:rPr>
                <w:lang w:val="fr-FR"/>
              </w:rPr>
              <w:t>Bethléem</w:t>
            </w:r>
          </w:p>
        </w:tc>
        <w:tc>
          <w:tcPr>
            <w:tcW w:w="1097" w:type="dxa"/>
            <w:shd w:val="clear" w:color="auto" w:fill="auto"/>
          </w:tcPr>
          <w:p w14:paraId="05431828" w14:textId="77777777" w:rsidR="00D005FA" w:rsidRPr="00204EDE" w:rsidRDefault="00D005FA" w:rsidP="00204EDE">
            <w:pPr>
              <w:spacing w:before="40" w:after="120"/>
              <w:ind w:right="113"/>
              <w:rPr>
                <w:lang w:val="fr-FR"/>
              </w:rPr>
            </w:pPr>
            <w:r w:rsidRPr="00204EDE">
              <w:rPr>
                <w:lang w:val="fr-FR"/>
              </w:rPr>
              <w:t>Jéricho</w:t>
            </w:r>
          </w:p>
        </w:tc>
        <w:tc>
          <w:tcPr>
            <w:tcW w:w="938" w:type="dxa"/>
            <w:shd w:val="clear" w:color="auto" w:fill="auto"/>
          </w:tcPr>
          <w:p w14:paraId="7A025C11" w14:textId="77777777" w:rsidR="00D005FA" w:rsidRPr="00204EDE" w:rsidRDefault="00D005FA" w:rsidP="00204EDE">
            <w:pPr>
              <w:spacing w:before="40" w:after="120"/>
              <w:ind w:right="113"/>
              <w:rPr>
                <w:lang w:val="fr-FR"/>
              </w:rPr>
            </w:pPr>
            <w:r w:rsidRPr="00204EDE">
              <w:rPr>
                <w:lang w:val="fr-FR"/>
              </w:rPr>
              <w:t>Jénine</w:t>
            </w:r>
          </w:p>
        </w:tc>
        <w:tc>
          <w:tcPr>
            <w:tcW w:w="938" w:type="dxa"/>
            <w:shd w:val="clear" w:color="auto" w:fill="auto"/>
          </w:tcPr>
          <w:p w14:paraId="4792F874" w14:textId="77777777" w:rsidR="00D005FA" w:rsidRPr="00204EDE" w:rsidRDefault="00D005FA" w:rsidP="00204EDE">
            <w:pPr>
              <w:spacing w:before="40" w:after="120"/>
              <w:ind w:right="113"/>
              <w:rPr>
                <w:lang w:val="fr-FR"/>
              </w:rPr>
            </w:pPr>
            <w:r w:rsidRPr="00204EDE">
              <w:rPr>
                <w:lang w:val="fr-FR"/>
              </w:rPr>
              <w:t>Hébron</w:t>
            </w:r>
          </w:p>
        </w:tc>
        <w:tc>
          <w:tcPr>
            <w:tcW w:w="1073" w:type="dxa"/>
            <w:shd w:val="clear" w:color="auto" w:fill="auto"/>
          </w:tcPr>
          <w:p w14:paraId="6C5252C7" w14:textId="77777777" w:rsidR="00D005FA" w:rsidRPr="00204EDE" w:rsidRDefault="00D005FA" w:rsidP="00204EDE">
            <w:pPr>
              <w:spacing w:before="40" w:after="120"/>
              <w:ind w:right="113"/>
              <w:rPr>
                <w:lang w:val="fr-FR"/>
              </w:rPr>
            </w:pPr>
            <w:r w:rsidRPr="00204EDE">
              <w:rPr>
                <w:lang w:val="fr-FR"/>
              </w:rPr>
              <w:t>Toulkarem</w:t>
            </w:r>
          </w:p>
        </w:tc>
      </w:tr>
      <w:tr w:rsidR="00204EDE" w:rsidRPr="00204EDE" w14:paraId="056242E0" w14:textId="77777777" w:rsidTr="00204EDE">
        <w:tc>
          <w:tcPr>
            <w:tcW w:w="1160" w:type="dxa"/>
            <w:vMerge/>
            <w:shd w:val="clear" w:color="auto" w:fill="auto"/>
          </w:tcPr>
          <w:p w14:paraId="55572DD9" w14:textId="77777777" w:rsidR="00D005FA" w:rsidRPr="00204EDE" w:rsidRDefault="00D005FA" w:rsidP="00204EDE">
            <w:pPr>
              <w:spacing w:before="40" w:after="120"/>
              <w:ind w:right="113"/>
              <w:rPr>
                <w:rtl/>
                <w:lang w:val="fr-FR" w:bidi="ar-JO"/>
              </w:rPr>
            </w:pPr>
          </w:p>
        </w:tc>
        <w:tc>
          <w:tcPr>
            <w:tcW w:w="1208" w:type="dxa"/>
            <w:shd w:val="clear" w:color="auto" w:fill="auto"/>
          </w:tcPr>
          <w:p w14:paraId="0C86B401" w14:textId="77777777" w:rsidR="00D005FA" w:rsidRPr="00204EDE" w:rsidRDefault="00D005FA" w:rsidP="00204EDE">
            <w:pPr>
              <w:spacing w:before="80" w:after="120"/>
              <w:ind w:right="113"/>
              <w:rPr>
                <w:lang w:val="fr-FR"/>
              </w:rPr>
            </w:pPr>
            <w:r w:rsidRPr="00204EDE">
              <w:rPr>
                <w:b/>
                <w:bCs/>
                <w:lang w:val="fr-FR"/>
              </w:rPr>
              <w:t>Total</w:t>
            </w:r>
          </w:p>
        </w:tc>
        <w:tc>
          <w:tcPr>
            <w:tcW w:w="1032" w:type="dxa"/>
            <w:shd w:val="clear" w:color="auto" w:fill="auto"/>
          </w:tcPr>
          <w:p w14:paraId="26B4397F" w14:textId="77777777" w:rsidR="00D005FA" w:rsidRPr="00204EDE" w:rsidRDefault="00D005FA" w:rsidP="00204EDE">
            <w:pPr>
              <w:spacing w:before="80" w:after="120"/>
              <w:ind w:right="113"/>
              <w:rPr>
                <w:rtl/>
                <w:lang w:val="fr-FR" w:bidi="ar-JO"/>
              </w:rPr>
            </w:pPr>
            <w:r w:rsidRPr="00204EDE">
              <w:rPr>
                <w:lang w:val="fr-FR" w:bidi="ar-JO"/>
              </w:rPr>
              <w:t>3 639</w:t>
            </w:r>
          </w:p>
        </w:tc>
        <w:tc>
          <w:tcPr>
            <w:tcW w:w="985" w:type="dxa"/>
            <w:shd w:val="clear" w:color="auto" w:fill="auto"/>
          </w:tcPr>
          <w:p w14:paraId="6B0E7A47" w14:textId="77777777" w:rsidR="00D005FA" w:rsidRPr="00204EDE" w:rsidRDefault="00D005FA" w:rsidP="00204EDE">
            <w:pPr>
              <w:spacing w:before="80" w:after="120"/>
              <w:ind w:right="113"/>
              <w:rPr>
                <w:rtl/>
                <w:lang w:val="fr-FR" w:bidi="ar-JO"/>
              </w:rPr>
            </w:pPr>
            <w:r w:rsidRPr="00204EDE">
              <w:rPr>
                <w:lang w:val="fr-FR" w:bidi="ar-JO"/>
              </w:rPr>
              <w:t>8 566</w:t>
            </w:r>
          </w:p>
        </w:tc>
        <w:tc>
          <w:tcPr>
            <w:tcW w:w="1208" w:type="dxa"/>
            <w:shd w:val="clear" w:color="auto" w:fill="auto"/>
          </w:tcPr>
          <w:p w14:paraId="2575D807" w14:textId="77777777" w:rsidR="00D005FA" w:rsidRPr="00204EDE" w:rsidRDefault="00D005FA" w:rsidP="00204EDE">
            <w:pPr>
              <w:spacing w:before="80" w:after="120"/>
              <w:ind w:right="113"/>
              <w:rPr>
                <w:rtl/>
                <w:lang w:val="fr-FR" w:bidi="ar-JO"/>
              </w:rPr>
            </w:pPr>
            <w:r w:rsidRPr="00204EDE">
              <w:rPr>
                <w:lang w:val="fr-FR" w:bidi="ar-JO"/>
              </w:rPr>
              <w:t>1 646</w:t>
            </w:r>
          </w:p>
        </w:tc>
        <w:tc>
          <w:tcPr>
            <w:tcW w:w="1097" w:type="dxa"/>
            <w:shd w:val="clear" w:color="auto" w:fill="auto"/>
          </w:tcPr>
          <w:p w14:paraId="34ED3D1D" w14:textId="77777777" w:rsidR="00D005FA" w:rsidRPr="00204EDE" w:rsidRDefault="00D005FA" w:rsidP="00204EDE">
            <w:pPr>
              <w:spacing w:before="80" w:after="120"/>
              <w:ind w:right="113"/>
              <w:rPr>
                <w:rtl/>
                <w:lang w:val="fr-FR" w:bidi="ar-JO"/>
              </w:rPr>
            </w:pPr>
            <w:r w:rsidRPr="00204EDE">
              <w:rPr>
                <w:lang w:val="fr-FR" w:bidi="ar-JO"/>
              </w:rPr>
              <w:t>6 843</w:t>
            </w:r>
          </w:p>
        </w:tc>
        <w:tc>
          <w:tcPr>
            <w:tcW w:w="938" w:type="dxa"/>
            <w:shd w:val="clear" w:color="auto" w:fill="auto"/>
          </w:tcPr>
          <w:p w14:paraId="0C4E60B3" w14:textId="77777777" w:rsidR="00D005FA" w:rsidRPr="00204EDE" w:rsidRDefault="00D005FA" w:rsidP="00204EDE">
            <w:pPr>
              <w:spacing w:before="80" w:after="120"/>
              <w:ind w:right="113"/>
              <w:rPr>
                <w:rtl/>
                <w:lang w:val="fr-FR" w:bidi="ar-JO"/>
              </w:rPr>
            </w:pPr>
            <w:r w:rsidRPr="00204EDE">
              <w:rPr>
                <w:lang w:val="fr-FR" w:bidi="ar-JO"/>
              </w:rPr>
              <w:t>3 745</w:t>
            </w:r>
          </w:p>
        </w:tc>
        <w:tc>
          <w:tcPr>
            <w:tcW w:w="938" w:type="dxa"/>
            <w:shd w:val="clear" w:color="auto" w:fill="auto"/>
          </w:tcPr>
          <w:p w14:paraId="35E05A5E" w14:textId="77777777" w:rsidR="00D005FA" w:rsidRPr="00204EDE" w:rsidRDefault="00D005FA" w:rsidP="00204EDE">
            <w:pPr>
              <w:spacing w:before="80" w:after="120"/>
              <w:ind w:right="113"/>
              <w:rPr>
                <w:rtl/>
                <w:lang w:val="fr-FR" w:bidi="ar-JO"/>
              </w:rPr>
            </w:pPr>
            <w:r w:rsidRPr="00204EDE">
              <w:rPr>
                <w:lang w:val="fr-FR" w:bidi="ar-JO"/>
              </w:rPr>
              <w:t>4 019</w:t>
            </w:r>
          </w:p>
        </w:tc>
        <w:tc>
          <w:tcPr>
            <w:tcW w:w="1073" w:type="dxa"/>
            <w:shd w:val="clear" w:color="auto" w:fill="auto"/>
          </w:tcPr>
          <w:p w14:paraId="7AF7897C" w14:textId="77777777" w:rsidR="00D005FA" w:rsidRPr="00204EDE" w:rsidRDefault="00D005FA" w:rsidP="00204EDE">
            <w:pPr>
              <w:spacing w:before="80" w:after="120"/>
              <w:ind w:right="113"/>
              <w:rPr>
                <w:rtl/>
                <w:lang w:val="fr-FR" w:bidi="ar-JO"/>
              </w:rPr>
            </w:pPr>
            <w:r w:rsidRPr="00204EDE">
              <w:rPr>
                <w:lang w:val="fr-FR" w:bidi="ar-JO"/>
              </w:rPr>
              <w:t>2 453</w:t>
            </w:r>
          </w:p>
        </w:tc>
      </w:tr>
      <w:tr w:rsidR="00204EDE" w:rsidRPr="00204EDE" w14:paraId="2AD9894B" w14:textId="77777777" w:rsidTr="00204EDE">
        <w:tc>
          <w:tcPr>
            <w:tcW w:w="1160" w:type="dxa"/>
            <w:vMerge w:val="restart"/>
            <w:shd w:val="clear" w:color="auto" w:fill="auto"/>
            <w:vAlign w:val="center"/>
          </w:tcPr>
          <w:p w14:paraId="25AC4359" w14:textId="77777777" w:rsidR="00D005FA" w:rsidRPr="00204EDE" w:rsidRDefault="00D005FA" w:rsidP="00204EDE">
            <w:pPr>
              <w:spacing w:before="40" w:after="120"/>
              <w:ind w:right="113"/>
              <w:rPr>
                <w:lang w:val="fr-FR"/>
              </w:rPr>
            </w:pPr>
            <w:r w:rsidRPr="00204EDE">
              <w:rPr>
                <w:lang w:val="fr-FR"/>
              </w:rPr>
              <w:t>2017</w:t>
            </w:r>
          </w:p>
        </w:tc>
        <w:tc>
          <w:tcPr>
            <w:tcW w:w="1208" w:type="dxa"/>
            <w:shd w:val="clear" w:color="auto" w:fill="auto"/>
          </w:tcPr>
          <w:p w14:paraId="5CA07B1B" w14:textId="77777777" w:rsidR="00D005FA" w:rsidRPr="00204EDE" w:rsidRDefault="00D005FA" w:rsidP="00204EDE">
            <w:pPr>
              <w:spacing w:before="40" w:after="120"/>
              <w:ind w:right="113"/>
              <w:rPr>
                <w:lang w:val="fr-FR"/>
              </w:rPr>
            </w:pPr>
            <w:r w:rsidRPr="00204EDE">
              <w:rPr>
                <w:lang w:val="fr-FR"/>
              </w:rPr>
              <w:t>Centre</w:t>
            </w:r>
          </w:p>
        </w:tc>
        <w:tc>
          <w:tcPr>
            <w:tcW w:w="1032" w:type="dxa"/>
            <w:shd w:val="clear" w:color="auto" w:fill="auto"/>
          </w:tcPr>
          <w:p w14:paraId="139FA97B" w14:textId="77777777" w:rsidR="00D005FA" w:rsidRPr="00204EDE" w:rsidRDefault="00D005FA" w:rsidP="00204EDE">
            <w:pPr>
              <w:spacing w:before="40" w:after="120"/>
              <w:ind w:right="113"/>
              <w:rPr>
                <w:lang w:val="fr-FR"/>
              </w:rPr>
            </w:pPr>
            <w:r w:rsidRPr="00204EDE">
              <w:rPr>
                <w:lang w:val="fr-FR"/>
              </w:rPr>
              <w:t>Ramallah</w:t>
            </w:r>
          </w:p>
        </w:tc>
        <w:tc>
          <w:tcPr>
            <w:tcW w:w="985" w:type="dxa"/>
            <w:shd w:val="clear" w:color="auto" w:fill="auto"/>
          </w:tcPr>
          <w:p w14:paraId="6F359205" w14:textId="77777777" w:rsidR="00D005FA" w:rsidRPr="00204EDE" w:rsidRDefault="00D005FA" w:rsidP="00204EDE">
            <w:pPr>
              <w:spacing w:before="40" w:after="120"/>
              <w:ind w:right="113"/>
              <w:rPr>
                <w:lang w:val="fr-FR"/>
              </w:rPr>
            </w:pPr>
            <w:r w:rsidRPr="00204EDE">
              <w:rPr>
                <w:lang w:val="fr-FR"/>
              </w:rPr>
              <w:t>Naplouse</w:t>
            </w:r>
          </w:p>
        </w:tc>
        <w:tc>
          <w:tcPr>
            <w:tcW w:w="1208" w:type="dxa"/>
            <w:shd w:val="clear" w:color="auto" w:fill="auto"/>
          </w:tcPr>
          <w:p w14:paraId="752FCED0" w14:textId="77777777" w:rsidR="00D005FA" w:rsidRPr="00204EDE" w:rsidRDefault="00D005FA" w:rsidP="00204EDE">
            <w:pPr>
              <w:spacing w:before="40" w:after="120"/>
              <w:ind w:right="113"/>
              <w:rPr>
                <w:lang w:val="fr-FR"/>
              </w:rPr>
            </w:pPr>
            <w:r w:rsidRPr="00204EDE">
              <w:rPr>
                <w:lang w:val="fr-FR"/>
              </w:rPr>
              <w:t>Bethléem</w:t>
            </w:r>
          </w:p>
        </w:tc>
        <w:tc>
          <w:tcPr>
            <w:tcW w:w="1097" w:type="dxa"/>
            <w:shd w:val="clear" w:color="auto" w:fill="auto"/>
          </w:tcPr>
          <w:p w14:paraId="461DEB49" w14:textId="77777777" w:rsidR="00D005FA" w:rsidRPr="00204EDE" w:rsidRDefault="00D005FA" w:rsidP="00204EDE">
            <w:pPr>
              <w:spacing w:before="40" w:after="120"/>
              <w:ind w:right="113"/>
              <w:rPr>
                <w:lang w:val="fr-FR"/>
              </w:rPr>
            </w:pPr>
            <w:r w:rsidRPr="00204EDE">
              <w:rPr>
                <w:lang w:val="fr-FR"/>
              </w:rPr>
              <w:t>Jéricho</w:t>
            </w:r>
          </w:p>
        </w:tc>
        <w:tc>
          <w:tcPr>
            <w:tcW w:w="938" w:type="dxa"/>
            <w:shd w:val="clear" w:color="auto" w:fill="auto"/>
          </w:tcPr>
          <w:p w14:paraId="04D834C0" w14:textId="77777777" w:rsidR="00D005FA" w:rsidRPr="00204EDE" w:rsidRDefault="00D005FA" w:rsidP="00204EDE">
            <w:pPr>
              <w:spacing w:before="40" w:after="120"/>
              <w:ind w:right="113"/>
              <w:rPr>
                <w:lang w:val="fr-FR"/>
              </w:rPr>
            </w:pPr>
            <w:r w:rsidRPr="00204EDE">
              <w:rPr>
                <w:lang w:val="fr-FR"/>
              </w:rPr>
              <w:t>Jénine</w:t>
            </w:r>
          </w:p>
        </w:tc>
        <w:tc>
          <w:tcPr>
            <w:tcW w:w="938" w:type="dxa"/>
            <w:shd w:val="clear" w:color="auto" w:fill="auto"/>
          </w:tcPr>
          <w:p w14:paraId="756C6C6F" w14:textId="77777777" w:rsidR="00D005FA" w:rsidRPr="00204EDE" w:rsidRDefault="00D005FA" w:rsidP="00204EDE">
            <w:pPr>
              <w:spacing w:before="40" w:after="120"/>
              <w:ind w:right="113"/>
              <w:rPr>
                <w:lang w:val="fr-FR"/>
              </w:rPr>
            </w:pPr>
            <w:r w:rsidRPr="00204EDE">
              <w:rPr>
                <w:lang w:val="fr-FR"/>
              </w:rPr>
              <w:t>Hébron</w:t>
            </w:r>
          </w:p>
        </w:tc>
        <w:tc>
          <w:tcPr>
            <w:tcW w:w="1073" w:type="dxa"/>
            <w:shd w:val="clear" w:color="auto" w:fill="auto"/>
          </w:tcPr>
          <w:p w14:paraId="5B88D17D" w14:textId="77777777" w:rsidR="00D005FA" w:rsidRPr="00204EDE" w:rsidRDefault="00D005FA" w:rsidP="00204EDE">
            <w:pPr>
              <w:spacing w:before="40" w:after="120"/>
              <w:ind w:right="113"/>
              <w:rPr>
                <w:lang w:val="fr-FR"/>
              </w:rPr>
            </w:pPr>
            <w:r w:rsidRPr="00204EDE">
              <w:rPr>
                <w:lang w:val="fr-FR"/>
              </w:rPr>
              <w:t>Toulkarem</w:t>
            </w:r>
          </w:p>
        </w:tc>
      </w:tr>
      <w:tr w:rsidR="00204EDE" w:rsidRPr="00204EDE" w14:paraId="34C0215A" w14:textId="77777777" w:rsidTr="00204EDE">
        <w:tc>
          <w:tcPr>
            <w:tcW w:w="1160" w:type="dxa"/>
            <w:vMerge/>
            <w:tcBorders>
              <w:bottom w:val="single" w:sz="12" w:space="0" w:color="auto"/>
            </w:tcBorders>
            <w:shd w:val="clear" w:color="auto" w:fill="auto"/>
          </w:tcPr>
          <w:p w14:paraId="7674D6C3" w14:textId="77777777" w:rsidR="00D005FA" w:rsidRPr="00204EDE" w:rsidRDefault="00D005FA" w:rsidP="00204EDE">
            <w:pPr>
              <w:spacing w:before="40" w:after="120"/>
              <w:ind w:right="113"/>
              <w:rPr>
                <w:rtl/>
                <w:lang w:val="fr-FR" w:bidi="ar-JO"/>
              </w:rPr>
            </w:pPr>
          </w:p>
        </w:tc>
        <w:tc>
          <w:tcPr>
            <w:tcW w:w="1208" w:type="dxa"/>
            <w:tcBorders>
              <w:bottom w:val="single" w:sz="12" w:space="0" w:color="auto"/>
            </w:tcBorders>
            <w:shd w:val="clear" w:color="auto" w:fill="auto"/>
          </w:tcPr>
          <w:p w14:paraId="7B5FF2D8" w14:textId="77777777" w:rsidR="00D005FA" w:rsidRPr="00204EDE" w:rsidRDefault="00D005FA" w:rsidP="00204EDE">
            <w:pPr>
              <w:spacing w:before="80" w:after="120"/>
              <w:ind w:right="113"/>
              <w:rPr>
                <w:lang w:val="fr-FR"/>
              </w:rPr>
            </w:pPr>
            <w:r w:rsidRPr="00204EDE">
              <w:rPr>
                <w:b/>
                <w:bCs/>
                <w:lang w:val="fr-FR"/>
              </w:rPr>
              <w:t>Total</w:t>
            </w:r>
          </w:p>
        </w:tc>
        <w:tc>
          <w:tcPr>
            <w:tcW w:w="1032" w:type="dxa"/>
            <w:tcBorders>
              <w:bottom w:val="single" w:sz="12" w:space="0" w:color="auto"/>
            </w:tcBorders>
            <w:shd w:val="clear" w:color="auto" w:fill="auto"/>
          </w:tcPr>
          <w:p w14:paraId="2AF439FD" w14:textId="77777777" w:rsidR="00D005FA" w:rsidRPr="00204EDE" w:rsidRDefault="00D005FA" w:rsidP="00204EDE">
            <w:pPr>
              <w:spacing w:before="80" w:after="120"/>
              <w:ind w:right="113"/>
              <w:rPr>
                <w:rtl/>
                <w:lang w:val="fr-FR" w:bidi="ar-JO"/>
              </w:rPr>
            </w:pPr>
            <w:r w:rsidRPr="00204EDE">
              <w:rPr>
                <w:lang w:val="fr-FR" w:bidi="ar-JO"/>
              </w:rPr>
              <w:t>4 899</w:t>
            </w:r>
          </w:p>
        </w:tc>
        <w:tc>
          <w:tcPr>
            <w:tcW w:w="985" w:type="dxa"/>
            <w:tcBorders>
              <w:bottom w:val="single" w:sz="12" w:space="0" w:color="auto"/>
            </w:tcBorders>
            <w:shd w:val="clear" w:color="auto" w:fill="auto"/>
          </w:tcPr>
          <w:p w14:paraId="76615993" w14:textId="77777777" w:rsidR="00D005FA" w:rsidRPr="00204EDE" w:rsidRDefault="00D005FA" w:rsidP="00204EDE">
            <w:pPr>
              <w:spacing w:before="80" w:after="120"/>
              <w:ind w:right="113"/>
              <w:rPr>
                <w:rtl/>
                <w:lang w:val="fr-FR" w:bidi="ar-JO"/>
              </w:rPr>
            </w:pPr>
            <w:r w:rsidRPr="00204EDE">
              <w:rPr>
                <w:lang w:val="fr-FR" w:bidi="ar-JO"/>
              </w:rPr>
              <w:t>9 493</w:t>
            </w:r>
          </w:p>
        </w:tc>
        <w:tc>
          <w:tcPr>
            <w:tcW w:w="1208" w:type="dxa"/>
            <w:tcBorders>
              <w:bottom w:val="single" w:sz="12" w:space="0" w:color="auto"/>
            </w:tcBorders>
            <w:shd w:val="clear" w:color="auto" w:fill="auto"/>
          </w:tcPr>
          <w:p w14:paraId="0FB6653A" w14:textId="77777777" w:rsidR="00D005FA" w:rsidRPr="00204EDE" w:rsidRDefault="00D005FA" w:rsidP="00204EDE">
            <w:pPr>
              <w:spacing w:before="80" w:after="120"/>
              <w:ind w:right="113"/>
              <w:rPr>
                <w:rtl/>
                <w:lang w:val="fr-FR" w:bidi="ar-JO"/>
              </w:rPr>
            </w:pPr>
            <w:r w:rsidRPr="00204EDE">
              <w:rPr>
                <w:lang w:val="fr-FR" w:bidi="ar-JO"/>
              </w:rPr>
              <w:t>1 864</w:t>
            </w:r>
          </w:p>
        </w:tc>
        <w:tc>
          <w:tcPr>
            <w:tcW w:w="1097" w:type="dxa"/>
            <w:tcBorders>
              <w:bottom w:val="single" w:sz="12" w:space="0" w:color="auto"/>
            </w:tcBorders>
            <w:shd w:val="clear" w:color="auto" w:fill="auto"/>
          </w:tcPr>
          <w:p w14:paraId="63560942" w14:textId="77777777" w:rsidR="00D005FA" w:rsidRPr="00204EDE" w:rsidRDefault="00D005FA" w:rsidP="00204EDE">
            <w:pPr>
              <w:spacing w:before="80" w:after="120"/>
              <w:ind w:right="113"/>
              <w:rPr>
                <w:rtl/>
                <w:lang w:val="fr-FR" w:bidi="ar-JO"/>
              </w:rPr>
            </w:pPr>
            <w:r w:rsidRPr="00204EDE">
              <w:rPr>
                <w:lang w:val="fr-FR" w:bidi="ar-JO"/>
              </w:rPr>
              <w:t>6 069</w:t>
            </w:r>
          </w:p>
        </w:tc>
        <w:tc>
          <w:tcPr>
            <w:tcW w:w="938" w:type="dxa"/>
            <w:tcBorders>
              <w:bottom w:val="single" w:sz="12" w:space="0" w:color="auto"/>
            </w:tcBorders>
            <w:shd w:val="clear" w:color="auto" w:fill="auto"/>
          </w:tcPr>
          <w:p w14:paraId="76AE02BD" w14:textId="77777777" w:rsidR="00D005FA" w:rsidRPr="00204EDE" w:rsidRDefault="00D005FA" w:rsidP="00204EDE">
            <w:pPr>
              <w:spacing w:before="80" w:after="120"/>
              <w:ind w:right="113"/>
              <w:rPr>
                <w:rtl/>
                <w:lang w:val="fr-FR" w:bidi="ar-JO"/>
              </w:rPr>
            </w:pPr>
            <w:r w:rsidRPr="00204EDE">
              <w:rPr>
                <w:lang w:val="fr-FR" w:bidi="ar-JO"/>
              </w:rPr>
              <w:t>6 607</w:t>
            </w:r>
          </w:p>
        </w:tc>
        <w:tc>
          <w:tcPr>
            <w:tcW w:w="938" w:type="dxa"/>
            <w:tcBorders>
              <w:bottom w:val="single" w:sz="12" w:space="0" w:color="auto"/>
            </w:tcBorders>
            <w:shd w:val="clear" w:color="auto" w:fill="auto"/>
          </w:tcPr>
          <w:p w14:paraId="0CABFDBB" w14:textId="77777777" w:rsidR="00D005FA" w:rsidRPr="00204EDE" w:rsidRDefault="00D005FA" w:rsidP="00204EDE">
            <w:pPr>
              <w:spacing w:before="80" w:after="120"/>
              <w:ind w:right="113"/>
              <w:rPr>
                <w:rtl/>
                <w:lang w:val="fr-FR" w:bidi="ar-JO"/>
              </w:rPr>
            </w:pPr>
            <w:r w:rsidRPr="00204EDE">
              <w:rPr>
                <w:lang w:val="fr-FR" w:bidi="ar-JO"/>
              </w:rPr>
              <w:t>4 040</w:t>
            </w:r>
          </w:p>
        </w:tc>
        <w:tc>
          <w:tcPr>
            <w:tcW w:w="1073" w:type="dxa"/>
            <w:tcBorders>
              <w:bottom w:val="single" w:sz="12" w:space="0" w:color="auto"/>
            </w:tcBorders>
            <w:shd w:val="clear" w:color="auto" w:fill="auto"/>
          </w:tcPr>
          <w:p w14:paraId="3D31A628" w14:textId="77777777" w:rsidR="00D005FA" w:rsidRPr="00204EDE" w:rsidRDefault="00D005FA" w:rsidP="00204EDE">
            <w:pPr>
              <w:spacing w:before="80" w:after="120"/>
              <w:ind w:right="113"/>
              <w:rPr>
                <w:rtl/>
                <w:lang w:val="fr-FR" w:bidi="ar-JO"/>
              </w:rPr>
            </w:pPr>
            <w:r w:rsidRPr="00204EDE">
              <w:rPr>
                <w:lang w:val="fr-FR" w:bidi="ar-JO"/>
              </w:rPr>
              <w:t>2 078</w:t>
            </w:r>
          </w:p>
        </w:tc>
      </w:tr>
    </w:tbl>
    <w:p w14:paraId="49CC44D9" w14:textId="77777777" w:rsidR="00D005FA" w:rsidRPr="00310D49" w:rsidRDefault="00D005FA" w:rsidP="00204EDE">
      <w:pPr>
        <w:pStyle w:val="H23G"/>
        <w:rPr>
          <w:lang w:val="fr-FR"/>
        </w:rPr>
      </w:pPr>
      <w:r w:rsidRPr="00310D49">
        <w:rPr>
          <w:lang w:val="fr-FR"/>
        </w:rPr>
        <w:tab/>
      </w:r>
      <w:r w:rsidRPr="00310D49">
        <w:rPr>
          <w:lang w:val="fr-FR"/>
        </w:rPr>
        <w:tab/>
        <w:t>Assistance psychologique</w:t>
      </w:r>
    </w:p>
    <w:p w14:paraId="3C7A19CA" w14:textId="19AA0D2E" w:rsidR="00D005FA" w:rsidRPr="00310D49" w:rsidRDefault="00D005FA" w:rsidP="00204EDE">
      <w:pPr>
        <w:pStyle w:val="SingleTxtG"/>
        <w:spacing w:before="120"/>
        <w:rPr>
          <w:lang w:val="fr-FR"/>
        </w:rPr>
      </w:pPr>
      <w:r w:rsidRPr="00310D49">
        <w:rPr>
          <w:lang w:val="fr-FR"/>
        </w:rPr>
        <w:t>232.</w:t>
      </w:r>
      <w:r w:rsidRPr="00310D49">
        <w:rPr>
          <w:lang w:val="fr-FR"/>
        </w:rPr>
        <w:tab/>
        <w:t>La Division d</w:t>
      </w:r>
      <w:r w:rsidR="0035332C">
        <w:rPr>
          <w:lang w:val="fr-FR"/>
        </w:rPr>
        <w:t>’</w:t>
      </w:r>
      <w:r w:rsidRPr="00310D49">
        <w:rPr>
          <w:lang w:val="fr-FR"/>
        </w:rPr>
        <w:t>action sociale et de l</w:t>
      </w:r>
      <w:r w:rsidR="0035332C">
        <w:rPr>
          <w:lang w:val="fr-FR"/>
        </w:rPr>
        <w:t>’</w:t>
      </w:r>
      <w:r w:rsidRPr="00310D49">
        <w:rPr>
          <w:lang w:val="fr-FR"/>
        </w:rPr>
        <w:t>assistance psychologique, qui relève de la Direction de l</w:t>
      </w:r>
      <w:r w:rsidR="0035332C">
        <w:rPr>
          <w:lang w:val="fr-FR"/>
        </w:rPr>
        <w:t>’</w:t>
      </w:r>
      <w:r w:rsidRPr="00310D49">
        <w:rPr>
          <w:lang w:val="fr-FR"/>
        </w:rPr>
        <w:t>administration pénitentiaire, examine la situation sociale des détenus selon des programmes spécialisés et met à leur disposition des psychologues et des travailleurs sociaux, en collaboration avec le Ministère du développement social et les organisations de la société civile. Des détenus sont, si nécessaire, transférés vers des hôpitaux psychiatriques extérieurs aux établissements pénitentiaires.</w:t>
      </w:r>
    </w:p>
    <w:p w14:paraId="333C35DF" w14:textId="21E6F4C8" w:rsidR="00D005FA" w:rsidRPr="00310D49" w:rsidRDefault="00D005FA" w:rsidP="00204EDE">
      <w:pPr>
        <w:pStyle w:val="SingleTxtG"/>
        <w:spacing w:before="120"/>
        <w:rPr>
          <w:lang w:val="fr-FR"/>
        </w:rPr>
      </w:pPr>
      <w:r w:rsidRPr="00310D49">
        <w:rPr>
          <w:lang w:val="fr-FR"/>
        </w:rPr>
        <w:t>233.</w:t>
      </w:r>
      <w:r w:rsidRPr="00310D49">
        <w:rPr>
          <w:lang w:val="fr-FR"/>
        </w:rPr>
        <w:tab/>
        <w:t>Le tableau ci-après présente les statistiques du Ministère de l</w:t>
      </w:r>
      <w:r w:rsidR="0035332C">
        <w:rPr>
          <w:lang w:val="fr-FR"/>
        </w:rPr>
        <w:t>’</w:t>
      </w:r>
      <w:r w:rsidRPr="00310D49">
        <w:rPr>
          <w:lang w:val="fr-FR"/>
        </w:rPr>
        <w:t>intérieur relatives aux visites périodiques effectuées par des conseillers et des travailleurs sociaux dans les établissements pénitentiaires afin d</w:t>
      </w:r>
      <w:r w:rsidR="0035332C">
        <w:rPr>
          <w:lang w:val="fr-FR"/>
        </w:rPr>
        <w:t>’</w:t>
      </w:r>
      <w:r w:rsidRPr="00310D49">
        <w:rPr>
          <w:lang w:val="fr-FR"/>
        </w:rPr>
        <w:t>apporter un soutien psychosocial aux détenus, de donner des conférences, de tenir des séances de relaxation psychologique et de prise en charge sociale et d</w:t>
      </w:r>
      <w:r w:rsidR="0035332C">
        <w:rPr>
          <w:lang w:val="fr-FR"/>
        </w:rPr>
        <w:t>’</w:t>
      </w:r>
      <w:r w:rsidRPr="00310D49">
        <w:rPr>
          <w:lang w:val="fr-FR"/>
        </w:rPr>
        <w:t>organiser diverses activités et des entretiens.</w:t>
      </w:r>
    </w:p>
    <w:tbl>
      <w:tblPr>
        <w:tblW w:w="9639" w:type="dxa"/>
        <w:tblLayout w:type="fixed"/>
        <w:tblCellMar>
          <w:left w:w="0" w:type="dxa"/>
          <w:right w:w="0" w:type="dxa"/>
        </w:tblCellMar>
        <w:tblLook w:val="04A0" w:firstRow="1" w:lastRow="0" w:firstColumn="1" w:lastColumn="0" w:noHBand="0" w:noVBand="1"/>
      </w:tblPr>
      <w:tblGrid>
        <w:gridCol w:w="851"/>
        <w:gridCol w:w="1275"/>
        <w:gridCol w:w="723"/>
        <w:gridCol w:w="1544"/>
        <w:gridCol w:w="742"/>
        <w:gridCol w:w="1384"/>
        <w:gridCol w:w="827"/>
        <w:gridCol w:w="1585"/>
        <w:gridCol w:w="708"/>
      </w:tblGrid>
      <w:tr w:rsidR="003C6A59" w:rsidRPr="003C6A59" w14:paraId="3887F536" w14:textId="77777777" w:rsidTr="004D6394">
        <w:trPr>
          <w:tblHeader/>
        </w:trPr>
        <w:tc>
          <w:tcPr>
            <w:tcW w:w="441" w:type="pct"/>
            <w:vMerge w:val="restart"/>
            <w:tcBorders>
              <w:top w:val="single" w:sz="4" w:space="0" w:color="auto"/>
              <w:bottom w:val="single" w:sz="12" w:space="0" w:color="auto"/>
            </w:tcBorders>
            <w:shd w:val="clear" w:color="auto" w:fill="auto"/>
            <w:vAlign w:val="bottom"/>
          </w:tcPr>
          <w:p w14:paraId="27EB7D89" w14:textId="77777777" w:rsidR="00D005FA" w:rsidRPr="003C6A59" w:rsidRDefault="00D005FA" w:rsidP="003C6A59">
            <w:pPr>
              <w:spacing w:before="80" w:after="80" w:line="200" w:lineRule="exact"/>
              <w:ind w:right="113"/>
              <w:rPr>
                <w:i/>
                <w:sz w:val="16"/>
                <w:lang w:val="fr-FR"/>
              </w:rPr>
            </w:pPr>
            <w:r w:rsidRPr="003C6A59">
              <w:rPr>
                <w:i/>
                <w:sz w:val="16"/>
                <w:lang w:val="fr-FR"/>
              </w:rPr>
              <w:t>Centre</w:t>
            </w:r>
          </w:p>
        </w:tc>
        <w:tc>
          <w:tcPr>
            <w:tcW w:w="1036" w:type="pct"/>
            <w:gridSpan w:val="2"/>
            <w:tcBorders>
              <w:top w:val="single" w:sz="4" w:space="0" w:color="auto"/>
              <w:bottom w:val="single" w:sz="4" w:space="0" w:color="auto"/>
            </w:tcBorders>
            <w:shd w:val="clear" w:color="auto" w:fill="auto"/>
            <w:vAlign w:val="center"/>
          </w:tcPr>
          <w:p w14:paraId="103BBC3A" w14:textId="77777777" w:rsidR="00D005FA" w:rsidRPr="003C6A59" w:rsidRDefault="00D005FA" w:rsidP="00127FF7">
            <w:pPr>
              <w:spacing w:before="80" w:after="80" w:line="200" w:lineRule="exact"/>
              <w:ind w:right="113"/>
              <w:jc w:val="center"/>
              <w:rPr>
                <w:i/>
                <w:sz w:val="16"/>
                <w:lang w:val="fr-FR"/>
              </w:rPr>
            </w:pPr>
            <w:r w:rsidRPr="003C6A59">
              <w:rPr>
                <w:i/>
                <w:sz w:val="16"/>
                <w:lang w:val="fr-FR"/>
              </w:rPr>
              <w:t>2014</w:t>
            </w:r>
          </w:p>
        </w:tc>
        <w:tc>
          <w:tcPr>
            <w:tcW w:w="1186" w:type="pct"/>
            <w:gridSpan w:val="2"/>
            <w:tcBorders>
              <w:top w:val="single" w:sz="4" w:space="0" w:color="auto"/>
              <w:bottom w:val="single" w:sz="4" w:space="0" w:color="auto"/>
            </w:tcBorders>
            <w:shd w:val="clear" w:color="auto" w:fill="auto"/>
            <w:vAlign w:val="center"/>
          </w:tcPr>
          <w:p w14:paraId="5EB0AD2C" w14:textId="77777777" w:rsidR="00D005FA" w:rsidRPr="003C6A59" w:rsidRDefault="00D005FA" w:rsidP="00127FF7">
            <w:pPr>
              <w:spacing w:before="80" w:after="80" w:line="200" w:lineRule="exact"/>
              <w:ind w:right="113"/>
              <w:jc w:val="center"/>
              <w:rPr>
                <w:i/>
                <w:sz w:val="16"/>
                <w:lang w:val="fr-FR"/>
              </w:rPr>
            </w:pPr>
            <w:r w:rsidRPr="003C6A59">
              <w:rPr>
                <w:i/>
                <w:sz w:val="16"/>
                <w:lang w:val="fr-FR"/>
              </w:rPr>
              <w:t>2015</w:t>
            </w:r>
          </w:p>
        </w:tc>
        <w:tc>
          <w:tcPr>
            <w:tcW w:w="1147" w:type="pct"/>
            <w:gridSpan w:val="2"/>
            <w:tcBorders>
              <w:top w:val="single" w:sz="4" w:space="0" w:color="auto"/>
              <w:bottom w:val="single" w:sz="4" w:space="0" w:color="auto"/>
            </w:tcBorders>
            <w:shd w:val="clear" w:color="auto" w:fill="auto"/>
            <w:vAlign w:val="center"/>
          </w:tcPr>
          <w:p w14:paraId="3AF0625A" w14:textId="77777777" w:rsidR="00D005FA" w:rsidRPr="003C6A59" w:rsidRDefault="00D005FA" w:rsidP="00127FF7">
            <w:pPr>
              <w:spacing w:before="80" w:after="80" w:line="200" w:lineRule="exact"/>
              <w:ind w:right="113"/>
              <w:jc w:val="center"/>
              <w:rPr>
                <w:i/>
                <w:sz w:val="16"/>
                <w:lang w:val="fr-FR"/>
              </w:rPr>
            </w:pPr>
            <w:r w:rsidRPr="003C6A59">
              <w:rPr>
                <w:i/>
                <w:sz w:val="16"/>
                <w:lang w:val="fr-FR"/>
              </w:rPr>
              <w:t>2016</w:t>
            </w:r>
          </w:p>
        </w:tc>
        <w:tc>
          <w:tcPr>
            <w:tcW w:w="1189" w:type="pct"/>
            <w:gridSpan w:val="2"/>
            <w:tcBorders>
              <w:top w:val="single" w:sz="4" w:space="0" w:color="auto"/>
              <w:bottom w:val="single" w:sz="4" w:space="0" w:color="auto"/>
            </w:tcBorders>
            <w:shd w:val="clear" w:color="auto" w:fill="auto"/>
            <w:vAlign w:val="center"/>
          </w:tcPr>
          <w:p w14:paraId="32F9E9B8" w14:textId="77777777" w:rsidR="00D005FA" w:rsidRPr="003C6A59" w:rsidRDefault="00D005FA" w:rsidP="00127FF7">
            <w:pPr>
              <w:spacing w:before="80" w:after="80" w:line="200" w:lineRule="exact"/>
              <w:ind w:right="113"/>
              <w:jc w:val="center"/>
              <w:rPr>
                <w:i/>
                <w:sz w:val="16"/>
                <w:lang w:val="fr-FR"/>
              </w:rPr>
            </w:pPr>
            <w:r w:rsidRPr="003C6A59">
              <w:rPr>
                <w:i/>
                <w:sz w:val="16"/>
                <w:lang w:val="fr-FR"/>
              </w:rPr>
              <w:t>2017</w:t>
            </w:r>
          </w:p>
        </w:tc>
      </w:tr>
      <w:tr w:rsidR="003C6A59" w:rsidRPr="003C6A59" w14:paraId="1DEE6A3A" w14:textId="77777777" w:rsidTr="004D6394">
        <w:trPr>
          <w:tblHeader/>
        </w:trPr>
        <w:tc>
          <w:tcPr>
            <w:tcW w:w="441" w:type="pct"/>
            <w:vMerge/>
            <w:tcBorders>
              <w:top w:val="single" w:sz="12" w:space="0" w:color="auto"/>
              <w:bottom w:val="single" w:sz="12" w:space="0" w:color="auto"/>
            </w:tcBorders>
            <w:shd w:val="clear" w:color="auto" w:fill="auto"/>
          </w:tcPr>
          <w:p w14:paraId="52D6E964" w14:textId="77777777" w:rsidR="00D005FA" w:rsidRPr="00127FF7" w:rsidRDefault="00D005FA" w:rsidP="00127FF7">
            <w:pPr>
              <w:spacing w:before="80" w:after="80" w:line="200" w:lineRule="exact"/>
              <w:ind w:right="113"/>
              <w:rPr>
                <w:i/>
                <w:sz w:val="16"/>
                <w:rtl/>
                <w:lang w:val="fr-FR"/>
              </w:rPr>
            </w:pPr>
          </w:p>
        </w:tc>
        <w:tc>
          <w:tcPr>
            <w:tcW w:w="661" w:type="pct"/>
            <w:tcBorders>
              <w:top w:val="single" w:sz="4" w:space="0" w:color="auto"/>
              <w:bottom w:val="single" w:sz="12" w:space="0" w:color="auto"/>
            </w:tcBorders>
            <w:shd w:val="clear" w:color="auto" w:fill="auto"/>
          </w:tcPr>
          <w:p w14:paraId="19C473D4" w14:textId="77777777" w:rsidR="00D005FA" w:rsidRPr="00127FF7" w:rsidRDefault="00D005FA" w:rsidP="00127FF7">
            <w:pPr>
              <w:spacing w:before="80" w:after="80" w:line="200" w:lineRule="exact"/>
              <w:ind w:right="113"/>
              <w:rPr>
                <w:i/>
                <w:sz w:val="16"/>
                <w:lang w:val="fr-FR"/>
              </w:rPr>
            </w:pPr>
            <w:r w:rsidRPr="00127FF7">
              <w:rPr>
                <w:i/>
                <w:sz w:val="16"/>
                <w:lang w:val="fr-FR"/>
              </w:rPr>
              <w:t>Instance</w:t>
            </w:r>
          </w:p>
        </w:tc>
        <w:tc>
          <w:tcPr>
            <w:tcW w:w="375" w:type="pct"/>
            <w:tcBorders>
              <w:top w:val="single" w:sz="4" w:space="0" w:color="auto"/>
              <w:bottom w:val="single" w:sz="12" w:space="0" w:color="auto"/>
            </w:tcBorders>
            <w:shd w:val="clear" w:color="auto" w:fill="auto"/>
          </w:tcPr>
          <w:p w14:paraId="209C3EF8" w14:textId="143F3CE6" w:rsidR="00D005FA" w:rsidRPr="00127FF7" w:rsidRDefault="00D005FA" w:rsidP="00127FF7">
            <w:pPr>
              <w:spacing w:before="80" w:after="80" w:line="200" w:lineRule="exact"/>
              <w:ind w:right="113"/>
              <w:rPr>
                <w:i/>
                <w:sz w:val="16"/>
                <w:lang w:val="fr-FR"/>
              </w:rPr>
            </w:pPr>
            <w:r w:rsidRPr="00127FF7">
              <w:rPr>
                <w:i/>
                <w:sz w:val="16"/>
                <w:lang w:val="fr-FR"/>
              </w:rPr>
              <w:t>Nombre de visites</w:t>
            </w:r>
          </w:p>
        </w:tc>
        <w:tc>
          <w:tcPr>
            <w:tcW w:w="801" w:type="pct"/>
            <w:tcBorders>
              <w:top w:val="single" w:sz="4" w:space="0" w:color="auto"/>
              <w:bottom w:val="single" w:sz="12" w:space="0" w:color="auto"/>
            </w:tcBorders>
            <w:shd w:val="clear" w:color="auto" w:fill="auto"/>
          </w:tcPr>
          <w:p w14:paraId="2528775A" w14:textId="77777777" w:rsidR="00D005FA" w:rsidRPr="00127FF7" w:rsidRDefault="00D005FA" w:rsidP="00127FF7">
            <w:pPr>
              <w:spacing w:before="80" w:after="80" w:line="200" w:lineRule="exact"/>
              <w:ind w:right="113"/>
              <w:rPr>
                <w:i/>
                <w:sz w:val="16"/>
                <w:lang w:val="fr-FR"/>
              </w:rPr>
            </w:pPr>
            <w:r w:rsidRPr="00127FF7">
              <w:rPr>
                <w:i/>
                <w:sz w:val="16"/>
                <w:lang w:val="fr-FR"/>
              </w:rPr>
              <w:t>Instance</w:t>
            </w:r>
          </w:p>
        </w:tc>
        <w:tc>
          <w:tcPr>
            <w:tcW w:w="385" w:type="pct"/>
            <w:tcBorders>
              <w:top w:val="single" w:sz="4" w:space="0" w:color="auto"/>
              <w:bottom w:val="single" w:sz="12" w:space="0" w:color="auto"/>
            </w:tcBorders>
            <w:shd w:val="clear" w:color="auto" w:fill="auto"/>
          </w:tcPr>
          <w:p w14:paraId="1C778792" w14:textId="261E249F" w:rsidR="00D005FA" w:rsidRPr="00127FF7" w:rsidRDefault="00D005FA" w:rsidP="00127FF7">
            <w:pPr>
              <w:spacing w:before="80" w:after="80" w:line="200" w:lineRule="exact"/>
              <w:ind w:right="113"/>
              <w:rPr>
                <w:i/>
                <w:sz w:val="16"/>
                <w:lang w:val="fr-FR"/>
              </w:rPr>
            </w:pPr>
            <w:r w:rsidRPr="00127FF7">
              <w:rPr>
                <w:i/>
                <w:sz w:val="16"/>
                <w:lang w:val="fr-FR"/>
              </w:rPr>
              <w:t>Nombre de visites</w:t>
            </w:r>
          </w:p>
        </w:tc>
        <w:tc>
          <w:tcPr>
            <w:tcW w:w="718" w:type="pct"/>
            <w:tcBorders>
              <w:top w:val="single" w:sz="4" w:space="0" w:color="auto"/>
              <w:bottom w:val="single" w:sz="12" w:space="0" w:color="auto"/>
            </w:tcBorders>
            <w:shd w:val="clear" w:color="auto" w:fill="auto"/>
          </w:tcPr>
          <w:p w14:paraId="3098B7A5" w14:textId="77777777" w:rsidR="00D005FA" w:rsidRPr="00127FF7" w:rsidRDefault="00D005FA" w:rsidP="00127FF7">
            <w:pPr>
              <w:spacing w:before="80" w:after="80" w:line="200" w:lineRule="exact"/>
              <w:ind w:right="113"/>
              <w:rPr>
                <w:i/>
                <w:sz w:val="16"/>
                <w:lang w:val="fr-FR"/>
              </w:rPr>
            </w:pPr>
            <w:r w:rsidRPr="00127FF7">
              <w:rPr>
                <w:i/>
                <w:sz w:val="16"/>
                <w:lang w:val="fr-FR"/>
              </w:rPr>
              <w:t>Instance</w:t>
            </w:r>
          </w:p>
        </w:tc>
        <w:tc>
          <w:tcPr>
            <w:tcW w:w="429" w:type="pct"/>
            <w:tcBorders>
              <w:top w:val="single" w:sz="4" w:space="0" w:color="auto"/>
              <w:bottom w:val="single" w:sz="12" w:space="0" w:color="auto"/>
            </w:tcBorders>
            <w:shd w:val="clear" w:color="auto" w:fill="auto"/>
          </w:tcPr>
          <w:p w14:paraId="6DC9F2FB" w14:textId="35F67B8D" w:rsidR="00D005FA" w:rsidRPr="00127FF7" w:rsidRDefault="00D005FA" w:rsidP="00127FF7">
            <w:pPr>
              <w:spacing w:before="80" w:after="80" w:line="200" w:lineRule="exact"/>
              <w:ind w:right="113"/>
              <w:rPr>
                <w:i/>
                <w:sz w:val="16"/>
                <w:lang w:val="fr-FR"/>
              </w:rPr>
            </w:pPr>
            <w:r w:rsidRPr="00127FF7">
              <w:rPr>
                <w:i/>
                <w:sz w:val="16"/>
                <w:lang w:val="fr-FR"/>
              </w:rPr>
              <w:t>Nombre de</w:t>
            </w:r>
            <w:r w:rsidR="00127FF7">
              <w:rPr>
                <w:i/>
                <w:sz w:val="16"/>
                <w:lang w:val="fr-FR"/>
              </w:rPr>
              <w:t> </w:t>
            </w:r>
            <w:r w:rsidRPr="00127FF7">
              <w:rPr>
                <w:i/>
                <w:sz w:val="16"/>
                <w:lang w:val="fr-FR"/>
              </w:rPr>
              <w:t>visites</w:t>
            </w:r>
          </w:p>
        </w:tc>
        <w:tc>
          <w:tcPr>
            <w:tcW w:w="822" w:type="pct"/>
            <w:tcBorders>
              <w:top w:val="single" w:sz="4" w:space="0" w:color="auto"/>
              <w:bottom w:val="single" w:sz="12" w:space="0" w:color="auto"/>
            </w:tcBorders>
            <w:shd w:val="clear" w:color="auto" w:fill="auto"/>
          </w:tcPr>
          <w:p w14:paraId="777B704E" w14:textId="77777777" w:rsidR="00D005FA" w:rsidRPr="00127FF7" w:rsidRDefault="00D005FA" w:rsidP="00127FF7">
            <w:pPr>
              <w:spacing w:before="80" w:after="80" w:line="200" w:lineRule="exact"/>
              <w:ind w:right="113"/>
              <w:rPr>
                <w:i/>
                <w:sz w:val="16"/>
                <w:lang w:val="fr-FR"/>
              </w:rPr>
            </w:pPr>
            <w:r w:rsidRPr="00127FF7">
              <w:rPr>
                <w:i/>
                <w:sz w:val="16"/>
                <w:lang w:val="fr-FR"/>
              </w:rPr>
              <w:t>Instance</w:t>
            </w:r>
          </w:p>
        </w:tc>
        <w:tc>
          <w:tcPr>
            <w:tcW w:w="367" w:type="pct"/>
            <w:tcBorders>
              <w:top w:val="single" w:sz="4" w:space="0" w:color="auto"/>
              <w:bottom w:val="single" w:sz="12" w:space="0" w:color="auto"/>
            </w:tcBorders>
            <w:shd w:val="clear" w:color="auto" w:fill="auto"/>
          </w:tcPr>
          <w:p w14:paraId="55905A8B" w14:textId="1C6C1A82" w:rsidR="00D005FA" w:rsidRPr="00127FF7" w:rsidRDefault="00D005FA" w:rsidP="00127FF7">
            <w:pPr>
              <w:spacing w:before="80" w:after="80" w:line="200" w:lineRule="exact"/>
              <w:ind w:right="113"/>
              <w:rPr>
                <w:i/>
                <w:sz w:val="16"/>
                <w:lang w:val="fr-FR"/>
              </w:rPr>
            </w:pPr>
            <w:r w:rsidRPr="00127FF7">
              <w:rPr>
                <w:i/>
                <w:sz w:val="16"/>
                <w:lang w:val="fr-FR"/>
              </w:rPr>
              <w:t>Nombre de visites</w:t>
            </w:r>
          </w:p>
        </w:tc>
      </w:tr>
      <w:tr w:rsidR="003C6A59" w:rsidRPr="003C6A59" w14:paraId="4C646BEC" w14:textId="77777777" w:rsidTr="004D6394">
        <w:tc>
          <w:tcPr>
            <w:tcW w:w="441" w:type="pct"/>
            <w:vMerge w:val="restart"/>
            <w:tcBorders>
              <w:top w:val="single" w:sz="12" w:space="0" w:color="auto"/>
            </w:tcBorders>
            <w:shd w:val="clear" w:color="auto" w:fill="auto"/>
          </w:tcPr>
          <w:p w14:paraId="5E6E03D7"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Bethléem</w:t>
            </w:r>
          </w:p>
        </w:tc>
        <w:tc>
          <w:tcPr>
            <w:tcW w:w="661" w:type="pct"/>
            <w:vMerge w:val="restart"/>
            <w:tcBorders>
              <w:top w:val="single" w:sz="12" w:space="0" w:color="auto"/>
            </w:tcBorders>
            <w:shd w:val="clear" w:color="auto" w:fill="auto"/>
          </w:tcPr>
          <w:p w14:paraId="3D9647F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tc>
        <w:tc>
          <w:tcPr>
            <w:tcW w:w="375" w:type="pct"/>
            <w:vMerge w:val="restart"/>
            <w:tcBorders>
              <w:top w:val="single" w:sz="12" w:space="0" w:color="auto"/>
            </w:tcBorders>
            <w:shd w:val="clear" w:color="auto" w:fill="auto"/>
          </w:tcPr>
          <w:p w14:paraId="4953A80B"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42</w:t>
            </w:r>
          </w:p>
        </w:tc>
        <w:tc>
          <w:tcPr>
            <w:tcW w:w="801" w:type="pct"/>
            <w:tcBorders>
              <w:top w:val="single" w:sz="12" w:space="0" w:color="auto"/>
            </w:tcBorders>
            <w:shd w:val="clear" w:color="auto" w:fill="auto"/>
          </w:tcPr>
          <w:p w14:paraId="29629B9E"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tc>
        <w:tc>
          <w:tcPr>
            <w:tcW w:w="385" w:type="pct"/>
            <w:tcBorders>
              <w:top w:val="single" w:sz="12" w:space="0" w:color="auto"/>
            </w:tcBorders>
            <w:shd w:val="clear" w:color="auto" w:fill="auto"/>
          </w:tcPr>
          <w:p w14:paraId="46F8CC46"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43</w:t>
            </w:r>
          </w:p>
        </w:tc>
        <w:tc>
          <w:tcPr>
            <w:tcW w:w="718" w:type="pct"/>
            <w:tcBorders>
              <w:top w:val="single" w:sz="12" w:space="0" w:color="auto"/>
            </w:tcBorders>
            <w:shd w:val="clear" w:color="auto" w:fill="auto"/>
          </w:tcPr>
          <w:p w14:paraId="51C16508"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tc>
        <w:tc>
          <w:tcPr>
            <w:tcW w:w="429" w:type="pct"/>
            <w:tcBorders>
              <w:top w:val="single" w:sz="12" w:space="0" w:color="auto"/>
            </w:tcBorders>
            <w:shd w:val="clear" w:color="auto" w:fill="auto"/>
          </w:tcPr>
          <w:p w14:paraId="034DC850"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49</w:t>
            </w:r>
          </w:p>
        </w:tc>
        <w:tc>
          <w:tcPr>
            <w:tcW w:w="822" w:type="pct"/>
            <w:tcBorders>
              <w:top w:val="single" w:sz="12" w:space="0" w:color="auto"/>
            </w:tcBorders>
            <w:shd w:val="clear" w:color="auto" w:fill="auto"/>
          </w:tcPr>
          <w:p w14:paraId="5A0A67D3"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tc>
        <w:tc>
          <w:tcPr>
            <w:tcW w:w="367" w:type="pct"/>
            <w:tcBorders>
              <w:top w:val="single" w:sz="12" w:space="0" w:color="auto"/>
            </w:tcBorders>
            <w:shd w:val="clear" w:color="auto" w:fill="auto"/>
          </w:tcPr>
          <w:p w14:paraId="5C3DDD6C"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40</w:t>
            </w:r>
          </w:p>
        </w:tc>
      </w:tr>
      <w:tr w:rsidR="003C6A59" w:rsidRPr="003C6A59" w14:paraId="16C49128" w14:textId="77777777" w:rsidTr="004D6394">
        <w:tc>
          <w:tcPr>
            <w:tcW w:w="441" w:type="pct"/>
            <w:vMerge/>
            <w:shd w:val="clear" w:color="auto" w:fill="auto"/>
          </w:tcPr>
          <w:p w14:paraId="438D27F5" w14:textId="77777777" w:rsidR="00D005FA" w:rsidRPr="003C6A59" w:rsidRDefault="00D005FA" w:rsidP="003C6A59">
            <w:pPr>
              <w:spacing w:before="40" w:after="120"/>
              <w:ind w:right="113"/>
              <w:rPr>
                <w:rtl/>
                <w:lang w:val="fr-FR" w:bidi="ar-JO"/>
              </w:rPr>
            </w:pPr>
          </w:p>
        </w:tc>
        <w:tc>
          <w:tcPr>
            <w:tcW w:w="661" w:type="pct"/>
            <w:vMerge/>
            <w:shd w:val="clear" w:color="auto" w:fill="auto"/>
          </w:tcPr>
          <w:p w14:paraId="1942B913" w14:textId="77777777" w:rsidR="00D005FA" w:rsidRPr="003C6A59" w:rsidRDefault="00D005FA" w:rsidP="004D6394">
            <w:pPr>
              <w:spacing w:before="40" w:after="120" w:line="220" w:lineRule="atLeast"/>
              <w:ind w:right="113"/>
              <w:rPr>
                <w:sz w:val="18"/>
                <w:szCs w:val="18"/>
                <w:rtl/>
                <w:lang w:val="fr-FR" w:bidi="ar-JO"/>
              </w:rPr>
            </w:pPr>
          </w:p>
        </w:tc>
        <w:tc>
          <w:tcPr>
            <w:tcW w:w="375" w:type="pct"/>
            <w:vMerge/>
            <w:shd w:val="clear" w:color="auto" w:fill="auto"/>
          </w:tcPr>
          <w:p w14:paraId="2FC2C3ED" w14:textId="77777777" w:rsidR="00D005FA" w:rsidRPr="003C6A59" w:rsidRDefault="00D005FA" w:rsidP="003C6A59">
            <w:pPr>
              <w:spacing w:before="40" w:after="120"/>
              <w:ind w:right="113"/>
              <w:rPr>
                <w:sz w:val="18"/>
                <w:szCs w:val="18"/>
                <w:rtl/>
                <w:lang w:val="fr-FR" w:bidi="ar-JO"/>
              </w:rPr>
            </w:pPr>
          </w:p>
        </w:tc>
        <w:tc>
          <w:tcPr>
            <w:tcW w:w="801" w:type="pct"/>
            <w:shd w:val="clear" w:color="auto" w:fill="auto"/>
          </w:tcPr>
          <w:p w14:paraId="5DE33383" w14:textId="77777777" w:rsidR="00D005FA" w:rsidRPr="003C6A59" w:rsidRDefault="00D005FA" w:rsidP="004D6394">
            <w:pPr>
              <w:spacing w:before="40" w:after="120" w:line="220" w:lineRule="atLeast"/>
              <w:ind w:right="113"/>
              <w:rPr>
                <w:sz w:val="18"/>
                <w:szCs w:val="18"/>
                <w:lang w:val="en-US"/>
              </w:rPr>
            </w:pPr>
            <w:r w:rsidRPr="003C6A59">
              <w:rPr>
                <w:sz w:val="18"/>
                <w:szCs w:val="18"/>
                <w:lang w:val="en-US"/>
              </w:rPr>
              <w:t>Treatment and Rehabilitation Centre for Victims of Torture</w:t>
            </w:r>
          </w:p>
        </w:tc>
        <w:tc>
          <w:tcPr>
            <w:tcW w:w="385" w:type="pct"/>
            <w:shd w:val="clear" w:color="auto" w:fill="auto"/>
          </w:tcPr>
          <w:p w14:paraId="703C0F50"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13</w:t>
            </w:r>
          </w:p>
        </w:tc>
        <w:tc>
          <w:tcPr>
            <w:tcW w:w="718" w:type="pct"/>
            <w:shd w:val="clear" w:color="auto" w:fill="auto"/>
          </w:tcPr>
          <w:p w14:paraId="4B247163"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Centre de soins et de réadaptation des victimes de torture</w:t>
            </w:r>
          </w:p>
        </w:tc>
        <w:tc>
          <w:tcPr>
            <w:tcW w:w="429" w:type="pct"/>
            <w:shd w:val="clear" w:color="auto" w:fill="auto"/>
          </w:tcPr>
          <w:p w14:paraId="501ED096"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18</w:t>
            </w:r>
          </w:p>
        </w:tc>
        <w:tc>
          <w:tcPr>
            <w:tcW w:w="822" w:type="pct"/>
            <w:shd w:val="clear" w:color="auto" w:fill="auto"/>
          </w:tcPr>
          <w:p w14:paraId="4934DA5E" w14:textId="77777777" w:rsidR="00D005FA" w:rsidRPr="003C6A59" w:rsidRDefault="00D005FA" w:rsidP="004D6394">
            <w:pPr>
              <w:spacing w:before="40" w:after="120" w:line="220" w:lineRule="atLeast"/>
              <w:ind w:right="113"/>
              <w:rPr>
                <w:sz w:val="18"/>
                <w:szCs w:val="18"/>
                <w:lang w:val="en-US"/>
              </w:rPr>
            </w:pPr>
            <w:r w:rsidRPr="003C6A59">
              <w:rPr>
                <w:sz w:val="18"/>
                <w:szCs w:val="18"/>
                <w:lang w:val="en-US"/>
              </w:rPr>
              <w:t>Treatment and Rehabilitation Centre for Victims of Torture</w:t>
            </w:r>
          </w:p>
        </w:tc>
        <w:tc>
          <w:tcPr>
            <w:tcW w:w="367" w:type="pct"/>
            <w:shd w:val="clear" w:color="auto" w:fill="auto"/>
          </w:tcPr>
          <w:p w14:paraId="0BAA13C1"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42</w:t>
            </w:r>
          </w:p>
        </w:tc>
      </w:tr>
      <w:tr w:rsidR="003C6A59" w:rsidRPr="003C6A59" w14:paraId="797A0ACB" w14:textId="77777777" w:rsidTr="004D6394">
        <w:tc>
          <w:tcPr>
            <w:tcW w:w="441" w:type="pct"/>
            <w:shd w:val="clear" w:color="auto" w:fill="auto"/>
          </w:tcPr>
          <w:p w14:paraId="0E016E4C"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Jénine</w:t>
            </w:r>
          </w:p>
        </w:tc>
        <w:tc>
          <w:tcPr>
            <w:tcW w:w="661" w:type="pct"/>
            <w:shd w:val="clear" w:color="auto" w:fill="auto"/>
          </w:tcPr>
          <w:p w14:paraId="67F10704"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24A70124"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lastRenderedPageBreak/>
              <w:t>Organisation Défense des Enfants-International</w:t>
            </w:r>
          </w:p>
        </w:tc>
        <w:tc>
          <w:tcPr>
            <w:tcW w:w="375" w:type="pct"/>
            <w:shd w:val="clear" w:color="auto" w:fill="auto"/>
          </w:tcPr>
          <w:p w14:paraId="35E39001"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lastRenderedPageBreak/>
              <w:t>30</w:t>
            </w:r>
          </w:p>
        </w:tc>
        <w:tc>
          <w:tcPr>
            <w:tcW w:w="801" w:type="pct"/>
            <w:shd w:val="clear" w:color="auto" w:fill="auto"/>
          </w:tcPr>
          <w:p w14:paraId="76184C9A"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1D3FB2C6"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lastRenderedPageBreak/>
              <w:t>Organisation Défense des Enfants-International</w:t>
            </w:r>
          </w:p>
          <w:p w14:paraId="2FBA0F1A" w14:textId="77777777" w:rsidR="00D005FA" w:rsidRPr="003C6A59" w:rsidRDefault="00D005FA" w:rsidP="004D6394">
            <w:pPr>
              <w:spacing w:before="40" w:after="120" w:line="220" w:lineRule="atLeast"/>
              <w:ind w:right="113"/>
              <w:rPr>
                <w:sz w:val="18"/>
                <w:szCs w:val="18"/>
                <w:lang w:val="en-US"/>
              </w:rPr>
            </w:pPr>
            <w:r w:rsidRPr="003C6A59">
              <w:rPr>
                <w:sz w:val="18"/>
                <w:szCs w:val="18"/>
                <w:lang w:val="en-US"/>
              </w:rPr>
              <w:t>Treatment and Rehabilitation Centre for Victims of Torture</w:t>
            </w:r>
          </w:p>
        </w:tc>
        <w:tc>
          <w:tcPr>
            <w:tcW w:w="385" w:type="pct"/>
            <w:shd w:val="clear" w:color="auto" w:fill="auto"/>
          </w:tcPr>
          <w:p w14:paraId="0FE222A1"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lastRenderedPageBreak/>
              <w:t>28</w:t>
            </w:r>
          </w:p>
          <w:p w14:paraId="71572738"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28</w:t>
            </w:r>
          </w:p>
        </w:tc>
        <w:tc>
          <w:tcPr>
            <w:tcW w:w="718" w:type="pct"/>
            <w:shd w:val="clear" w:color="auto" w:fill="auto"/>
          </w:tcPr>
          <w:p w14:paraId="37887A0B"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09BEC4A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lastRenderedPageBreak/>
              <w:t>Organisation Défense des Enfants-International</w:t>
            </w:r>
          </w:p>
          <w:p w14:paraId="768AE72C" w14:textId="77777777" w:rsidR="00D005FA" w:rsidRPr="003C6A59" w:rsidRDefault="00D005FA" w:rsidP="004D6394">
            <w:pPr>
              <w:spacing w:before="40" w:after="120" w:line="220" w:lineRule="atLeast"/>
              <w:ind w:right="113"/>
              <w:rPr>
                <w:sz w:val="18"/>
                <w:szCs w:val="18"/>
                <w:lang w:val="en-US"/>
              </w:rPr>
            </w:pPr>
            <w:r w:rsidRPr="003C6A59">
              <w:rPr>
                <w:sz w:val="18"/>
                <w:szCs w:val="18"/>
                <w:lang w:val="en-US"/>
              </w:rPr>
              <w:t>Treatment and Rehabilitation Centre for Victims of Torture</w:t>
            </w:r>
          </w:p>
        </w:tc>
        <w:tc>
          <w:tcPr>
            <w:tcW w:w="429" w:type="pct"/>
            <w:shd w:val="clear" w:color="auto" w:fill="auto"/>
          </w:tcPr>
          <w:p w14:paraId="49D37F24"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lastRenderedPageBreak/>
              <w:t>34</w:t>
            </w:r>
          </w:p>
        </w:tc>
        <w:tc>
          <w:tcPr>
            <w:tcW w:w="822" w:type="pct"/>
            <w:shd w:val="clear" w:color="auto" w:fill="auto"/>
          </w:tcPr>
          <w:p w14:paraId="51C1612B"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02B9875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lastRenderedPageBreak/>
              <w:t>Treatment and Rehabilitation Centre for Victims of Torture</w:t>
            </w:r>
          </w:p>
          <w:p w14:paraId="2289CA7B" w14:textId="77777777" w:rsidR="00D005FA" w:rsidRPr="003C6A59" w:rsidRDefault="00D005FA" w:rsidP="004D6394">
            <w:pPr>
              <w:spacing w:before="40" w:after="120" w:line="220" w:lineRule="atLeast"/>
              <w:ind w:right="113"/>
              <w:rPr>
                <w:sz w:val="18"/>
                <w:szCs w:val="18"/>
                <w:rtl/>
                <w:lang w:val="fr-FR" w:bidi="ar-JO"/>
              </w:rPr>
            </w:pPr>
          </w:p>
        </w:tc>
        <w:tc>
          <w:tcPr>
            <w:tcW w:w="367" w:type="pct"/>
            <w:shd w:val="clear" w:color="auto" w:fill="auto"/>
          </w:tcPr>
          <w:p w14:paraId="1B299B2B"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lastRenderedPageBreak/>
              <w:t>14</w:t>
            </w:r>
          </w:p>
          <w:p w14:paraId="263279DE"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90</w:t>
            </w:r>
          </w:p>
        </w:tc>
      </w:tr>
      <w:tr w:rsidR="003C6A59" w:rsidRPr="003C6A59" w14:paraId="210D6478" w14:textId="77777777" w:rsidTr="004D6394">
        <w:tc>
          <w:tcPr>
            <w:tcW w:w="441" w:type="pct"/>
            <w:shd w:val="clear" w:color="auto" w:fill="auto"/>
          </w:tcPr>
          <w:p w14:paraId="59FD0315"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Naplouse</w:t>
            </w:r>
          </w:p>
        </w:tc>
        <w:tc>
          <w:tcPr>
            <w:tcW w:w="661" w:type="pct"/>
            <w:shd w:val="clear" w:color="auto" w:fill="auto"/>
          </w:tcPr>
          <w:p w14:paraId="5A6C27DA" w14:textId="77777777" w:rsidR="00D005FA" w:rsidRPr="002E7C60" w:rsidRDefault="00D005FA" w:rsidP="004D6394">
            <w:pPr>
              <w:spacing w:before="40" w:after="120" w:line="220" w:lineRule="atLeast"/>
              <w:ind w:right="113"/>
              <w:rPr>
                <w:sz w:val="18"/>
                <w:szCs w:val="18"/>
                <w:lang w:val="fr-FR"/>
              </w:rPr>
            </w:pPr>
            <w:r w:rsidRPr="002E7C60">
              <w:rPr>
                <w:sz w:val="18"/>
                <w:szCs w:val="18"/>
                <w:lang w:val="fr-FR"/>
              </w:rPr>
              <w:t>Ministère du développement social</w:t>
            </w:r>
          </w:p>
          <w:p w14:paraId="0241AD44" w14:textId="77777777" w:rsidR="00D005FA" w:rsidRPr="002E7C60" w:rsidRDefault="00D005FA" w:rsidP="004D6394">
            <w:pPr>
              <w:spacing w:before="40" w:after="120" w:line="220" w:lineRule="atLeast"/>
              <w:ind w:right="113"/>
              <w:rPr>
                <w:sz w:val="18"/>
                <w:szCs w:val="18"/>
                <w:lang w:val="fr-FR"/>
              </w:rPr>
            </w:pPr>
            <w:r w:rsidRPr="002E7C60">
              <w:rPr>
                <w:sz w:val="18"/>
                <w:szCs w:val="18"/>
                <w:lang w:val="fr-FR"/>
              </w:rPr>
              <w:t>Organisation Défense des Enfants-International</w:t>
            </w:r>
          </w:p>
          <w:p w14:paraId="2CA0BFBA" w14:textId="77777777" w:rsidR="00D005FA" w:rsidRPr="002E7C60" w:rsidRDefault="00D005FA" w:rsidP="004D6394">
            <w:pPr>
              <w:spacing w:before="40" w:after="120" w:line="220" w:lineRule="atLeast"/>
              <w:ind w:right="113"/>
              <w:rPr>
                <w:sz w:val="18"/>
                <w:szCs w:val="18"/>
                <w:lang w:val="fr-FR"/>
              </w:rPr>
            </w:pPr>
            <w:r w:rsidRPr="002E7C60">
              <w:rPr>
                <w:sz w:val="18"/>
                <w:szCs w:val="18"/>
                <w:lang w:val="fr-FR"/>
              </w:rPr>
              <w:t>Centre pour la démocratie et le règlement des conflits</w:t>
            </w:r>
          </w:p>
        </w:tc>
        <w:tc>
          <w:tcPr>
            <w:tcW w:w="375" w:type="pct"/>
            <w:shd w:val="clear" w:color="auto" w:fill="auto"/>
          </w:tcPr>
          <w:p w14:paraId="2DE81AFD" w14:textId="77777777" w:rsidR="00D005FA" w:rsidRPr="002E7C60" w:rsidRDefault="00D005FA" w:rsidP="003C6A59">
            <w:pPr>
              <w:spacing w:before="40" w:after="120"/>
              <w:ind w:right="113"/>
              <w:rPr>
                <w:sz w:val="18"/>
                <w:szCs w:val="18"/>
                <w:lang w:val="fr-FR" w:bidi="ar-JO"/>
              </w:rPr>
            </w:pPr>
            <w:r w:rsidRPr="002E7C60">
              <w:rPr>
                <w:sz w:val="18"/>
                <w:szCs w:val="18"/>
                <w:lang w:val="fr-FR" w:bidi="ar-JO"/>
              </w:rPr>
              <w:t>52</w:t>
            </w:r>
          </w:p>
          <w:p w14:paraId="3C603347" w14:textId="77777777" w:rsidR="00D005FA" w:rsidRPr="002E7C60" w:rsidRDefault="00D005FA" w:rsidP="003C6A59">
            <w:pPr>
              <w:spacing w:before="40" w:after="120"/>
              <w:ind w:right="113"/>
              <w:rPr>
                <w:sz w:val="18"/>
                <w:szCs w:val="18"/>
                <w:rtl/>
                <w:lang w:val="fr-FR" w:bidi="ar-JO"/>
              </w:rPr>
            </w:pPr>
            <w:r w:rsidRPr="002E7C60">
              <w:rPr>
                <w:sz w:val="18"/>
                <w:szCs w:val="18"/>
                <w:lang w:val="fr-FR" w:bidi="ar-JO"/>
              </w:rPr>
              <w:t>3</w:t>
            </w:r>
          </w:p>
        </w:tc>
        <w:tc>
          <w:tcPr>
            <w:tcW w:w="801" w:type="pct"/>
            <w:shd w:val="clear" w:color="auto" w:fill="auto"/>
          </w:tcPr>
          <w:p w14:paraId="519BFCB0" w14:textId="77777777" w:rsidR="00D005FA" w:rsidRPr="002E7C60" w:rsidRDefault="00D005FA" w:rsidP="004D6394">
            <w:pPr>
              <w:spacing w:before="40" w:after="120" w:line="220" w:lineRule="atLeast"/>
              <w:ind w:right="113"/>
              <w:rPr>
                <w:sz w:val="18"/>
                <w:szCs w:val="18"/>
                <w:lang w:val="fr-FR"/>
              </w:rPr>
            </w:pPr>
            <w:r w:rsidRPr="002E7C60">
              <w:rPr>
                <w:sz w:val="18"/>
                <w:szCs w:val="18"/>
                <w:lang w:val="fr-FR"/>
              </w:rPr>
              <w:t>Ministère du développement social</w:t>
            </w:r>
          </w:p>
          <w:p w14:paraId="6839DA3B" w14:textId="77777777" w:rsidR="00D005FA" w:rsidRPr="002E7C60" w:rsidRDefault="00D005FA" w:rsidP="004D6394">
            <w:pPr>
              <w:spacing w:before="40" w:after="120" w:line="220" w:lineRule="atLeast"/>
              <w:ind w:right="113"/>
              <w:rPr>
                <w:sz w:val="18"/>
                <w:szCs w:val="18"/>
                <w:lang w:val="fr-FR"/>
              </w:rPr>
            </w:pPr>
            <w:r w:rsidRPr="002E7C60">
              <w:rPr>
                <w:sz w:val="18"/>
                <w:szCs w:val="18"/>
                <w:lang w:val="fr-FR"/>
              </w:rPr>
              <w:t>Organisation Défense des Enfants-International</w:t>
            </w:r>
          </w:p>
          <w:p w14:paraId="0E75F1AA" w14:textId="4B643A70" w:rsidR="00D005FA" w:rsidRPr="002E7C60" w:rsidRDefault="002E7C60" w:rsidP="004D6394">
            <w:pPr>
              <w:spacing w:before="40" w:after="120" w:line="220" w:lineRule="atLeast"/>
              <w:ind w:right="113"/>
              <w:rPr>
                <w:sz w:val="18"/>
                <w:szCs w:val="18"/>
                <w:lang w:val="fr-FR"/>
              </w:rPr>
            </w:pPr>
            <w:r w:rsidRPr="002E7C60">
              <w:rPr>
                <w:sz w:val="18"/>
                <w:szCs w:val="18"/>
                <w:lang w:val="fr-FR"/>
              </w:rPr>
              <w:t>Centre pour la démocratie et le règlement des conflits</w:t>
            </w:r>
          </w:p>
        </w:tc>
        <w:tc>
          <w:tcPr>
            <w:tcW w:w="385" w:type="pct"/>
            <w:shd w:val="clear" w:color="auto" w:fill="auto"/>
          </w:tcPr>
          <w:p w14:paraId="5DC4AD45"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56</w:t>
            </w:r>
          </w:p>
        </w:tc>
        <w:tc>
          <w:tcPr>
            <w:tcW w:w="718" w:type="pct"/>
            <w:shd w:val="clear" w:color="auto" w:fill="auto"/>
          </w:tcPr>
          <w:p w14:paraId="5D3817D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tc>
        <w:tc>
          <w:tcPr>
            <w:tcW w:w="429" w:type="pct"/>
            <w:shd w:val="clear" w:color="auto" w:fill="auto"/>
          </w:tcPr>
          <w:p w14:paraId="4BF782E6"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73</w:t>
            </w:r>
          </w:p>
        </w:tc>
        <w:tc>
          <w:tcPr>
            <w:tcW w:w="822" w:type="pct"/>
            <w:shd w:val="clear" w:color="auto" w:fill="auto"/>
          </w:tcPr>
          <w:p w14:paraId="71658BB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5FACF2D8"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Palestinian Counseling Center</w:t>
            </w:r>
          </w:p>
          <w:p w14:paraId="08ED37E4"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67" w:type="pct"/>
            <w:shd w:val="clear" w:color="auto" w:fill="auto"/>
          </w:tcPr>
          <w:p w14:paraId="0F85DD21"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66</w:t>
            </w:r>
          </w:p>
          <w:p w14:paraId="1D80F06A"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20</w:t>
            </w:r>
          </w:p>
          <w:p w14:paraId="7693D989"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w:t>
            </w:r>
          </w:p>
        </w:tc>
      </w:tr>
      <w:tr w:rsidR="003C6A59" w:rsidRPr="003C6A59" w14:paraId="6841A880" w14:textId="77777777" w:rsidTr="004D6394">
        <w:tc>
          <w:tcPr>
            <w:tcW w:w="441" w:type="pct"/>
            <w:shd w:val="clear" w:color="auto" w:fill="auto"/>
          </w:tcPr>
          <w:p w14:paraId="19D40146"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Ramallah</w:t>
            </w:r>
          </w:p>
        </w:tc>
        <w:tc>
          <w:tcPr>
            <w:tcW w:w="661" w:type="pct"/>
            <w:shd w:val="clear" w:color="auto" w:fill="auto"/>
          </w:tcPr>
          <w:p w14:paraId="75419E50"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716352A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0A65D62A"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75" w:type="pct"/>
            <w:shd w:val="clear" w:color="auto" w:fill="auto"/>
          </w:tcPr>
          <w:p w14:paraId="7FD5BD7B"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31</w:t>
            </w:r>
          </w:p>
        </w:tc>
        <w:tc>
          <w:tcPr>
            <w:tcW w:w="801" w:type="pct"/>
            <w:shd w:val="clear" w:color="auto" w:fill="auto"/>
          </w:tcPr>
          <w:p w14:paraId="45D308A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4C00AB64"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50BBED4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85" w:type="pct"/>
            <w:shd w:val="clear" w:color="auto" w:fill="auto"/>
          </w:tcPr>
          <w:p w14:paraId="548B71DF"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47</w:t>
            </w:r>
          </w:p>
          <w:p w14:paraId="049C5C1F"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38</w:t>
            </w:r>
          </w:p>
          <w:p w14:paraId="7D86B825"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6</w:t>
            </w:r>
          </w:p>
        </w:tc>
        <w:tc>
          <w:tcPr>
            <w:tcW w:w="718" w:type="pct"/>
            <w:shd w:val="clear" w:color="auto" w:fill="auto"/>
          </w:tcPr>
          <w:p w14:paraId="34536E0F"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7FB210C9"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429" w:type="pct"/>
            <w:shd w:val="clear" w:color="auto" w:fill="auto"/>
          </w:tcPr>
          <w:p w14:paraId="6D3AD8F7"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75</w:t>
            </w:r>
          </w:p>
        </w:tc>
        <w:tc>
          <w:tcPr>
            <w:tcW w:w="822" w:type="pct"/>
            <w:shd w:val="clear" w:color="auto" w:fill="auto"/>
          </w:tcPr>
          <w:p w14:paraId="05A275F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44935BEB"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367" w:type="pct"/>
            <w:shd w:val="clear" w:color="auto" w:fill="auto"/>
          </w:tcPr>
          <w:p w14:paraId="643A1724"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58</w:t>
            </w:r>
          </w:p>
          <w:p w14:paraId="2396B8F1"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70</w:t>
            </w:r>
          </w:p>
        </w:tc>
      </w:tr>
      <w:tr w:rsidR="003C6A59" w:rsidRPr="003C6A59" w14:paraId="043860B1" w14:textId="77777777" w:rsidTr="004D6394">
        <w:tc>
          <w:tcPr>
            <w:tcW w:w="441" w:type="pct"/>
            <w:shd w:val="clear" w:color="auto" w:fill="auto"/>
          </w:tcPr>
          <w:p w14:paraId="39EA241F"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Jéricho</w:t>
            </w:r>
          </w:p>
        </w:tc>
        <w:tc>
          <w:tcPr>
            <w:tcW w:w="661" w:type="pct"/>
            <w:shd w:val="clear" w:color="auto" w:fill="auto"/>
          </w:tcPr>
          <w:p w14:paraId="66788922"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3931CF5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46EB3AD4"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75" w:type="pct"/>
            <w:shd w:val="clear" w:color="auto" w:fill="auto"/>
          </w:tcPr>
          <w:p w14:paraId="493CC024"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39</w:t>
            </w:r>
          </w:p>
        </w:tc>
        <w:tc>
          <w:tcPr>
            <w:tcW w:w="801" w:type="pct"/>
            <w:shd w:val="clear" w:color="auto" w:fill="auto"/>
          </w:tcPr>
          <w:p w14:paraId="3AA3F8D9"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3F8E7985"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57D8B13E"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85" w:type="pct"/>
            <w:shd w:val="clear" w:color="auto" w:fill="auto"/>
          </w:tcPr>
          <w:p w14:paraId="2F146DC4"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25</w:t>
            </w:r>
          </w:p>
        </w:tc>
        <w:tc>
          <w:tcPr>
            <w:tcW w:w="718" w:type="pct"/>
            <w:shd w:val="clear" w:color="auto" w:fill="auto"/>
          </w:tcPr>
          <w:p w14:paraId="3DC3D4AA"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1CC25D25"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677C10AF"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429" w:type="pct"/>
            <w:shd w:val="clear" w:color="auto" w:fill="auto"/>
          </w:tcPr>
          <w:p w14:paraId="1D98E4EA"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40</w:t>
            </w:r>
          </w:p>
        </w:tc>
        <w:tc>
          <w:tcPr>
            <w:tcW w:w="822" w:type="pct"/>
            <w:shd w:val="clear" w:color="auto" w:fill="auto"/>
          </w:tcPr>
          <w:p w14:paraId="0D92A899"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4E5AA2EA"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p w14:paraId="0628C0BB"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67" w:type="pct"/>
            <w:shd w:val="clear" w:color="auto" w:fill="auto"/>
          </w:tcPr>
          <w:p w14:paraId="6476719D"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38</w:t>
            </w:r>
          </w:p>
          <w:p w14:paraId="2EF19045"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71</w:t>
            </w:r>
          </w:p>
        </w:tc>
      </w:tr>
      <w:tr w:rsidR="003C6A59" w:rsidRPr="003C6A59" w14:paraId="7FE34B3E" w14:textId="77777777" w:rsidTr="004D6394">
        <w:tc>
          <w:tcPr>
            <w:tcW w:w="441" w:type="pct"/>
            <w:shd w:val="clear" w:color="auto" w:fill="auto"/>
          </w:tcPr>
          <w:p w14:paraId="01E20D91" w14:textId="77777777" w:rsidR="00D005FA" w:rsidRPr="003C6A59" w:rsidRDefault="00D005FA" w:rsidP="004D6394">
            <w:pPr>
              <w:spacing w:before="40" w:after="120" w:line="200" w:lineRule="atLeast"/>
              <w:ind w:right="113"/>
              <w:rPr>
                <w:sz w:val="18"/>
                <w:szCs w:val="18"/>
                <w:lang w:val="fr-FR"/>
              </w:rPr>
            </w:pPr>
            <w:r w:rsidRPr="003C6A59">
              <w:rPr>
                <w:sz w:val="18"/>
                <w:szCs w:val="18"/>
                <w:lang w:val="fr-FR"/>
              </w:rPr>
              <w:t>Hébron</w:t>
            </w:r>
          </w:p>
        </w:tc>
        <w:tc>
          <w:tcPr>
            <w:tcW w:w="661" w:type="pct"/>
            <w:shd w:val="clear" w:color="auto" w:fill="auto"/>
          </w:tcPr>
          <w:p w14:paraId="582F2E0B"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250648F2"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375" w:type="pct"/>
            <w:shd w:val="clear" w:color="auto" w:fill="auto"/>
          </w:tcPr>
          <w:p w14:paraId="7D293A6F"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7</w:t>
            </w:r>
          </w:p>
        </w:tc>
        <w:tc>
          <w:tcPr>
            <w:tcW w:w="801" w:type="pct"/>
            <w:shd w:val="clear" w:color="auto" w:fill="auto"/>
          </w:tcPr>
          <w:p w14:paraId="31B3C25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583258FE"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385" w:type="pct"/>
            <w:shd w:val="clear" w:color="auto" w:fill="auto"/>
          </w:tcPr>
          <w:p w14:paraId="1E8CF1A0"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19</w:t>
            </w:r>
          </w:p>
          <w:p w14:paraId="201E4970"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23</w:t>
            </w:r>
          </w:p>
        </w:tc>
        <w:tc>
          <w:tcPr>
            <w:tcW w:w="718" w:type="pct"/>
            <w:shd w:val="clear" w:color="auto" w:fill="auto"/>
          </w:tcPr>
          <w:p w14:paraId="44F41E03"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64302823"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429" w:type="pct"/>
            <w:shd w:val="clear" w:color="auto" w:fill="auto"/>
          </w:tcPr>
          <w:p w14:paraId="2680B8C2"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13</w:t>
            </w:r>
          </w:p>
        </w:tc>
        <w:tc>
          <w:tcPr>
            <w:tcW w:w="822" w:type="pct"/>
            <w:shd w:val="clear" w:color="auto" w:fill="auto"/>
          </w:tcPr>
          <w:p w14:paraId="333CAF7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3A250D0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Treatment and Rehabilitation Centre for Victims of Torture</w:t>
            </w:r>
          </w:p>
        </w:tc>
        <w:tc>
          <w:tcPr>
            <w:tcW w:w="367" w:type="pct"/>
            <w:shd w:val="clear" w:color="auto" w:fill="auto"/>
          </w:tcPr>
          <w:p w14:paraId="3A727FDE"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9</w:t>
            </w:r>
          </w:p>
          <w:p w14:paraId="55A040D0"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33</w:t>
            </w:r>
          </w:p>
        </w:tc>
      </w:tr>
      <w:tr w:rsidR="003C6A59" w:rsidRPr="003C6A59" w14:paraId="51F3A4FE" w14:textId="77777777" w:rsidTr="004D6394">
        <w:tc>
          <w:tcPr>
            <w:tcW w:w="441" w:type="pct"/>
            <w:tcBorders>
              <w:bottom w:val="single" w:sz="12" w:space="0" w:color="auto"/>
            </w:tcBorders>
            <w:shd w:val="clear" w:color="auto" w:fill="auto"/>
          </w:tcPr>
          <w:p w14:paraId="4DCA8800" w14:textId="77777777" w:rsidR="00D005FA" w:rsidRPr="003C6A59" w:rsidRDefault="00D005FA" w:rsidP="004D6394">
            <w:pPr>
              <w:spacing w:before="40" w:after="120" w:line="200" w:lineRule="atLeast"/>
              <w:ind w:right="57"/>
              <w:rPr>
                <w:sz w:val="18"/>
                <w:szCs w:val="18"/>
                <w:lang w:val="fr-FR"/>
              </w:rPr>
            </w:pPr>
            <w:r w:rsidRPr="003C6A59">
              <w:rPr>
                <w:sz w:val="18"/>
                <w:szCs w:val="18"/>
                <w:lang w:val="fr-FR"/>
              </w:rPr>
              <w:lastRenderedPageBreak/>
              <w:t>Toulkarem</w:t>
            </w:r>
          </w:p>
        </w:tc>
        <w:tc>
          <w:tcPr>
            <w:tcW w:w="661" w:type="pct"/>
            <w:tcBorders>
              <w:bottom w:val="single" w:sz="12" w:space="0" w:color="auto"/>
            </w:tcBorders>
            <w:shd w:val="clear" w:color="auto" w:fill="auto"/>
          </w:tcPr>
          <w:p w14:paraId="6DD0593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6CFB7E6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75" w:type="pct"/>
            <w:tcBorders>
              <w:bottom w:val="single" w:sz="12" w:space="0" w:color="auto"/>
            </w:tcBorders>
            <w:shd w:val="clear" w:color="auto" w:fill="auto"/>
          </w:tcPr>
          <w:p w14:paraId="072E07B9"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31</w:t>
            </w:r>
          </w:p>
        </w:tc>
        <w:tc>
          <w:tcPr>
            <w:tcW w:w="801" w:type="pct"/>
            <w:tcBorders>
              <w:bottom w:val="single" w:sz="12" w:space="0" w:color="auto"/>
            </w:tcBorders>
            <w:shd w:val="clear" w:color="auto" w:fill="auto"/>
          </w:tcPr>
          <w:p w14:paraId="0BEAFBE2"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50CDBF01"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85" w:type="pct"/>
            <w:tcBorders>
              <w:bottom w:val="single" w:sz="12" w:space="0" w:color="auto"/>
            </w:tcBorders>
            <w:shd w:val="clear" w:color="auto" w:fill="auto"/>
          </w:tcPr>
          <w:p w14:paraId="00256228"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36</w:t>
            </w:r>
          </w:p>
        </w:tc>
        <w:tc>
          <w:tcPr>
            <w:tcW w:w="718" w:type="pct"/>
            <w:tcBorders>
              <w:bottom w:val="single" w:sz="12" w:space="0" w:color="auto"/>
            </w:tcBorders>
            <w:shd w:val="clear" w:color="auto" w:fill="auto"/>
          </w:tcPr>
          <w:p w14:paraId="35335560"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0D5F0A3D"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429" w:type="pct"/>
            <w:tcBorders>
              <w:bottom w:val="single" w:sz="12" w:space="0" w:color="auto"/>
            </w:tcBorders>
            <w:shd w:val="clear" w:color="auto" w:fill="auto"/>
          </w:tcPr>
          <w:p w14:paraId="1218772B"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31</w:t>
            </w:r>
          </w:p>
        </w:tc>
        <w:tc>
          <w:tcPr>
            <w:tcW w:w="822" w:type="pct"/>
            <w:tcBorders>
              <w:bottom w:val="single" w:sz="12" w:space="0" w:color="auto"/>
            </w:tcBorders>
            <w:shd w:val="clear" w:color="auto" w:fill="auto"/>
          </w:tcPr>
          <w:p w14:paraId="4FA05827"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Ministère du développement social</w:t>
            </w:r>
          </w:p>
          <w:p w14:paraId="5562BE76" w14:textId="77777777" w:rsidR="00D005FA" w:rsidRPr="003C6A59" w:rsidRDefault="00D005FA" w:rsidP="004D6394">
            <w:pPr>
              <w:spacing w:before="40" w:after="120" w:line="220" w:lineRule="atLeast"/>
              <w:ind w:right="113"/>
              <w:rPr>
                <w:sz w:val="18"/>
                <w:szCs w:val="18"/>
                <w:lang w:val="fr-FR"/>
              </w:rPr>
            </w:pPr>
            <w:r w:rsidRPr="003C6A59">
              <w:rPr>
                <w:sz w:val="18"/>
                <w:szCs w:val="18"/>
                <w:lang w:val="fr-FR"/>
              </w:rPr>
              <w:t>Organisation Défense des Enfants-International</w:t>
            </w:r>
          </w:p>
        </w:tc>
        <w:tc>
          <w:tcPr>
            <w:tcW w:w="367" w:type="pct"/>
            <w:tcBorders>
              <w:bottom w:val="single" w:sz="12" w:space="0" w:color="auto"/>
            </w:tcBorders>
            <w:shd w:val="clear" w:color="auto" w:fill="auto"/>
          </w:tcPr>
          <w:p w14:paraId="48319D18" w14:textId="77777777" w:rsidR="00D005FA" w:rsidRPr="003C6A59" w:rsidRDefault="00D005FA" w:rsidP="003C6A59">
            <w:pPr>
              <w:spacing w:before="40" w:after="120"/>
              <w:ind w:right="113"/>
              <w:rPr>
                <w:sz w:val="18"/>
                <w:szCs w:val="18"/>
                <w:lang w:val="fr-FR" w:bidi="ar-JO"/>
              </w:rPr>
            </w:pPr>
            <w:r w:rsidRPr="003C6A59">
              <w:rPr>
                <w:sz w:val="18"/>
                <w:szCs w:val="18"/>
                <w:lang w:val="fr-FR" w:bidi="ar-JO"/>
              </w:rPr>
              <w:t>30</w:t>
            </w:r>
          </w:p>
          <w:p w14:paraId="32646E99" w14:textId="77777777" w:rsidR="00D005FA" w:rsidRPr="003C6A59" w:rsidRDefault="00D005FA" w:rsidP="003C6A59">
            <w:pPr>
              <w:spacing w:before="40" w:after="120"/>
              <w:ind w:right="113"/>
              <w:rPr>
                <w:sz w:val="18"/>
                <w:szCs w:val="18"/>
                <w:rtl/>
                <w:lang w:val="fr-FR" w:bidi="ar-JO"/>
              </w:rPr>
            </w:pPr>
            <w:r w:rsidRPr="003C6A59">
              <w:rPr>
                <w:sz w:val="18"/>
                <w:szCs w:val="18"/>
                <w:lang w:val="fr-FR" w:bidi="ar-JO"/>
              </w:rPr>
              <w:t>2</w:t>
            </w:r>
          </w:p>
        </w:tc>
      </w:tr>
    </w:tbl>
    <w:p w14:paraId="0B0D9412" w14:textId="77777777" w:rsidR="00D005FA" w:rsidRPr="00310D49" w:rsidRDefault="00D005FA" w:rsidP="00127FF7">
      <w:pPr>
        <w:pStyle w:val="H23G"/>
        <w:rPr>
          <w:lang w:val="fr-FR"/>
        </w:rPr>
      </w:pPr>
      <w:r w:rsidRPr="00310D49">
        <w:rPr>
          <w:lang w:val="fr-FR"/>
        </w:rPr>
        <w:tab/>
      </w:r>
      <w:r w:rsidRPr="00310D49">
        <w:rPr>
          <w:lang w:val="fr-FR"/>
        </w:rPr>
        <w:tab/>
        <w:t>Réinsertion</w:t>
      </w:r>
    </w:p>
    <w:p w14:paraId="22F62A51" w14:textId="17CC9DD4" w:rsidR="00D005FA" w:rsidRPr="00310D49" w:rsidRDefault="00D005FA" w:rsidP="00127FF7">
      <w:pPr>
        <w:pStyle w:val="SingleTxtG"/>
        <w:spacing w:before="120"/>
        <w:rPr>
          <w:lang w:val="fr-FR"/>
        </w:rPr>
      </w:pPr>
      <w:r w:rsidRPr="00310D49">
        <w:rPr>
          <w:lang w:val="fr-FR"/>
        </w:rPr>
        <w:t>234.</w:t>
      </w:r>
      <w:r w:rsidRPr="00310D49">
        <w:rPr>
          <w:lang w:val="fr-FR"/>
        </w:rPr>
        <w:tab/>
        <w:t>La Direction de l</w:t>
      </w:r>
      <w:r w:rsidR="0035332C">
        <w:rPr>
          <w:lang w:val="fr-FR"/>
        </w:rPr>
        <w:t>’</w:t>
      </w:r>
      <w:r w:rsidRPr="00310D49">
        <w:rPr>
          <w:lang w:val="fr-FR"/>
        </w:rPr>
        <w:t>administration pénitentiaire, en collaboration avec les ministères compétents, élabore des plans et programmes de réinsertion et d</w:t>
      </w:r>
      <w:r w:rsidR="0035332C">
        <w:rPr>
          <w:lang w:val="fr-FR"/>
        </w:rPr>
        <w:t>’</w:t>
      </w:r>
      <w:r w:rsidRPr="00310D49">
        <w:rPr>
          <w:lang w:val="fr-FR"/>
        </w:rPr>
        <w:t>éducation destinés à renforcer les compétences des détenus et à améliorer leur niveau d</w:t>
      </w:r>
      <w:r w:rsidR="0035332C">
        <w:rPr>
          <w:lang w:val="fr-FR"/>
        </w:rPr>
        <w:t>’</w:t>
      </w:r>
      <w:r w:rsidRPr="00310D49">
        <w:rPr>
          <w:lang w:val="fr-FR"/>
        </w:rPr>
        <w:t>instruction et leurs connaissances culturelles. En outre, la direction organise des cours d</w:t>
      </w:r>
      <w:r w:rsidR="0035332C">
        <w:rPr>
          <w:lang w:val="fr-FR"/>
        </w:rPr>
        <w:t>’</w:t>
      </w:r>
      <w:r w:rsidRPr="00310D49">
        <w:rPr>
          <w:lang w:val="fr-FR"/>
        </w:rPr>
        <w:t>alphabétisation. Le</w:t>
      </w:r>
      <w:r w:rsidR="004D6394">
        <w:rPr>
          <w:lang w:val="fr-FR"/>
        </w:rPr>
        <w:t> </w:t>
      </w:r>
      <w:r w:rsidRPr="00310D49">
        <w:rPr>
          <w:lang w:val="fr-FR"/>
        </w:rPr>
        <w:t>tableau ci-après présente l</w:t>
      </w:r>
      <w:r w:rsidR="0035332C">
        <w:rPr>
          <w:lang w:val="fr-FR"/>
        </w:rPr>
        <w:t>’</w:t>
      </w:r>
      <w:r w:rsidRPr="00310D49">
        <w:rPr>
          <w:lang w:val="fr-FR"/>
        </w:rPr>
        <w:t xml:space="preserve">évolution du nombre de détenus adultes ayant suivi des études dans les centres de détention de la Direction générale de la police. </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1418"/>
        <w:gridCol w:w="2409"/>
        <w:gridCol w:w="2267"/>
      </w:tblGrid>
      <w:tr w:rsidR="00127FF7" w:rsidRPr="00127FF7" w14:paraId="366CD656" w14:textId="77777777" w:rsidTr="00EB437D">
        <w:trPr>
          <w:tblHeader/>
        </w:trPr>
        <w:tc>
          <w:tcPr>
            <w:tcW w:w="1276" w:type="dxa"/>
            <w:tcBorders>
              <w:top w:val="single" w:sz="4" w:space="0" w:color="auto"/>
              <w:bottom w:val="single" w:sz="12" w:space="0" w:color="auto"/>
            </w:tcBorders>
            <w:shd w:val="clear" w:color="auto" w:fill="auto"/>
            <w:vAlign w:val="bottom"/>
          </w:tcPr>
          <w:p w14:paraId="58C22C9B" w14:textId="77777777" w:rsidR="00D005FA" w:rsidRPr="00127FF7" w:rsidRDefault="00D005FA" w:rsidP="00127FF7">
            <w:pPr>
              <w:suppressAutoHyphens w:val="0"/>
              <w:spacing w:before="80" w:after="80" w:line="200" w:lineRule="exact"/>
              <w:rPr>
                <w:i/>
                <w:sz w:val="16"/>
                <w:lang w:val="fr-FR"/>
              </w:rPr>
            </w:pPr>
            <w:r w:rsidRPr="00127FF7">
              <w:rPr>
                <w:i/>
                <w:sz w:val="16"/>
                <w:lang w:val="fr-FR"/>
              </w:rPr>
              <w:t>Programme</w:t>
            </w:r>
          </w:p>
        </w:tc>
        <w:tc>
          <w:tcPr>
            <w:tcW w:w="1418" w:type="dxa"/>
            <w:tcBorders>
              <w:top w:val="single" w:sz="4" w:space="0" w:color="auto"/>
              <w:bottom w:val="single" w:sz="12" w:space="0" w:color="auto"/>
            </w:tcBorders>
            <w:shd w:val="clear" w:color="auto" w:fill="auto"/>
            <w:vAlign w:val="bottom"/>
          </w:tcPr>
          <w:p w14:paraId="2C362594" w14:textId="77777777" w:rsidR="00D005FA" w:rsidRPr="00127FF7" w:rsidRDefault="00D005FA" w:rsidP="00127FF7">
            <w:pPr>
              <w:suppressAutoHyphens w:val="0"/>
              <w:spacing w:before="80" w:after="80" w:line="200" w:lineRule="exact"/>
              <w:jc w:val="right"/>
              <w:rPr>
                <w:i/>
                <w:sz w:val="16"/>
                <w:lang w:val="fr-FR"/>
              </w:rPr>
            </w:pPr>
            <w:r w:rsidRPr="00127FF7">
              <w:rPr>
                <w:i/>
                <w:sz w:val="16"/>
                <w:lang w:val="fr-FR"/>
              </w:rPr>
              <w:t>Alphabétisation</w:t>
            </w:r>
          </w:p>
        </w:tc>
        <w:tc>
          <w:tcPr>
            <w:tcW w:w="2409" w:type="dxa"/>
            <w:tcBorders>
              <w:top w:val="single" w:sz="4" w:space="0" w:color="auto"/>
              <w:bottom w:val="single" w:sz="12" w:space="0" w:color="auto"/>
            </w:tcBorders>
            <w:shd w:val="clear" w:color="auto" w:fill="auto"/>
            <w:vAlign w:val="bottom"/>
          </w:tcPr>
          <w:p w14:paraId="344C6E7E" w14:textId="0CF2A680" w:rsidR="00D005FA" w:rsidRPr="00127FF7" w:rsidRDefault="00D005FA" w:rsidP="00127FF7">
            <w:pPr>
              <w:suppressAutoHyphens w:val="0"/>
              <w:spacing w:before="80" w:after="80" w:line="200" w:lineRule="exact"/>
              <w:jc w:val="right"/>
              <w:rPr>
                <w:i/>
                <w:sz w:val="16"/>
                <w:lang w:val="fr-FR"/>
              </w:rPr>
            </w:pPr>
            <w:r w:rsidRPr="00127FF7">
              <w:rPr>
                <w:i/>
                <w:sz w:val="16"/>
                <w:lang w:val="fr-FR"/>
              </w:rPr>
              <w:t xml:space="preserve">Enseignement parallèle </w:t>
            </w:r>
            <w:r w:rsidR="00EB437D">
              <w:rPr>
                <w:i/>
                <w:sz w:val="16"/>
                <w:lang w:val="fr-FR"/>
              </w:rPr>
              <w:br/>
            </w:r>
            <w:r w:rsidRPr="00127FF7">
              <w:rPr>
                <w:i/>
                <w:sz w:val="16"/>
                <w:lang w:val="fr-FR"/>
              </w:rPr>
              <w:t>(premier cycle du secondaire)</w:t>
            </w:r>
          </w:p>
        </w:tc>
        <w:tc>
          <w:tcPr>
            <w:tcW w:w="2267" w:type="dxa"/>
            <w:tcBorders>
              <w:top w:val="single" w:sz="4" w:space="0" w:color="auto"/>
              <w:bottom w:val="single" w:sz="12" w:space="0" w:color="auto"/>
            </w:tcBorders>
            <w:shd w:val="clear" w:color="auto" w:fill="auto"/>
            <w:vAlign w:val="bottom"/>
          </w:tcPr>
          <w:p w14:paraId="73379570" w14:textId="69B62D3F" w:rsidR="00D005FA" w:rsidRPr="00127FF7" w:rsidRDefault="00D005FA" w:rsidP="00127FF7">
            <w:pPr>
              <w:suppressAutoHyphens w:val="0"/>
              <w:spacing w:before="80" w:after="80" w:line="200" w:lineRule="exact"/>
              <w:jc w:val="right"/>
              <w:rPr>
                <w:i/>
                <w:sz w:val="16"/>
                <w:lang w:val="fr-FR"/>
              </w:rPr>
            </w:pPr>
            <w:r w:rsidRPr="00127FF7">
              <w:rPr>
                <w:i/>
                <w:sz w:val="16"/>
                <w:lang w:val="fr-FR"/>
              </w:rPr>
              <w:t xml:space="preserve">Enseignement général </w:t>
            </w:r>
            <w:r w:rsidR="00EB437D">
              <w:rPr>
                <w:i/>
                <w:sz w:val="16"/>
                <w:lang w:val="fr-FR"/>
              </w:rPr>
              <w:br/>
            </w:r>
            <w:r w:rsidRPr="00127FF7">
              <w:rPr>
                <w:i/>
                <w:sz w:val="16"/>
                <w:lang w:val="fr-FR"/>
              </w:rPr>
              <w:t>(deuxième cycle du secondaire)</w:t>
            </w:r>
          </w:p>
        </w:tc>
      </w:tr>
      <w:tr w:rsidR="00127FF7" w:rsidRPr="00127FF7" w14:paraId="55EB70C7" w14:textId="77777777" w:rsidTr="00EB437D">
        <w:tc>
          <w:tcPr>
            <w:tcW w:w="1276" w:type="dxa"/>
            <w:tcBorders>
              <w:top w:val="single" w:sz="12" w:space="0" w:color="auto"/>
            </w:tcBorders>
            <w:shd w:val="clear" w:color="auto" w:fill="auto"/>
          </w:tcPr>
          <w:p w14:paraId="08676368" w14:textId="77777777" w:rsidR="00D005FA" w:rsidRPr="00127FF7" w:rsidRDefault="00D005FA" w:rsidP="00127FF7">
            <w:pPr>
              <w:suppressAutoHyphens w:val="0"/>
              <w:spacing w:before="40" w:after="40" w:line="220" w:lineRule="exact"/>
              <w:rPr>
                <w:sz w:val="18"/>
                <w:lang w:val="fr-FR"/>
              </w:rPr>
            </w:pPr>
            <w:r w:rsidRPr="00127FF7">
              <w:rPr>
                <w:sz w:val="18"/>
                <w:lang w:val="fr-FR"/>
              </w:rPr>
              <w:t>2015</w:t>
            </w:r>
          </w:p>
        </w:tc>
        <w:tc>
          <w:tcPr>
            <w:tcW w:w="1418" w:type="dxa"/>
            <w:tcBorders>
              <w:top w:val="single" w:sz="12" w:space="0" w:color="auto"/>
            </w:tcBorders>
            <w:shd w:val="clear" w:color="auto" w:fill="auto"/>
            <w:vAlign w:val="bottom"/>
          </w:tcPr>
          <w:p w14:paraId="015D4F2C"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73</w:t>
            </w:r>
          </w:p>
        </w:tc>
        <w:tc>
          <w:tcPr>
            <w:tcW w:w="2409" w:type="dxa"/>
            <w:tcBorders>
              <w:top w:val="single" w:sz="12" w:space="0" w:color="auto"/>
            </w:tcBorders>
            <w:shd w:val="clear" w:color="auto" w:fill="auto"/>
            <w:vAlign w:val="bottom"/>
          </w:tcPr>
          <w:p w14:paraId="73B2FBE9"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25</w:t>
            </w:r>
          </w:p>
        </w:tc>
        <w:tc>
          <w:tcPr>
            <w:tcW w:w="2267" w:type="dxa"/>
            <w:tcBorders>
              <w:top w:val="single" w:sz="12" w:space="0" w:color="auto"/>
            </w:tcBorders>
            <w:shd w:val="clear" w:color="auto" w:fill="auto"/>
            <w:vAlign w:val="bottom"/>
          </w:tcPr>
          <w:p w14:paraId="34770AF0"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22</w:t>
            </w:r>
          </w:p>
        </w:tc>
      </w:tr>
      <w:tr w:rsidR="00127FF7" w:rsidRPr="00127FF7" w14:paraId="4A94BF4B" w14:textId="77777777" w:rsidTr="00EB437D">
        <w:tc>
          <w:tcPr>
            <w:tcW w:w="1276" w:type="dxa"/>
            <w:shd w:val="clear" w:color="auto" w:fill="auto"/>
          </w:tcPr>
          <w:p w14:paraId="44526918" w14:textId="77777777" w:rsidR="00D005FA" w:rsidRPr="00127FF7" w:rsidRDefault="00D005FA" w:rsidP="00127FF7">
            <w:pPr>
              <w:suppressAutoHyphens w:val="0"/>
              <w:spacing w:before="40" w:after="40" w:line="220" w:lineRule="exact"/>
              <w:rPr>
                <w:sz w:val="18"/>
                <w:lang w:val="fr-FR"/>
              </w:rPr>
            </w:pPr>
            <w:r w:rsidRPr="00127FF7">
              <w:rPr>
                <w:sz w:val="18"/>
                <w:lang w:val="fr-FR"/>
              </w:rPr>
              <w:t>2016</w:t>
            </w:r>
          </w:p>
        </w:tc>
        <w:tc>
          <w:tcPr>
            <w:tcW w:w="1418" w:type="dxa"/>
            <w:shd w:val="clear" w:color="auto" w:fill="auto"/>
            <w:vAlign w:val="bottom"/>
          </w:tcPr>
          <w:p w14:paraId="28969FA7"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64</w:t>
            </w:r>
          </w:p>
        </w:tc>
        <w:tc>
          <w:tcPr>
            <w:tcW w:w="2409" w:type="dxa"/>
            <w:shd w:val="clear" w:color="auto" w:fill="auto"/>
            <w:vAlign w:val="bottom"/>
          </w:tcPr>
          <w:p w14:paraId="35778CA8"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23</w:t>
            </w:r>
          </w:p>
        </w:tc>
        <w:tc>
          <w:tcPr>
            <w:tcW w:w="2267" w:type="dxa"/>
            <w:shd w:val="clear" w:color="auto" w:fill="auto"/>
            <w:vAlign w:val="bottom"/>
          </w:tcPr>
          <w:p w14:paraId="465BCB58"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5</w:t>
            </w:r>
          </w:p>
        </w:tc>
      </w:tr>
      <w:tr w:rsidR="00127FF7" w:rsidRPr="00127FF7" w14:paraId="4D88AF86" w14:textId="77777777" w:rsidTr="00EB437D">
        <w:tc>
          <w:tcPr>
            <w:tcW w:w="1276" w:type="dxa"/>
            <w:tcBorders>
              <w:bottom w:val="single" w:sz="12" w:space="0" w:color="auto"/>
            </w:tcBorders>
            <w:shd w:val="clear" w:color="auto" w:fill="auto"/>
          </w:tcPr>
          <w:p w14:paraId="477B6F4C" w14:textId="77777777" w:rsidR="00D005FA" w:rsidRPr="00127FF7" w:rsidRDefault="00D005FA" w:rsidP="00127FF7">
            <w:pPr>
              <w:suppressAutoHyphens w:val="0"/>
              <w:spacing w:before="40" w:after="40" w:line="220" w:lineRule="exact"/>
              <w:rPr>
                <w:sz w:val="18"/>
                <w:lang w:val="fr-FR"/>
              </w:rPr>
            </w:pPr>
            <w:r w:rsidRPr="00127FF7">
              <w:rPr>
                <w:sz w:val="18"/>
                <w:lang w:val="fr-FR"/>
              </w:rPr>
              <w:t>2017</w:t>
            </w:r>
          </w:p>
        </w:tc>
        <w:tc>
          <w:tcPr>
            <w:tcW w:w="1418" w:type="dxa"/>
            <w:tcBorders>
              <w:bottom w:val="single" w:sz="12" w:space="0" w:color="auto"/>
            </w:tcBorders>
            <w:shd w:val="clear" w:color="auto" w:fill="auto"/>
            <w:vAlign w:val="bottom"/>
          </w:tcPr>
          <w:p w14:paraId="65698249"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36</w:t>
            </w:r>
          </w:p>
        </w:tc>
        <w:tc>
          <w:tcPr>
            <w:tcW w:w="2409" w:type="dxa"/>
            <w:tcBorders>
              <w:bottom w:val="single" w:sz="12" w:space="0" w:color="auto"/>
            </w:tcBorders>
            <w:shd w:val="clear" w:color="auto" w:fill="auto"/>
            <w:vAlign w:val="bottom"/>
          </w:tcPr>
          <w:p w14:paraId="1BB815E5"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17</w:t>
            </w:r>
          </w:p>
        </w:tc>
        <w:tc>
          <w:tcPr>
            <w:tcW w:w="2267" w:type="dxa"/>
            <w:tcBorders>
              <w:bottom w:val="single" w:sz="12" w:space="0" w:color="auto"/>
            </w:tcBorders>
            <w:shd w:val="clear" w:color="auto" w:fill="auto"/>
            <w:vAlign w:val="bottom"/>
          </w:tcPr>
          <w:p w14:paraId="002CB0D6" w14:textId="77777777" w:rsidR="00D005FA" w:rsidRPr="00127FF7" w:rsidRDefault="00D005FA" w:rsidP="00127FF7">
            <w:pPr>
              <w:suppressAutoHyphens w:val="0"/>
              <w:spacing w:before="40" w:after="40" w:line="220" w:lineRule="exact"/>
              <w:jc w:val="right"/>
              <w:rPr>
                <w:sz w:val="18"/>
                <w:rtl/>
                <w:lang w:val="fr-FR" w:bidi="ar-JO"/>
              </w:rPr>
            </w:pPr>
            <w:r w:rsidRPr="00127FF7">
              <w:rPr>
                <w:sz w:val="18"/>
                <w:rtl/>
                <w:lang w:bidi="ar-JO"/>
              </w:rPr>
              <w:t>12</w:t>
            </w:r>
          </w:p>
        </w:tc>
      </w:tr>
    </w:tbl>
    <w:p w14:paraId="0FC280D9" w14:textId="5DBCB324" w:rsidR="00D005FA" w:rsidRPr="00310D49" w:rsidRDefault="00D005FA" w:rsidP="004D6394">
      <w:pPr>
        <w:pStyle w:val="SingleTxtG"/>
        <w:spacing w:before="240"/>
        <w:rPr>
          <w:lang w:val="fr-FR"/>
        </w:rPr>
      </w:pPr>
      <w:r w:rsidRPr="00310D49">
        <w:rPr>
          <w:lang w:val="fr-FR"/>
        </w:rPr>
        <w:t>235.</w:t>
      </w:r>
      <w:r w:rsidRPr="00310D49">
        <w:rPr>
          <w:lang w:val="fr-FR"/>
        </w:rPr>
        <w:tab/>
        <w:t>L</w:t>
      </w:r>
      <w:r w:rsidR="0035332C">
        <w:rPr>
          <w:lang w:val="fr-FR"/>
        </w:rPr>
        <w:t>’</w:t>
      </w:r>
      <w:r w:rsidRPr="00310D49">
        <w:rPr>
          <w:lang w:val="fr-FR"/>
        </w:rPr>
        <w:t>article 41 de la loi sur les établissements pénitentiaires exige que les détenus apprennent un métier ou une profession et bénéficient d</w:t>
      </w:r>
      <w:r w:rsidR="0035332C">
        <w:rPr>
          <w:lang w:val="fr-FR"/>
        </w:rPr>
        <w:t>’</w:t>
      </w:r>
      <w:r w:rsidRPr="00310D49">
        <w:rPr>
          <w:lang w:val="fr-FR"/>
        </w:rPr>
        <w:t>une formation professionnelle pendant l</w:t>
      </w:r>
      <w:r w:rsidR="0035332C">
        <w:rPr>
          <w:lang w:val="fr-FR"/>
        </w:rPr>
        <w:t>’</w:t>
      </w:r>
      <w:r w:rsidRPr="00310D49">
        <w:rPr>
          <w:lang w:val="fr-FR"/>
        </w:rPr>
        <w:t>exécution de leur peine, ce qui leur permettra de gagner leur vie après leur remise en liberté. Ainsi, la Direction de l</w:t>
      </w:r>
      <w:r w:rsidR="0035332C">
        <w:rPr>
          <w:lang w:val="fr-FR"/>
        </w:rPr>
        <w:t>’</w:t>
      </w:r>
      <w:r w:rsidRPr="00310D49">
        <w:rPr>
          <w:lang w:val="fr-FR"/>
        </w:rPr>
        <w:t>administration pénitentiaire soumet un grand nombre de détenus à une formation spécialisée dans divers domaines tels que la cuisine, la cordonnerie, la photographie, le dessin, la coiffure, la broderie. Au total, 97</w:t>
      </w:r>
      <w:r w:rsidR="004D6394">
        <w:rPr>
          <w:lang w:val="fr-FR"/>
        </w:rPr>
        <w:t> </w:t>
      </w:r>
      <w:r w:rsidRPr="00310D49">
        <w:rPr>
          <w:lang w:val="fr-FR"/>
        </w:rPr>
        <w:t>détenus des différents établissements pénitentiaires ont bénéficié de ces programmes de formation en 2015, contre 69 en 2016.</w:t>
      </w:r>
    </w:p>
    <w:p w14:paraId="33D5CC8A" w14:textId="77777777" w:rsidR="00D005FA" w:rsidRPr="00310D49" w:rsidRDefault="00D005FA" w:rsidP="00EB437D">
      <w:pPr>
        <w:pStyle w:val="H23G"/>
        <w:rPr>
          <w:color w:val="000000"/>
          <w:lang w:val="fr-FR"/>
        </w:rPr>
      </w:pPr>
      <w:r w:rsidRPr="00310D49">
        <w:rPr>
          <w:lang w:val="fr-FR"/>
        </w:rPr>
        <w:tab/>
      </w:r>
      <w:r w:rsidRPr="00310D49">
        <w:rPr>
          <w:lang w:val="fr-FR"/>
        </w:rPr>
        <w:tab/>
        <w:t>Maisons de retraite</w:t>
      </w:r>
    </w:p>
    <w:p w14:paraId="2C149D74" w14:textId="1E6AC1FE" w:rsidR="00D005FA" w:rsidRPr="00310D49" w:rsidRDefault="00D005FA" w:rsidP="00EB437D">
      <w:pPr>
        <w:pStyle w:val="SingleTxtG"/>
        <w:spacing w:before="120"/>
        <w:rPr>
          <w:lang w:val="fr-FR"/>
        </w:rPr>
      </w:pPr>
      <w:r w:rsidRPr="00310D49">
        <w:rPr>
          <w:lang w:val="fr-FR"/>
        </w:rPr>
        <w:t>236.</w:t>
      </w:r>
      <w:r w:rsidRPr="00310D49">
        <w:rPr>
          <w:lang w:val="fr-FR"/>
        </w:rPr>
        <w:tab/>
        <w:t>Le centre «</w:t>
      </w:r>
      <w:r w:rsidR="009C29ED">
        <w:rPr>
          <w:lang w:val="fr-FR"/>
        </w:rPr>
        <w:t> </w:t>
      </w:r>
      <w:r w:rsidRPr="00310D49">
        <w:rPr>
          <w:lang w:val="fr-FR"/>
        </w:rPr>
        <w:t>Maison des grands-parents</w:t>
      </w:r>
      <w:r w:rsidR="009C29ED">
        <w:rPr>
          <w:lang w:val="fr-FR"/>
        </w:rPr>
        <w:t> </w:t>
      </w:r>
      <w:r w:rsidRPr="00310D49">
        <w:rPr>
          <w:lang w:val="fr-FR"/>
        </w:rPr>
        <w:t>» est le seul établissement public dédié aux personnes âgées. Ce centre relève du Ministère du développement social et a pour mission de protéger les personnes âgées qui ont perdu leur soutien de famille et d</w:t>
      </w:r>
      <w:r w:rsidR="0035332C">
        <w:rPr>
          <w:lang w:val="fr-FR"/>
        </w:rPr>
        <w:t>’</w:t>
      </w:r>
      <w:r w:rsidRPr="00310D49">
        <w:rPr>
          <w:lang w:val="fr-FR"/>
        </w:rPr>
        <w:t>en prend</w:t>
      </w:r>
      <w:r w:rsidR="009C29ED">
        <w:rPr>
          <w:lang w:val="fr-FR"/>
        </w:rPr>
        <w:t>re</w:t>
      </w:r>
      <w:r w:rsidRPr="00310D49">
        <w:rPr>
          <w:lang w:val="fr-FR"/>
        </w:rPr>
        <w:t xml:space="preserve"> soin, en</w:t>
      </w:r>
      <w:r w:rsidR="009C29ED">
        <w:rPr>
          <w:lang w:val="fr-FR"/>
        </w:rPr>
        <w:t> </w:t>
      </w:r>
      <w:r w:rsidRPr="00310D49">
        <w:rPr>
          <w:lang w:val="fr-FR"/>
        </w:rPr>
        <w:t>leur fournissant des services de base et des soins de santé dans des conditions sociales et psychologiques décentes et dans un cadre de vie adapté. Le Ministère du développement social a élaboré le plan stratégique national de prise en charge des personnes âgées pour la période 2016-2020.</w:t>
      </w:r>
    </w:p>
    <w:p w14:paraId="2DE94462" w14:textId="27F69367" w:rsidR="00D005FA" w:rsidRPr="00310D49" w:rsidRDefault="00EB437D" w:rsidP="00EB437D">
      <w:pPr>
        <w:pStyle w:val="H23G"/>
        <w:rPr>
          <w:color w:val="000000"/>
          <w:lang w:val="fr-FR"/>
        </w:rPr>
      </w:pPr>
      <w:r>
        <w:rPr>
          <w:lang w:val="fr-FR"/>
        </w:rPr>
        <w:tab/>
      </w:r>
      <w:r>
        <w:rPr>
          <w:lang w:val="fr-FR"/>
        </w:rPr>
        <w:tab/>
      </w:r>
      <w:r w:rsidR="00D005FA" w:rsidRPr="00310D49">
        <w:rPr>
          <w:lang w:val="fr-FR"/>
        </w:rPr>
        <w:t>Détenus palestiniens dans les prisons israéliennes</w:t>
      </w:r>
    </w:p>
    <w:p w14:paraId="68F123E3" w14:textId="22CAD0A1" w:rsidR="00D005FA" w:rsidRPr="00310D49" w:rsidRDefault="00D005FA" w:rsidP="00EB437D">
      <w:pPr>
        <w:pStyle w:val="SingleTxtG"/>
        <w:spacing w:before="120"/>
        <w:rPr>
          <w:color w:val="000000"/>
          <w:spacing w:val="-2"/>
          <w:lang w:val="fr-FR"/>
        </w:rPr>
      </w:pPr>
      <w:r w:rsidRPr="00310D49">
        <w:rPr>
          <w:lang w:val="fr-FR"/>
        </w:rPr>
        <w:t>237.</w:t>
      </w:r>
      <w:r w:rsidRPr="00310D49">
        <w:rPr>
          <w:lang w:val="fr-FR"/>
        </w:rPr>
        <w:tab/>
        <w:t>L</w:t>
      </w:r>
      <w:r w:rsidR="0035332C">
        <w:rPr>
          <w:lang w:val="fr-FR"/>
        </w:rPr>
        <w:t>’</w:t>
      </w:r>
      <w:r w:rsidRPr="00310D49">
        <w:rPr>
          <w:lang w:val="fr-FR"/>
        </w:rPr>
        <w:t>administration pénitentiaire israélienne continue de bafouer les droits fondamentaux des prisonniers et des détenus palestiniens. Des centaines d</w:t>
      </w:r>
      <w:r w:rsidR="0035332C">
        <w:rPr>
          <w:lang w:val="fr-FR"/>
        </w:rPr>
        <w:t>’</w:t>
      </w:r>
      <w:r w:rsidRPr="00310D49">
        <w:rPr>
          <w:lang w:val="fr-FR"/>
        </w:rPr>
        <w:t xml:space="preserve">entre </w:t>
      </w:r>
      <w:r w:rsidR="009C29ED">
        <w:rPr>
          <w:lang w:val="fr-FR"/>
        </w:rPr>
        <w:t xml:space="preserve">eux </w:t>
      </w:r>
      <w:r w:rsidRPr="00310D49">
        <w:rPr>
          <w:lang w:val="fr-FR"/>
        </w:rPr>
        <w:t>sont toujours privés de leur droit de recevoir des visites familiales et de leur droit à l</w:t>
      </w:r>
      <w:r w:rsidR="0035332C">
        <w:rPr>
          <w:lang w:val="fr-FR"/>
        </w:rPr>
        <w:t>’</w:t>
      </w:r>
      <w:r w:rsidRPr="00310D49">
        <w:rPr>
          <w:lang w:val="fr-FR"/>
        </w:rPr>
        <w:t>éducation et aux soins médicaux, et ils sont soumis à diverses méthodes et moyens de torture qui constituent une violation du droit d</w:t>
      </w:r>
      <w:r w:rsidR="0035332C">
        <w:rPr>
          <w:lang w:val="fr-FR"/>
        </w:rPr>
        <w:t>’</w:t>
      </w:r>
      <w:r w:rsidRPr="00310D49">
        <w:rPr>
          <w:lang w:val="fr-FR"/>
        </w:rPr>
        <w:t>être traité avec humanité, comme le transfert d</w:t>
      </w:r>
      <w:r w:rsidR="0035332C">
        <w:rPr>
          <w:lang w:val="fr-FR"/>
        </w:rPr>
        <w:t>’</w:t>
      </w:r>
      <w:r w:rsidRPr="00310D49">
        <w:rPr>
          <w:lang w:val="fr-FR"/>
        </w:rPr>
        <w:t>une prison à l</w:t>
      </w:r>
      <w:r w:rsidR="0035332C">
        <w:rPr>
          <w:lang w:val="fr-FR"/>
        </w:rPr>
        <w:t>’</w:t>
      </w:r>
      <w:r w:rsidRPr="00310D49">
        <w:rPr>
          <w:lang w:val="fr-FR"/>
        </w:rPr>
        <w:t>autre ou aux tribunaux lors de longs trajets dans un véhicule appelé «</w:t>
      </w:r>
      <w:r w:rsidR="009C29ED">
        <w:rPr>
          <w:lang w:val="fr-FR"/>
        </w:rPr>
        <w:t> </w:t>
      </w:r>
      <w:r w:rsidRPr="00310D49">
        <w:rPr>
          <w:lang w:val="fr-FR"/>
        </w:rPr>
        <w:t>Bost</w:t>
      </w:r>
      <w:r w:rsidR="009C29ED">
        <w:rPr>
          <w:lang w:val="fr-FR"/>
        </w:rPr>
        <w:t>a </w:t>
      </w:r>
      <w:r w:rsidRPr="00310D49">
        <w:rPr>
          <w:lang w:val="fr-FR"/>
        </w:rPr>
        <w:t>» et dans des conditions provoquant épuisement et douleurs.</w:t>
      </w:r>
    </w:p>
    <w:p w14:paraId="05FAB5D4" w14:textId="3071B5B3" w:rsidR="00D005FA" w:rsidRPr="00310D49" w:rsidRDefault="00D005FA" w:rsidP="00EB437D">
      <w:pPr>
        <w:pStyle w:val="SingleTxtG"/>
        <w:spacing w:before="120"/>
        <w:rPr>
          <w:lang w:val="fr-FR"/>
        </w:rPr>
      </w:pPr>
      <w:r w:rsidRPr="00310D49">
        <w:rPr>
          <w:lang w:val="fr-FR"/>
        </w:rPr>
        <w:t>238.</w:t>
      </w:r>
      <w:r w:rsidRPr="00310D49">
        <w:rPr>
          <w:lang w:val="fr-FR"/>
        </w:rPr>
        <w:tab/>
        <w:t>Entre 1967 et juillet 2019, 220 prisonniers palestiniens sont décédés en martyrs dans les prisons israéliennes</w:t>
      </w:r>
      <w:r w:rsidR="00A53B5A">
        <w:rPr>
          <w:lang w:val="fr-FR"/>
        </w:rPr>
        <w:t> </w:t>
      </w:r>
      <w:r w:rsidRPr="00310D49">
        <w:rPr>
          <w:lang w:val="fr-FR"/>
        </w:rPr>
        <w:t>: 75 par homicide volontaire, 7 par balles tirées contre eux à bout portant dans l</w:t>
      </w:r>
      <w:r w:rsidR="0035332C">
        <w:rPr>
          <w:lang w:val="fr-FR"/>
        </w:rPr>
        <w:t>’</w:t>
      </w:r>
      <w:r w:rsidRPr="00310D49">
        <w:rPr>
          <w:lang w:val="fr-FR"/>
        </w:rPr>
        <w:t xml:space="preserve">enceinte de la prison, 65 du fait de la politique de négligence médicale </w:t>
      </w:r>
      <w:r w:rsidRPr="00310D49">
        <w:rPr>
          <w:lang w:val="fr-FR"/>
        </w:rPr>
        <w:lastRenderedPageBreak/>
        <w:t xml:space="preserve">systématique généralisée poursuivie par Israël, considérée comme une forme de torture et de mauvais </w:t>
      </w:r>
      <w:r w:rsidRPr="00BD47DB">
        <w:rPr>
          <w:lang w:val="fr-FR"/>
        </w:rPr>
        <w:t>traitement infligé</w:t>
      </w:r>
      <w:r w:rsidR="00BD47DB" w:rsidRPr="00BD47DB">
        <w:rPr>
          <w:lang w:val="fr-FR"/>
        </w:rPr>
        <w:t>s</w:t>
      </w:r>
      <w:r w:rsidRPr="00BD47DB">
        <w:rPr>
          <w:lang w:val="fr-FR"/>
        </w:rPr>
        <w:t xml:space="preserve"> aux prisonniers</w:t>
      </w:r>
      <w:r w:rsidRPr="00310D49">
        <w:rPr>
          <w:lang w:val="fr-FR"/>
        </w:rPr>
        <w:t xml:space="preserve"> palestiniens et 73 sous la torture.</w:t>
      </w:r>
    </w:p>
    <w:p w14:paraId="7E1E2AE0" w14:textId="53D25424" w:rsidR="00D005FA" w:rsidRPr="00310D49" w:rsidRDefault="00D005FA" w:rsidP="00EB437D">
      <w:pPr>
        <w:pStyle w:val="SingleTxtG"/>
        <w:spacing w:before="120"/>
        <w:rPr>
          <w:lang w:val="fr-FR"/>
        </w:rPr>
      </w:pPr>
      <w:r w:rsidRPr="00310D49">
        <w:rPr>
          <w:lang w:val="fr-FR"/>
        </w:rPr>
        <w:t>239.</w:t>
      </w:r>
      <w:r w:rsidRPr="00310D49">
        <w:rPr>
          <w:lang w:val="fr-FR"/>
        </w:rPr>
        <w:tab/>
        <w:t>En 2018, plus de 1</w:t>
      </w:r>
      <w:r w:rsidR="009C29ED">
        <w:rPr>
          <w:lang w:val="fr-FR"/>
        </w:rPr>
        <w:t> </w:t>
      </w:r>
      <w:r w:rsidRPr="00310D49">
        <w:rPr>
          <w:lang w:val="fr-FR"/>
        </w:rPr>
        <w:t>800</w:t>
      </w:r>
      <w:r w:rsidR="009C29ED">
        <w:rPr>
          <w:lang w:val="fr-FR"/>
        </w:rPr>
        <w:t> </w:t>
      </w:r>
      <w:r w:rsidRPr="00310D49">
        <w:rPr>
          <w:lang w:val="fr-FR"/>
        </w:rPr>
        <w:t>prisonniers malades croupissaient dans les prisons israéliennes, soit environ le quart du nombre total de prisonniers, dont 26 atteints de cancer, au moins 80 présentant divers handicaps (physiques, psychologiques et sensoriels) et d</w:t>
      </w:r>
      <w:r w:rsidR="0035332C">
        <w:rPr>
          <w:lang w:val="fr-FR"/>
        </w:rPr>
        <w:t>’</w:t>
      </w:r>
      <w:r w:rsidRPr="00310D49">
        <w:rPr>
          <w:lang w:val="fr-FR"/>
        </w:rPr>
        <w:t>autres souffrant de maladies chroniques graves ou blessés par les forces d</w:t>
      </w:r>
      <w:r w:rsidR="0035332C">
        <w:rPr>
          <w:lang w:val="fr-FR"/>
        </w:rPr>
        <w:t>’</w:t>
      </w:r>
      <w:r w:rsidRPr="00310D49">
        <w:rPr>
          <w:lang w:val="fr-FR"/>
        </w:rPr>
        <w:t>occupation. Les détenus malades vivent dans des conditions dramatiques du fait de la négligence médicale délibérée, des tortures cruelles, des sévices qui leur sont infligés et de l</w:t>
      </w:r>
      <w:r w:rsidR="0035332C">
        <w:rPr>
          <w:lang w:val="fr-FR"/>
        </w:rPr>
        <w:t>’</w:t>
      </w:r>
      <w:r w:rsidRPr="00310D49">
        <w:rPr>
          <w:lang w:val="fr-FR"/>
        </w:rPr>
        <w:t>indifférence face à leurs souffrances. Livrés à leur propre sort, les détenus malades voient leur état de santé se dégrader.</w:t>
      </w:r>
    </w:p>
    <w:p w14:paraId="665FE1A9" w14:textId="6A6305DE" w:rsidR="00D005FA" w:rsidRPr="00310D49" w:rsidRDefault="00D005FA" w:rsidP="00EB437D">
      <w:pPr>
        <w:pStyle w:val="SingleTxtG"/>
        <w:spacing w:before="120"/>
        <w:rPr>
          <w:lang w:val="fr-FR"/>
        </w:rPr>
      </w:pPr>
      <w:r w:rsidRPr="00310D49">
        <w:rPr>
          <w:lang w:val="fr-FR"/>
        </w:rPr>
        <w:t>240.</w:t>
      </w:r>
      <w:r w:rsidRPr="00310D49">
        <w:rPr>
          <w:lang w:val="fr-FR"/>
        </w:rPr>
        <w:tab/>
        <w:t>Les femmes palestiniennes incarcérées dans les prisons israéliennes se trouvent également dans des conditions de santé précaires du fait de la politique de négligence médicale. Ainsi, elles sont privées de médicaments ou reçoivent des médicaments périmés et ne peuvent subir les interventions chirurgicales nécessaires. Les détenues palestiniennes souffrent également de l</w:t>
      </w:r>
      <w:r w:rsidR="0035332C">
        <w:rPr>
          <w:lang w:val="fr-FR"/>
        </w:rPr>
        <w:t>’</w:t>
      </w:r>
      <w:r w:rsidRPr="00310D49">
        <w:rPr>
          <w:lang w:val="fr-FR"/>
        </w:rPr>
        <w:t>absence de gynécologues, alors que plusieurs d</w:t>
      </w:r>
      <w:r w:rsidR="0035332C">
        <w:rPr>
          <w:lang w:val="fr-FR"/>
        </w:rPr>
        <w:t>’</w:t>
      </w:r>
      <w:r w:rsidRPr="00310D49">
        <w:rPr>
          <w:lang w:val="fr-FR"/>
        </w:rPr>
        <w:t>entre elles ont été arrêtées enceintes et ont été contraintes d</w:t>
      </w:r>
      <w:r w:rsidR="0035332C">
        <w:rPr>
          <w:lang w:val="fr-FR"/>
        </w:rPr>
        <w:t>’</w:t>
      </w:r>
      <w:r w:rsidRPr="00310D49">
        <w:rPr>
          <w:lang w:val="fr-FR"/>
        </w:rPr>
        <w:t>accoucher menottes aux poignets, malgré les douleurs de l</w:t>
      </w:r>
      <w:r w:rsidR="0035332C">
        <w:rPr>
          <w:lang w:val="fr-FR"/>
        </w:rPr>
        <w:t>’</w:t>
      </w:r>
      <w:r w:rsidRPr="00310D49">
        <w:rPr>
          <w:lang w:val="fr-FR"/>
        </w:rPr>
        <w:t>enfantement.</w:t>
      </w:r>
    </w:p>
    <w:p w14:paraId="07610E34" w14:textId="676666F1" w:rsidR="00D005FA" w:rsidRPr="00310D49" w:rsidRDefault="00D005FA" w:rsidP="00EB437D">
      <w:pPr>
        <w:pStyle w:val="SingleTxtG"/>
        <w:spacing w:before="120"/>
        <w:rPr>
          <w:color w:val="000000"/>
          <w:lang w:val="fr-FR"/>
        </w:rPr>
      </w:pPr>
      <w:r w:rsidRPr="00310D49">
        <w:rPr>
          <w:lang w:val="fr-FR"/>
        </w:rPr>
        <w:t>241.</w:t>
      </w:r>
      <w:r w:rsidRPr="00310D49">
        <w:rPr>
          <w:lang w:val="fr-FR"/>
        </w:rPr>
        <w:tab/>
        <w:t>La mise à l</w:t>
      </w:r>
      <w:r w:rsidR="0035332C">
        <w:rPr>
          <w:lang w:val="fr-FR"/>
        </w:rPr>
        <w:t>’</w:t>
      </w:r>
      <w:r w:rsidRPr="00310D49">
        <w:rPr>
          <w:lang w:val="fr-FR"/>
        </w:rPr>
        <w:t>isolement arbitraire constitue l</w:t>
      </w:r>
      <w:r w:rsidR="0035332C">
        <w:rPr>
          <w:lang w:val="fr-FR"/>
        </w:rPr>
        <w:t>’</w:t>
      </w:r>
      <w:r w:rsidRPr="00310D49">
        <w:rPr>
          <w:lang w:val="fr-FR"/>
        </w:rPr>
        <w:t>un des châtiments les plus sévères que l</w:t>
      </w:r>
      <w:r w:rsidR="0035332C">
        <w:rPr>
          <w:lang w:val="fr-FR"/>
        </w:rPr>
        <w:t>’</w:t>
      </w:r>
      <w:r w:rsidRPr="00310D49">
        <w:rPr>
          <w:lang w:val="fr-FR"/>
        </w:rPr>
        <w:t>administration pénitentiaire israélienne inflige aux détenus palestiniens, en les confinant pendant de longues périodes dans des cellules exiguës, sombres et sales ne répondant pas aux conditions minimales d</w:t>
      </w:r>
      <w:r w:rsidR="0035332C">
        <w:rPr>
          <w:lang w:val="fr-FR"/>
        </w:rPr>
        <w:t>’</w:t>
      </w:r>
      <w:r w:rsidRPr="00310D49">
        <w:rPr>
          <w:lang w:val="fr-FR"/>
        </w:rPr>
        <w:t>une vie digne. Ces conditions de détention entraînent de graves effets sur la santé physique et psychologique des détenus palestiniens.</w:t>
      </w:r>
    </w:p>
    <w:p w14:paraId="316A9365" w14:textId="194384E8" w:rsidR="00D005FA" w:rsidRPr="00310D49" w:rsidRDefault="00D005FA" w:rsidP="00EB437D">
      <w:pPr>
        <w:pStyle w:val="H1G"/>
        <w:rPr>
          <w:lang w:val="fr-FR"/>
        </w:rPr>
      </w:pPr>
      <w:r w:rsidRPr="00310D49">
        <w:rPr>
          <w:lang w:val="fr-FR"/>
        </w:rPr>
        <w:tab/>
      </w:r>
      <w:r w:rsidRPr="00310D49">
        <w:rPr>
          <w:lang w:val="fr-FR"/>
        </w:rPr>
        <w:tab/>
        <w:t>Article 11</w:t>
      </w:r>
      <w:bookmarkStart w:id="13" w:name="_Toc80715500"/>
      <w:bookmarkEnd w:id="13"/>
    </w:p>
    <w:p w14:paraId="60A54D80" w14:textId="0B068CDD" w:rsidR="00D005FA" w:rsidRPr="00310D49" w:rsidRDefault="00D005FA" w:rsidP="00EB437D">
      <w:pPr>
        <w:pStyle w:val="SingleTxtG"/>
        <w:spacing w:before="120"/>
        <w:rPr>
          <w:lang w:val="fr-FR"/>
        </w:rPr>
      </w:pPr>
      <w:r w:rsidRPr="00310D49">
        <w:rPr>
          <w:lang w:val="fr-FR"/>
        </w:rPr>
        <w:t>242.</w:t>
      </w:r>
      <w:r w:rsidRPr="00310D49">
        <w:rPr>
          <w:lang w:val="fr-FR"/>
        </w:rPr>
        <w:tab/>
        <w:t>La loi d</w:t>
      </w:r>
      <w:r w:rsidR="0035332C">
        <w:rPr>
          <w:lang w:val="fr-FR"/>
        </w:rPr>
        <w:t>’</w:t>
      </w:r>
      <w:r w:rsidRPr="00310D49">
        <w:rPr>
          <w:lang w:val="fr-FR"/>
        </w:rPr>
        <w:t>application n</w:t>
      </w:r>
      <w:r w:rsidR="009C29ED" w:rsidRPr="009C29ED">
        <w:rPr>
          <w:vertAlign w:val="superscript"/>
          <w:lang w:val="fr-FR"/>
        </w:rPr>
        <w:t>o</w:t>
      </w:r>
      <w:r w:rsidR="009C29ED">
        <w:rPr>
          <w:lang w:val="fr-FR"/>
        </w:rPr>
        <w:t> </w:t>
      </w:r>
      <w:r w:rsidRPr="00310D49">
        <w:rPr>
          <w:lang w:val="fr-FR"/>
        </w:rPr>
        <w:t>23 de 2005 régit les procédures de règlement et d</w:t>
      </w:r>
      <w:r w:rsidR="0035332C">
        <w:rPr>
          <w:lang w:val="fr-FR"/>
        </w:rPr>
        <w:t>’</w:t>
      </w:r>
      <w:r w:rsidRPr="00310D49">
        <w:rPr>
          <w:lang w:val="fr-FR"/>
        </w:rPr>
        <w:t>exécution des décisions de justice relatives aux obligations financières, y compris les dettes contractuelles. Les articles 155 et 156 de ladite loi disposent que le débiteur doit, après avoir reçu l</w:t>
      </w:r>
      <w:r w:rsidR="0035332C">
        <w:rPr>
          <w:lang w:val="fr-FR"/>
        </w:rPr>
        <w:t>’</w:t>
      </w:r>
      <w:r w:rsidRPr="00310D49">
        <w:rPr>
          <w:lang w:val="fr-FR"/>
        </w:rPr>
        <w:t>avis d</w:t>
      </w:r>
      <w:r w:rsidR="0035332C">
        <w:rPr>
          <w:lang w:val="fr-FR"/>
        </w:rPr>
        <w:t>’</w:t>
      </w:r>
      <w:r w:rsidRPr="00310D49">
        <w:rPr>
          <w:lang w:val="fr-FR"/>
        </w:rPr>
        <w:t>exécution, se rendre au service chargé de l</w:t>
      </w:r>
      <w:r w:rsidR="0035332C">
        <w:rPr>
          <w:lang w:val="fr-FR"/>
        </w:rPr>
        <w:t>’</w:t>
      </w:r>
      <w:r w:rsidRPr="00310D49">
        <w:rPr>
          <w:lang w:val="fr-FR"/>
        </w:rPr>
        <w:t>exécution des décisions et lui proposer un règlement adapté à sa capacité financière. Lorsque le débiteur ne propose pas un règlement convenable ou ne présente pas de garanties et le juge d</w:t>
      </w:r>
      <w:r w:rsidR="0035332C">
        <w:rPr>
          <w:lang w:val="fr-FR"/>
        </w:rPr>
        <w:t>’</w:t>
      </w:r>
      <w:r w:rsidRPr="00310D49">
        <w:rPr>
          <w:lang w:val="fr-FR"/>
        </w:rPr>
        <w:t>exécution estime que le débiteur a refusé ou négligé de régler les sommes dues alors qu</w:t>
      </w:r>
      <w:r w:rsidR="0035332C">
        <w:rPr>
          <w:lang w:val="fr-FR"/>
        </w:rPr>
        <w:t>’</w:t>
      </w:r>
      <w:r w:rsidRPr="00310D49">
        <w:rPr>
          <w:lang w:val="fr-FR"/>
        </w:rPr>
        <w:t>il avait en sa possession suffisamment d</w:t>
      </w:r>
      <w:r w:rsidR="0035332C">
        <w:rPr>
          <w:lang w:val="fr-FR"/>
        </w:rPr>
        <w:t>’</w:t>
      </w:r>
      <w:r w:rsidRPr="00310D49">
        <w:rPr>
          <w:lang w:val="fr-FR"/>
        </w:rPr>
        <w:t>argent pour s</w:t>
      </w:r>
      <w:r w:rsidR="0035332C">
        <w:rPr>
          <w:lang w:val="fr-FR"/>
        </w:rPr>
        <w:t>’</w:t>
      </w:r>
      <w:r w:rsidRPr="00310D49">
        <w:rPr>
          <w:lang w:val="fr-FR"/>
        </w:rPr>
        <w:t>acquitter de la créance judiciaire, qu</w:t>
      </w:r>
      <w:r w:rsidR="0035332C">
        <w:rPr>
          <w:lang w:val="fr-FR"/>
        </w:rPr>
        <w:t>’</w:t>
      </w:r>
      <w:r w:rsidRPr="00310D49">
        <w:rPr>
          <w:lang w:val="fr-FR"/>
        </w:rPr>
        <w:t>il a livré à un tiers certains de ses biens ou les a caché</w:t>
      </w:r>
      <w:r w:rsidR="009C29ED">
        <w:rPr>
          <w:lang w:val="fr-FR"/>
        </w:rPr>
        <w:t>s</w:t>
      </w:r>
      <w:r w:rsidRPr="00310D49">
        <w:rPr>
          <w:lang w:val="fr-FR"/>
        </w:rPr>
        <w:t xml:space="preserve"> de sorte à empêcher le créancier de recouvrir sa créance ou qu</w:t>
      </w:r>
      <w:r w:rsidR="0035332C">
        <w:rPr>
          <w:lang w:val="fr-FR"/>
        </w:rPr>
        <w:t>’</w:t>
      </w:r>
      <w:r w:rsidRPr="00310D49">
        <w:rPr>
          <w:lang w:val="fr-FR"/>
        </w:rPr>
        <w:t>il entend s</w:t>
      </w:r>
      <w:r w:rsidR="0035332C">
        <w:rPr>
          <w:lang w:val="fr-FR"/>
        </w:rPr>
        <w:t>’</w:t>
      </w:r>
      <w:r w:rsidRPr="00310D49">
        <w:rPr>
          <w:lang w:val="fr-FR"/>
        </w:rPr>
        <w:t>évader sans s</w:t>
      </w:r>
      <w:r w:rsidR="0035332C">
        <w:rPr>
          <w:lang w:val="fr-FR"/>
        </w:rPr>
        <w:t>’</w:t>
      </w:r>
      <w:r w:rsidRPr="00310D49">
        <w:rPr>
          <w:lang w:val="fr-FR"/>
        </w:rPr>
        <w:t>acquitter de la créance judiciaire, le juge d</w:t>
      </w:r>
      <w:r w:rsidR="0035332C">
        <w:rPr>
          <w:lang w:val="fr-FR"/>
        </w:rPr>
        <w:t>’</w:t>
      </w:r>
      <w:r w:rsidRPr="00310D49">
        <w:rPr>
          <w:lang w:val="fr-FR"/>
        </w:rPr>
        <w:t>exécution peut, en dernier ressort et à la demande du créancier, prescrire l</w:t>
      </w:r>
      <w:r w:rsidR="0035332C">
        <w:rPr>
          <w:lang w:val="fr-FR"/>
        </w:rPr>
        <w:t>’</w:t>
      </w:r>
      <w:r w:rsidRPr="00310D49">
        <w:rPr>
          <w:lang w:val="fr-FR"/>
        </w:rPr>
        <w:t>incarcération du débiteur.</w:t>
      </w:r>
    </w:p>
    <w:p w14:paraId="409B101A" w14:textId="043C4F51" w:rsidR="00D005FA" w:rsidRPr="00310D49" w:rsidRDefault="00D005FA" w:rsidP="00EB437D">
      <w:pPr>
        <w:pStyle w:val="SingleTxtG"/>
        <w:spacing w:before="120"/>
        <w:rPr>
          <w:rFonts w:eastAsia="Times New Roman"/>
          <w:lang w:val="fr-FR"/>
        </w:rPr>
      </w:pPr>
      <w:r w:rsidRPr="00310D49">
        <w:rPr>
          <w:lang w:val="fr-FR"/>
        </w:rPr>
        <w:t>243.</w:t>
      </w:r>
      <w:r w:rsidRPr="00310D49">
        <w:rPr>
          <w:lang w:val="fr-FR"/>
        </w:rPr>
        <w:tab/>
        <w:t>Il convient de préciser que le juge compétent peut prescrire l</w:t>
      </w:r>
      <w:r w:rsidR="0035332C">
        <w:rPr>
          <w:lang w:val="fr-FR"/>
        </w:rPr>
        <w:t>’</w:t>
      </w:r>
      <w:r w:rsidRPr="00310D49">
        <w:rPr>
          <w:lang w:val="fr-FR"/>
        </w:rPr>
        <w:t xml:space="preserve">incarcération du débiteur pour une durée qui ne peut excéder </w:t>
      </w:r>
      <w:r w:rsidR="009C29ED">
        <w:rPr>
          <w:lang w:val="fr-FR"/>
        </w:rPr>
        <w:t>quatre-vingt-onze</w:t>
      </w:r>
      <w:r w:rsidRPr="00310D49">
        <w:rPr>
          <w:lang w:val="fr-FR"/>
        </w:rPr>
        <w:t xml:space="preserve"> jours par an dans le cadre d</w:t>
      </w:r>
      <w:r w:rsidR="0035332C">
        <w:rPr>
          <w:lang w:val="fr-FR"/>
        </w:rPr>
        <w:t>’</w:t>
      </w:r>
      <w:r w:rsidRPr="00310D49">
        <w:rPr>
          <w:lang w:val="fr-FR"/>
        </w:rPr>
        <w:t xml:space="preserve">une seule affaire de dette ou </w:t>
      </w:r>
      <w:r w:rsidR="009C29ED">
        <w:rPr>
          <w:lang w:val="fr-FR"/>
        </w:rPr>
        <w:t>vingt et un</w:t>
      </w:r>
      <w:r w:rsidRPr="00310D49">
        <w:rPr>
          <w:lang w:val="fr-FR"/>
        </w:rPr>
        <w:t xml:space="preserve"> jours par an dans le cas où le montant de la créance judiciaire n</w:t>
      </w:r>
      <w:r w:rsidR="0035332C">
        <w:rPr>
          <w:lang w:val="fr-FR"/>
        </w:rPr>
        <w:t>’</w:t>
      </w:r>
      <w:r w:rsidRPr="00310D49">
        <w:rPr>
          <w:lang w:val="fr-FR"/>
        </w:rPr>
        <w:t xml:space="preserve">excède </w:t>
      </w:r>
      <w:r w:rsidRPr="002E7C60">
        <w:rPr>
          <w:lang w:val="fr-FR"/>
        </w:rPr>
        <w:t xml:space="preserve">pas </w:t>
      </w:r>
      <w:r w:rsidR="00BD47DB" w:rsidRPr="002E7C60">
        <w:rPr>
          <w:lang w:val="fr-FR"/>
        </w:rPr>
        <w:t>500</w:t>
      </w:r>
      <w:r w:rsidRPr="002E7C60">
        <w:rPr>
          <w:lang w:val="fr-FR"/>
        </w:rPr>
        <w:t xml:space="preserve"> </w:t>
      </w:r>
      <w:r w:rsidR="002E7C60" w:rsidRPr="002E7C60">
        <w:rPr>
          <w:lang w:val="fr-FR"/>
        </w:rPr>
        <w:t xml:space="preserve">dinars </w:t>
      </w:r>
      <w:r w:rsidRPr="002E7C60">
        <w:rPr>
          <w:lang w:val="fr-FR"/>
        </w:rPr>
        <w:t>jordaniens. En outre</w:t>
      </w:r>
      <w:r w:rsidRPr="00310D49">
        <w:rPr>
          <w:lang w:val="fr-FR"/>
        </w:rPr>
        <w:t>, la décision d</w:t>
      </w:r>
      <w:r w:rsidR="0035332C">
        <w:rPr>
          <w:lang w:val="fr-FR"/>
        </w:rPr>
        <w:t>’</w:t>
      </w:r>
      <w:r w:rsidRPr="00310D49">
        <w:rPr>
          <w:lang w:val="fr-FR"/>
        </w:rPr>
        <w:t>incarcération est annulée et le condamné est immédiatement libéré lorsque celui-ci propose un règlement ou s</w:t>
      </w:r>
      <w:r w:rsidR="0035332C">
        <w:rPr>
          <w:lang w:val="fr-FR"/>
        </w:rPr>
        <w:t>’</w:t>
      </w:r>
      <w:r w:rsidRPr="00310D49">
        <w:rPr>
          <w:lang w:val="fr-FR"/>
        </w:rPr>
        <w:t>acquitte du montant total de la créance judiciaire. Les décisions d</w:t>
      </w:r>
      <w:r w:rsidR="0035332C">
        <w:rPr>
          <w:lang w:val="fr-FR"/>
        </w:rPr>
        <w:t>’</w:t>
      </w:r>
      <w:r w:rsidRPr="00310D49">
        <w:rPr>
          <w:lang w:val="fr-FR"/>
        </w:rPr>
        <w:t>incarcération ne peuvent être prononcées dans le cadre d</w:t>
      </w:r>
      <w:r w:rsidR="0035332C">
        <w:rPr>
          <w:lang w:val="fr-FR"/>
        </w:rPr>
        <w:t>’</w:t>
      </w:r>
      <w:r w:rsidRPr="00310D49">
        <w:rPr>
          <w:lang w:val="fr-FR"/>
        </w:rPr>
        <w:t>une dette entre conjoints, entre ascendants ou entre descendants, de même qu</w:t>
      </w:r>
      <w:r w:rsidR="0035332C">
        <w:rPr>
          <w:lang w:val="fr-FR"/>
        </w:rPr>
        <w:t>’</w:t>
      </w:r>
      <w:r w:rsidRPr="00310D49">
        <w:rPr>
          <w:lang w:val="fr-FR"/>
        </w:rPr>
        <w:t>elles ne peuvent être prononcées à l</w:t>
      </w:r>
      <w:r w:rsidR="0035332C">
        <w:rPr>
          <w:lang w:val="fr-FR"/>
        </w:rPr>
        <w:t>’</w:t>
      </w:r>
      <w:r w:rsidRPr="00310D49">
        <w:rPr>
          <w:lang w:val="fr-FR"/>
        </w:rPr>
        <w:t>encontre d</w:t>
      </w:r>
      <w:r w:rsidR="0035332C">
        <w:rPr>
          <w:lang w:val="fr-FR"/>
        </w:rPr>
        <w:t>’</w:t>
      </w:r>
      <w:r w:rsidRPr="00310D49">
        <w:rPr>
          <w:lang w:val="fr-FR"/>
        </w:rPr>
        <w:t>une personne mineure, aliénée ou faible d</w:t>
      </w:r>
      <w:r w:rsidR="0035332C">
        <w:rPr>
          <w:lang w:val="fr-FR"/>
        </w:rPr>
        <w:t>’</w:t>
      </w:r>
      <w:r w:rsidRPr="00310D49">
        <w:rPr>
          <w:lang w:val="fr-FR"/>
        </w:rPr>
        <w:t>esprit.</w:t>
      </w:r>
    </w:p>
    <w:p w14:paraId="17C57ECE" w14:textId="77777777" w:rsidR="00D005FA" w:rsidRPr="00310D49" w:rsidRDefault="00D005FA" w:rsidP="00EB437D">
      <w:pPr>
        <w:pStyle w:val="H1G"/>
        <w:rPr>
          <w:lang w:val="fr-FR"/>
        </w:rPr>
      </w:pPr>
      <w:r w:rsidRPr="00310D49">
        <w:rPr>
          <w:lang w:val="fr-FR"/>
        </w:rPr>
        <w:tab/>
      </w:r>
      <w:r w:rsidRPr="00310D49">
        <w:rPr>
          <w:lang w:val="fr-FR"/>
        </w:rPr>
        <w:tab/>
        <w:t>Article 12</w:t>
      </w:r>
      <w:bookmarkStart w:id="14" w:name="_Toc80715501"/>
      <w:bookmarkEnd w:id="14"/>
    </w:p>
    <w:p w14:paraId="0E9E51A5" w14:textId="21F277CE" w:rsidR="00D005FA" w:rsidRPr="00310D49" w:rsidRDefault="00D005FA" w:rsidP="00EB437D">
      <w:pPr>
        <w:pStyle w:val="SingleTxtG"/>
        <w:spacing w:before="120"/>
        <w:rPr>
          <w:lang w:val="fr-FR"/>
        </w:rPr>
      </w:pPr>
      <w:r w:rsidRPr="00310D49">
        <w:rPr>
          <w:lang w:val="fr-FR"/>
        </w:rPr>
        <w:t>244.</w:t>
      </w:r>
      <w:r w:rsidRPr="00310D49">
        <w:rPr>
          <w:lang w:val="fr-FR"/>
        </w:rPr>
        <w:tab/>
        <w:t>La Nakba de 1948 est pour le peuple palestinien une immense tragédie, en ce sens qu</w:t>
      </w:r>
      <w:r w:rsidR="0035332C">
        <w:rPr>
          <w:lang w:val="fr-FR"/>
        </w:rPr>
        <w:t>’</w:t>
      </w:r>
      <w:r w:rsidRPr="00310D49">
        <w:rPr>
          <w:lang w:val="fr-FR"/>
        </w:rPr>
        <w:t>elle s</w:t>
      </w:r>
      <w:r w:rsidR="0035332C">
        <w:rPr>
          <w:lang w:val="fr-FR"/>
        </w:rPr>
        <w:t>’</w:t>
      </w:r>
      <w:r w:rsidRPr="00310D49">
        <w:rPr>
          <w:lang w:val="fr-FR"/>
        </w:rPr>
        <w:t>est accompagnée d</w:t>
      </w:r>
      <w:r w:rsidR="0035332C">
        <w:rPr>
          <w:lang w:val="fr-FR"/>
        </w:rPr>
        <w:t>’</w:t>
      </w:r>
      <w:r w:rsidRPr="00310D49">
        <w:rPr>
          <w:lang w:val="fr-FR"/>
        </w:rPr>
        <w:t xml:space="preserve">un nettoyage ethnique au cours duquel des </w:t>
      </w:r>
      <w:r w:rsidRPr="002E7C60">
        <w:rPr>
          <w:lang w:val="fr-FR"/>
        </w:rPr>
        <w:t xml:space="preserve">Palestiniens ont été </w:t>
      </w:r>
      <w:r w:rsidR="002E7C60" w:rsidRPr="002E7C60">
        <w:rPr>
          <w:lang w:val="fr-FR"/>
        </w:rPr>
        <w:t>anéanti</w:t>
      </w:r>
      <w:r w:rsidRPr="002E7C60">
        <w:rPr>
          <w:lang w:val="fr-FR"/>
        </w:rPr>
        <w:t>s et expulsés</w:t>
      </w:r>
      <w:r w:rsidRPr="00310D49">
        <w:rPr>
          <w:lang w:val="fr-FR"/>
        </w:rPr>
        <w:t xml:space="preserve"> de leur terre pour qu</w:t>
      </w:r>
      <w:r w:rsidR="0035332C">
        <w:rPr>
          <w:lang w:val="fr-FR"/>
        </w:rPr>
        <w:t>’</w:t>
      </w:r>
      <w:r w:rsidRPr="00310D49">
        <w:rPr>
          <w:lang w:val="fr-FR"/>
        </w:rPr>
        <w:t>ils cèdent la place à d</w:t>
      </w:r>
      <w:r w:rsidR="0035332C">
        <w:rPr>
          <w:lang w:val="fr-FR"/>
        </w:rPr>
        <w:t>’</w:t>
      </w:r>
      <w:r w:rsidRPr="00310D49">
        <w:rPr>
          <w:lang w:val="fr-FR"/>
        </w:rPr>
        <w:t>autres personnes. En effet, sur 1,4</w:t>
      </w:r>
      <w:r w:rsidR="009C29ED">
        <w:rPr>
          <w:lang w:val="fr-FR"/>
        </w:rPr>
        <w:t> </w:t>
      </w:r>
      <w:r w:rsidRPr="00310D49">
        <w:rPr>
          <w:lang w:val="fr-FR"/>
        </w:rPr>
        <w:t>million de Palestiniens vivant dans la Palestine historique en 1948, plus de 800</w:t>
      </w:r>
      <w:r w:rsidR="009C29ED">
        <w:rPr>
          <w:lang w:val="fr-FR"/>
        </w:rPr>
        <w:t> </w:t>
      </w:r>
      <w:r w:rsidRPr="00310D49">
        <w:rPr>
          <w:lang w:val="fr-FR"/>
        </w:rPr>
        <w:t>000</w:t>
      </w:r>
      <w:r w:rsidR="009C29ED">
        <w:rPr>
          <w:lang w:val="fr-FR"/>
        </w:rPr>
        <w:t> </w:t>
      </w:r>
      <w:r w:rsidRPr="00310D49">
        <w:rPr>
          <w:lang w:val="fr-FR"/>
        </w:rPr>
        <w:t>ont été chassés de leurs villes et villages. Selon les registres de l</w:t>
      </w:r>
      <w:r w:rsidR="0035332C">
        <w:rPr>
          <w:lang w:val="fr-FR"/>
        </w:rPr>
        <w:t>’</w:t>
      </w:r>
      <w:r w:rsidRPr="00310D49">
        <w:rPr>
          <w:lang w:val="fr-FR"/>
        </w:rPr>
        <w:t>UNRWA, il y avait en Palestine environ 6</w:t>
      </w:r>
      <w:r w:rsidR="009C29ED">
        <w:rPr>
          <w:lang w:val="fr-FR"/>
        </w:rPr>
        <w:t> </w:t>
      </w:r>
      <w:r w:rsidRPr="00310D49">
        <w:rPr>
          <w:lang w:val="fr-FR"/>
        </w:rPr>
        <w:t>millions de réfugiés palestiniens en 2018, ce qui représente près de la moitié de la population palestinienne totale.</w:t>
      </w:r>
    </w:p>
    <w:p w14:paraId="6AAEF23E" w14:textId="0F5403A3" w:rsidR="00D005FA" w:rsidRPr="00310D49" w:rsidRDefault="00D005FA" w:rsidP="00EB437D">
      <w:pPr>
        <w:pStyle w:val="SingleTxtG"/>
        <w:spacing w:before="120"/>
        <w:rPr>
          <w:lang w:val="fr-FR"/>
        </w:rPr>
      </w:pPr>
      <w:r w:rsidRPr="00310D49">
        <w:rPr>
          <w:lang w:val="fr-FR"/>
        </w:rPr>
        <w:lastRenderedPageBreak/>
        <w:t>245.</w:t>
      </w:r>
      <w:r w:rsidRPr="00310D49">
        <w:rPr>
          <w:lang w:val="fr-FR"/>
        </w:rPr>
        <w:tab/>
        <w:t>Ainsi, le 11 décembre 1948, lors de sa troisième session, l</w:t>
      </w:r>
      <w:r w:rsidR="0035332C">
        <w:rPr>
          <w:lang w:val="fr-FR"/>
        </w:rPr>
        <w:t>’</w:t>
      </w:r>
      <w:r w:rsidRPr="00310D49">
        <w:rPr>
          <w:lang w:val="fr-FR"/>
        </w:rPr>
        <w:t>Assemblée générale des Nations Unies a adopté la résolution 194 affirmant le droit des Palestiniens déplacés de force de rentrer chez eux. En violation de toutes ces recommandations et résolutions des Nations Unies, Israël, puissance occupante, continue de violer le droit au retour des Palestiniens, tandis que la loi israélienne du retour accorde aux Juifs le droit au retour et le droit de s</w:t>
      </w:r>
      <w:r w:rsidR="0035332C">
        <w:rPr>
          <w:lang w:val="fr-FR"/>
        </w:rPr>
        <w:t>’</w:t>
      </w:r>
      <w:r w:rsidRPr="00310D49">
        <w:rPr>
          <w:lang w:val="fr-FR"/>
        </w:rPr>
        <w:t>installer et d</w:t>
      </w:r>
      <w:r w:rsidR="0035332C">
        <w:rPr>
          <w:lang w:val="fr-FR"/>
        </w:rPr>
        <w:t>’</w:t>
      </w:r>
      <w:r w:rsidRPr="00310D49">
        <w:rPr>
          <w:lang w:val="fr-FR"/>
        </w:rPr>
        <w:t xml:space="preserve">acquérir la citoyenneté. </w:t>
      </w:r>
    </w:p>
    <w:p w14:paraId="5490236B" w14:textId="47438AF4" w:rsidR="00D005FA" w:rsidRPr="00310D49" w:rsidRDefault="00D005FA" w:rsidP="00EB437D">
      <w:pPr>
        <w:pStyle w:val="SingleTxtG"/>
        <w:spacing w:before="120"/>
        <w:rPr>
          <w:lang w:val="fr-FR"/>
        </w:rPr>
      </w:pPr>
      <w:r w:rsidRPr="00310D49">
        <w:rPr>
          <w:lang w:val="fr-FR"/>
        </w:rPr>
        <w:t>246.</w:t>
      </w:r>
      <w:r w:rsidRPr="00310D49">
        <w:rPr>
          <w:lang w:val="fr-FR"/>
        </w:rPr>
        <w:tab/>
        <w:t>Pendant la guerre de 1967, Israël, Puissance occupante, a poursuivi sa progression jusqu</w:t>
      </w:r>
      <w:r w:rsidR="0035332C">
        <w:rPr>
          <w:lang w:val="fr-FR"/>
        </w:rPr>
        <w:t>’</w:t>
      </w:r>
      <w:r w:rsidRPr="00310D49">
        <w:rPr>
          <w:lang w:val="fr-FR"/>
        </w:rPr>
        <w:t>à occuper le reste du Territoire palestinien, déplaçant et expulsant de force plus de 200</w:t>
      </w:r>
      <w:r w:rsidR="0033561C">
        <w:rPr>
          <w:lang w:val="fr-FR"/>
        </w:rPr>
        <w:t> </w:t>
      </w:r>
      <w:r w:rsidRPr="00310D49">
        <w:rPr>
          <w:lang w:val="fr-FR"/>
        </w:rPr>
        <w:t>000</w:t>
      </w:r>
      <w:r w:rsidR="0033561C">
        <w:rPr>
          <w:lang w:val="fr-FR"/>
        </w:rPr>
        <w:t> </w:t>
      </w:r>
      <w:r w:rsidRPr="00310D49">
        <w:rPr>
          <w:lang w:val="fr-FR"/>
        </w:rPr>
        <w:t>Palestiniens de leur patrie.</w:t>
      </w:r>
    </w:p>
    <w:p w14:paraId="38AB931E" w14:textId="4AE355DC" w:rsidR="00D005FA" w:rsidRPr="00310D49" w:rsidRDefault="00D005FA" w:rsidP="00EB437D">
      <w:pPr>
        <w:pStyle w:val="SingleTxtG"/>
        <w:spacing w:before="120"/>
        <w:rPr>
          <w:lang w:val="fr-FR"/>
        </w:rPr>
      </w:pPr>
      <w:r w:rsidRPr="00310D49">
        <w:rPr>
          <w:lang w:val="fr-FR"/>
        </w:rPr>
        <w:t>247.</w:t>
      </w:r>
      <w:r w:rsidRPr="00310D49">
        <w:rPr>
          <w:lang w:val="fr-FR"/>
        </w:rPr>
        <w:tab/>
        <w:t>À la suite de l</w:t>
      </w:r>
      <w:r w:rsidR="0035332C">
        <w:rPr>
          <w:lang w:val="fr-FR"/>
        </w:rPr>
        <w:t>’</w:t>
      </w:r>
      <w:r w:rsidRPr="00310D49">
        <w:rPr>
          <w:lang w:val="fr-FR"/>
        </w:rPr>
        <w:t>occupation du Territoire palestinien en 1967, un décret promulgué par l</w:t>
      </w:r>
      <w:r w:rsidR="0035332C">
        <w:rPr>
          <w:lang w:val="fr-FR"/>
        </w:rPr>
        <w:t>’</w:t>
      </w:r>
      <w:r w:rsidRPr="00310D49">
        <w:rPr>
          <w:lang w:val="fr-FR"/>
        </w:rPr>
        <w:t>occupant israélien a introduit un régime de cartes d</w:t>
      </w:r>
      <w:r w:rsidR="0035332C">
        <w:rPr>
          <w:lang w:val="fr-FR"/>
        </w:rPr>
        <w:t>’</w:t>
      </w:r>
      <w:r w:rsidRPr="00310D49">
        <w:rPr>
          <w:lang w:val="fr-FR"/>
        </w:rPr>
        <w:t>identité faisant obligation à tous les Palestiniens qui, à l</w:t>
      </w:r>
      <w:r w:rsidR="0035332C">
        <w:rPr>
          <w:lang w:val="fr-FR"/>
        </w:rPr>
        <w:t>’</w:t>
      </w:r>
      <w:r w:rsidRPr="00310D49">
        <w:rPr>
          <w:lang w:val="fr-FR"/>
        </w:rPr>
        <w:t>époque, vivaient en Cisjordanie, y compris Jérusalem, et dans la bande de Gaza d</w:t>
      </w:r>
      <w:r w:rsidR="0035332C">
        <w:rPr>
          <w:lang w:val="fr-FR"/>
        </w:rPr>
        <w:t>’</w:t>
      </w:r>
      <w:r w:rsidRPr="00310D49">
        <w:rPr>
          <w:lang w:val="fr-FR"/>
        </w:rPr>
        <w:t>obtenir une carte d</w:t>
      </w:r>
      <w:r w:rsidR="0035332C">
        <w:rPr>
          <w:lang w:val="fr-FR"/>
        </w:rPr>
        <w:t>’</w:t>
      </w:r>
      <w:r w:rsidRPr="00310D49">
        <w:rPr>
          <w:lang w:val="fr-FR"/>
        </w:rPr>
        <w:t>identité délivrée par Israël, Puissance occupante, comme condition préalable à l</w:t>
      </w:r>
      <w:r w:rsidR="0035332C">
        <w:rPr>
          <w:lang w:val="fr-FR"/>
        </w:rPr>
        <w:t>’</w:t>
      </w:r>
      <w:r w:rsidRPr="00310D49">
        <w:rPr>
          <w:lang w:val="fr-FR"/>
        </w:rPr>
        <w:t>obtention de ce que l</w:t>
      </w:r>
      <w:r w:rsidR="0035332C">
        <w:rPr>
          <w:lang w:val="fr-FR"/>
        </w:rPr>
        <w:t>’</w:t>
      </w:r>
      <w:r w:rsidRPr="00310D49">
        <w:rPr>
          <w:lang w:val="fr-FR"/>
        </w:rPr>
        <w:t>on appelle le statut de «</w:t>
      </w:r>
      <w:r w:rsidR="0033561C">
        <w:rPr>
          <w:lang w:val="fr-FR"/>
        </w:rPr>
        <w:t> </w:t>
      </w:r>
      <w:r w:rsidRPr="00310D49">
        <w:rPr>
          <w:lang w:val="fr-FR"/>
        </w:rPr>
        <w:t>résident permanent</w:t>
      </w:r>
      <w:r w:rsidR="0033561C">
        <w:rPr>
          <w:lang w:val="fr-FR"/>
        </w:rPr>
        <w:t> </w:t>
      </w:r>
      <w:r w:rsidRPr="00310D49">
        <w:rPr>
          <w:lang w:val="fr-FR"/>
        </w:rPr>
        <w:t>». En outre, les autorités d</w:t>
      </w:r>
      <w:r w:rsidR="0035332C">
        <w:rPr>
          <w:lang w:val="fr-FR"/>
        </w:rPr>
        <w:t>’</w:t>
      </w:r>
      <w:r w:rsidRPr="00310D49">
        <w:rPr>
          <w:lang w:val="fr-FR"/>
        </w:rPr>
        <w:t>occupation israéliennes ont procédé à un recensement de la population palestinienne afin d</w:t>
      </w:r>
      <w:r w:rsidR="0035332C">
        <w:rPr>
          <w:lang w:val="fr-FR"/>
        </w:rPr>
        <w:t>’</w:t>
      </w:r>
      <w:r w:rsidRPr="00310D49">
        <w:rPr>
          <w:lang w:val="fr-FR"/>
        </w:rPr>
        <w:t>établir un nouveau registre de la population du Territoire palestinien occupé.</w:t>
      </w:r>
    </w:p>
    <w:p w14:paraId="2937B82C" w14:textId="4125CE3F" w:rsidR="00D005FA" w:rsidRPr="00310D49" w:rsidRDefault="00D005FA" w:rsidP="00EB437D">
      <w:pPr>
        <w:pStyle w:val="SingleTxtG"/>
        <w:spacing w:before="120"/>
        <w:rPr>
          <w:lang w:val="fr-FR"/>
        </w:rPr>
      </w:pPr>
      <w:r w:rsidRPr="00310D49">
        <w:rPr>
          <w:lang w:val="fr-FR"/>
        </w:rPr>
        <w:t>248.</w:t>
      </w:r>
      <w:r w:rsidRPr="00310D49">
        <w:rPr>
          <w:lang w:val="fr-FR"/>
        </w:rPr>
        <w:tab/>
        <w:t>En conséquence, Israël, Puissance occupante, a imposé des cartes d</w:t>
      </w:r>
      <w:r w:rsidR="0035332C">
        <w:rPr>
          <w:lang w:val="fr-FR"/>
        </w:rPr>
        <w:t>’</w:t>
      </w:r>
      <w:r w:rsidRPr="00310D49">
        <w:rPr>
          <w:lang w:val="fr-FR"/>
        </w:rPr>
        <w:t>identité chromocodées différentes et discriminatoires aux Palestiniens enregistrés dans ce recensement. Les cartes d</w:t>
      </w:r>
      <w:r w:rsidR="0035332C">
        <w:rPr>
          <w:lang w:val="fr-FR"/>
        </w:rPr>
        <w:t>’</w:t>
      </w:r>
      <w:r w:rsidRPr="00310D49">
        <w:rPr>
          <w:lang w:val="fr-FR"/>
        </w:rPr>
        <w:t>identité des Palestiniens qui vivent à Jérusalem sont de couleur bleue, celles des Palestiniens qui demeurent en Cisjordanie de couleur orange et celles des Palestiniens de la Bande de Gaza de couleur rouge. Par ailleurs, les Palestiniens qui étaient absents du Territoire au moment du recensement, que leur absence ait été due à un déplacement ou à quelque raison que ce fut, n</w:t>
      </w:r>
      <w:r w:rsidR="0035332C">
        <w:rPr>
          <w:lang w:val="fr-FR"/>
        </w:rPr>
        <w:t>’</w:t>
      </w:r>
      <w:r w:rsidRPr="00310D49">
        <w:rPr>
          <w:lang w:val="fr-FR"/>
        </w:rPr>
        <w:t>avaient pas été enregistrés. L</w:t>
      </w:r>
      <w:r w:rsidR="0035332C">
        <w:rPr>
          <w:lang w:val="fr-FR"/>
        </w:rPr>
        <w:t>’</w:t>
      </w:r>
      <w:r w:rsidRPr="00310D49">
        <w:rPr>
          <w:lang w:val="fr-FR"/>
        </w:rPr>
        <w:t xml:space="preserve">occupant israélien ne les avait alors pas </w:t>
      </w:r>
      <w:r w:rsidRPr="0026633B">
        <w:rPr>
          <w:lang w:val="fr-FR"/>
        </w:rPr>
        <w:t>reconnus</w:t>
      </w:r>
      <w:r w:rsidRPr="00310D49">
        <w:rPr>
          <w:lang w:val="fr-FR"/>
        </w:rPr>
        <w:t xml:space="preserve"> et les avait </w:t>
      </w:r>
      <w:r w:rsidRPr="0026633B">
        <w:rPr>
          <w:lang w:val="fr-FR"/>
        </w:rPr>
        <w:t>considérés</w:t>
      </w:r>
      <w:r w:rsidRPr="00310D49">
        <w:rPr>
          <w:lang w:val="fr-FR"/>
        </w:rPr>
        <w:t xml:space="preserve"> comme étant sans «</w:t>
      </w:r>
      <w:r w:rsidR="0033561C">
        <w:rPr>
          <w:lang w:val="fr-FR"/>
        </w:rPr>
        <w:t> </w:t>
      </w:r>
      <w:r w:rsidRPr="00310D49">
        <w:rPr>
          <w:lang w:val="fr-FR"/>
        </w:rPr>
        <w:t>identité</w:t>
      </w:r>
      <w:r w:rsidR="0033561C">
        <w:rPr>
          <w:lang w:val="fr-FR"/>
        </w:rPr>
        <w:t> </w:t>
      </w:r>
      <w:r w:rsidRPr="00310D49">
        <w:rPr>
          <w:lang w:val="fr-FR"/>
        </w:rPr>
        <w:t>» et ayant perdu le droit de «</w:t>
      </w:r>
      <w:r w:rsidR="0033561C">
        <w:rPr>
          <w:lang w:val="fr-FR"/>
        </w:rPr>
        <w:t> </w:t>
      </w:r>
      <w:r w:rsidRPr="00310D49">
        <w:rPr>
          <w:lang w:val="fr-FR"/>
        </w:rPr>
        <w:t>résider</w:t>
      </w:r>
      <w:r w:rsidR="0033561C">
        <w:rPr>
          <w:lang w:val="fr-FR"/>
        </w:rPr>
        <w:t> </w:t>
      </w:r>
      <w:r w:rsidRPr="00310D49">
        <w:rPr>
          <w:lang w:val="fr-FR"/>
        </w:rPr>
        <w:t>» dans leur patrie.</w:t>
      </w:r>
    </w:p>
    <w:p w14:paraId="59A13465" w14:textId="33EBD137" w:rsidR="00D005FA" w:rsidRPr="00310D49" w:rsidRDefault="00D005FA" w:rsidP="00EB437D">
      <w:pPr>
        <w:pStyle w:val="SingleTxtG"/>
        <w:spacing w:before="120"/>
        <w:rPr>
          <w:lang w:val="fr-FR"/>
        </w:rPr>
      </w:pPr>
      <w:r w:rsidRPr="00310D49">
        <w:rPr>
          <w:lang w:val="fr-FR"/>
        </w:rPr>
        <w:t>249.</w:t>
      </w:r>
      <w:r w:rsidRPr="00310D49">
        <w:rPr>
          <w:lang w:val="fr-FR"/>
        </w:rPr>
        <w:tab/>
        <w:t>Les autorités d</w:t>
      </w:r>
      <w:r w:rsidR="0035332C">
        <w:rPr>
          <w:lang w:val="fr-FR"/>
        </w:rPr>
        <w:t>’</w:t>
      </w:r>
      <w:r w:rsidRPr="00310D49">
        <w:rPr>
          <w:lang w:val="fr-FR"/>
        </w:rPr>
        <w:t>occupation militaire israéliennes ont par la suite imposé des décisions, des procédures et des conditions arbitraires par lesquelles des milliers de Palestiniens se sont vus retirer leur carte d</w:t>
      </w:r>
      <w:r w:rsidR="0035332C">
        <w:rPr>
          <w:lang w:val="fr-FR"/>
        </w:rPr>
        <w:t>’</w:t>
      </w:r>
      <w:r w:rsidRPr="00310D49">
        <w:rPr>
          <w:lang w:val="fr-FR"/>
        </w:rPr>
        <w:t>identité et perdre le statut de «</w:t>
      </w:r>
      <w:r w:rsidR="0033561C">
        <w:rPr>
          <w:lang w:val="fr-FR"/>
        </w:rPr>
        <w:t> </w:t>
      </w:r>
      <w:r w:rsidRPr="00310D49">
        <w:rPr>
          <w:lang w:val="fr-FR"/>
        </w:rPr>
        <w:t>résident</w:t>
      </w:r>
      <w:r w:rsidR="0033561C">
        <w:rPr>
          <w:lang w:val="fr-FR"/>
        </w:rPr>
        <w:t> </w:t>
      </w:r>
      <w:r w:rsidRPr="0026633B">
        <w:rPr>
          <w:lang w:val="fr-FR"/>
        </w:rPr>
        <w:t>». Afin</w:t>
      </w:r>
      <w:r w:rsidRPr="00310D49">
        <w:rPr>
          <w:lang w:val="fr-FR"/>
        </w:rPr>
        <w:t xml:space="preserve"> de récupérer leur carte d</w:t>
      </w:r>
      <w:r w:rsidR="0035332C">
        <w:rPr>
          <w:lang w:val="fr-FR"/>
        </w:rPr>
        <w:t>’</w:t>
      </w:r>
      <w:r w:rsidRPr="00310D49">
        <w:rPr>
          <w:lang w:val="fr-FR"/>
        </w:rPr>
        <w:t>identité, ces Palestiniens ont dû faire face à une procédure complexe qui, dans la plupart des cas, n</w:t>
      </w:r>
      <w:r w:rsidR="0035332C">
        <w:rPr>
          <w:lang w:val="fr-FR"/>
        </w:rPr>
        <w:t>’</w:t>
      </w:r>
      <w:r w:rsidRPr="00310D49">
        <w:rPr>
          <w:lang w:val="fr-FR"/>
        </w:rPr>
        <w:t>avait pas abouti.</w:t>
      </w:r>
    </w:p>
    <w:p w14:paraId="1863DA50" w14:textId="01DD17F2" w:rsidR="00D005FA" w:rsidRPr="00310D49" w:rsidRDefault="00D005FA" w:rsidP="00EB437D">
      <w:pPr>
        <w:pStyle w:val="SingleTxtG"/>
        <w:spacing w:before="120"/>
        <w:rPr>
          <w:lang w:val="fr-FR"/>
        </w:rPr>
      </w:pPr>
      <w:r w:rsidRPr="00310D49">
        <w:rPr>
          <w:lang w:val="fr-FR"/>
        </w:rPr>
        <w:t>250.</w:t>
      </w:r>
      <w:r w:rsidRPr="00310D49">
        <w:rPr>
          <w:lang w:val="fr-FR"/>
        </w:rPr>
        <w:tab/>
        <w:t>Israël, puissance occupante, contrôle toujours, par le biais du «</w:t>
      </w:r>
      <w:r w:rsidR="0033561C">
        <w:rPr>
          <w:lang w:val="fr-FR"/>
        </w:rPr>
        <w:t> </w:t>
      </w:r>
      <w:r w:rsidRPr="00310D49">
        <w:rPr>
          <w:lang w:val="fr-FR"/>
        </w:rPr>
        <w:t>Registre de la population</w:t>
      </w:r>
      <w:r w:rsidR="0033561C">
        <w:rPr>
          <w:lang w:val="fr-FR"/>
        </w:rPr>
        <w:t> </w:t>
      </w:r>
      <w:r w:rsidRPr="00310D49">
        <w:rPr>
          <w:lang w:val="fr-FR"/>
        </w:rPr>
        <w:t>», les documents d</w:t>
      </w:r>
      <w:r w:rsidR="0035332C">
        <w:rPr>
          <w:lang w:val="fr-FR"/>
        </w:rPr>
        <w:t>’</w:t>
      </w:r>
      <w:r w:rsidRPr="00310D49">
        <w:rPr>
          <w:lang w:val="fr-FR"/>
        </w:rPr>
        <w:t>identité, les dossiers de résidence et les permis, de sorte qu</w:t>
      </w:r>
      <w:r w:rsidR="0035332C">
        <w:rPr>
          <w:lang w:val="fr-FR"/>
        </w:rPr>
        <w:t>’</w:t>
      </w:r>
      <w:r w:rsidRPr="00310D49">
        <w:rPr>
          <w:lang w:val="fr-FR"/>
        </w:rPr>
        <w:t>aucun passeport palestinien ne puisse être délivré sans être assorti du numéro d</w:t>
      </w:r>
      <w:r w:rsidR="0035332C">
        <w:rPr>
          <w:lang w:val="fr-FR"/>
        </w:rPr>
        <w:t>’</w:t>
      </w:r>
      <w:r w:rsidRPr="00310D49">
        <w:rPr>
          <w:lang w:val="fr-FR"/>
        </w:rPr>
        <w:t>identité inscrit au «</w:t>
      </w:r>
      <w:r w:rsidR="0033561C">
        <w:rPr>
          <w:lang w:val="fr-FR"/>
        </w:rPr>
        <w:t> </w:t>
      </w:r>
      <w:r w:rsidRPr="00310D49">
        <w:rPr>
          <w:lang w:val="fr-FR"/>
        </w:rPr>
        <w:t>Registre de la population</w:t>
      </w:r>
      <w:r w:rsidR="0033561C">
        <w:rPr>
          <w:lang w:val="fr-FR"/>
        </w:rPr>
        <w:t> </w:t>
      </w:r>
      <w:r w:rsidRPr="00310D49">
        <w:rPr>
          <w:lang w:val="fr-FR"/>
        </w:rPr>
        <w:t xml:space="preserve">». </w:t>
      </w:r>
    </w:p>
    <w:p w14:paraId="49BAFDD0" w14:textId="1B975E30" w:rsidR="00D005FA" w:rsidRPr="00310D49" w:rsidRDefault="00D005FA" w:rsidP="00EB437D">
      <w:pPr>
        <w:pStyle w:val="SingleTxtG"/>
        <w:spacing w:before="120"/>
        <w:rPr>
          <w:lang w:val="fr-FR"/>
        </w:rPr>
      </w:pPr>
      <w:r w:rsidRPr="00310D49">
        <w:rPr>
          <w:lang w:val="fr-FR"/>
        </w:rPr>
        <w:t>251.</w:t>
      </w:r>
      <w:r w:rsidRPr="00310D49">
        <w:rPr>
          <w:lang w:val="fr-FR"/>
        </w:rPr>
        <w:tab/>
        <w:t>Toutes ces politiques coloniales, décisions militaires et mesures arbitraires ont eu pour conséquence que des centaines de milliers de Palestiniens ont été privés d</w:t>
      </w:r>
      <w:r w:rsidR="0035332C">
        <w:rPr>
          <w:lang w:val="fr-FR"/>
        </w:rPr>
        <w:t>’</w:t>
      </w:r>
      <w:r w:rsidRPr="00310D49">
        <w:rPr>
          <w:lang w:val="fr-FR"/>
        </w:rPr>
        <w:t>entrée et de résidence dans leur patrie et en ont été exclus.</w:t>
      </w:r>
    </w:p>
    <w:p w14:paraId="25A7EABB" w14:textId="77777777" w:rsidR="00D005FA" w:rsidRPr="00310D49" w:rsidRDefault="00D005FA" w:rsidP="00EB437D">
      <w:pPr>
        <w:pStyle w:val="H23G"/>
        <w:rPr>
          <w:lang w:val="fr-FR"/>
        </w:rPr>
      </w:pPr>
      <w:r w:rsidRPr="00310D49">
        <w:rPr>
          <w:lang w:val="fr-FR"/>
        </w:rPr>
        <w:tab/>
      </w:r>
      <w:r w:rsidRPr="00310D49">
        <w:rPr>
          <w:lang w:val="fr-FR"/>
        </w:rPr>
        <w:tab/>
        <w:t>Palestiniens de Jérusalem dans leur ville occupée</w:t>
      </w:r>
    </w:p>
    <w:p w14:paraId="35E4DD6D" w14:textId="20A708DC" w:rsidR="00D005FA" w:rsidRPr="00310D49" w:rsidRDefault="00D005FA" w:rsidP="00EB437D">
      <w:pPr>
        <w:pStyle w:val="SingleTxtG"/>
        <w:spacing w:before="120"/>
        <w:rPr>
          <w:lang w:val="fr-FR"/>
        </w:rPr>
      </w:pPr>
      <w:r w:rsidRPr="00310D49">
        <w:rPr>
          <w:lang w:val="fr-FR"/>
        </w:rPr>
        <w:t>252.</w:t>
      </w:r>
      <w:r w:rsidRPr="00310D49">
        <w:rPr>
          <w:lang w:val="fr-FR"/>
        </w:rPr>
        <w:tab/>
        <w:t>Israël, puissance occupante, fait la distinction entre Israéliens et Palestiniens en matière de nationalité, de résidence et de transactions civiles en général. Alors que les Israéliens jouissent pleinement du droit de résidence permanente et de leur citoyenneté à Jérusalem-Est, annexée par la force en violation du droit international, les Palestiniens sont traités comme des «</w:t>
      </w:r>
      <w:r w:rsidR="0033561C">
        <w:rPr>
          <w:lang w:val="fr-FR"/>
        </w:rPr>
        <w:t> </w:t>
      </w:r>
      <w:r w:rsidRPr="00310D49">
        <w:rPr>
          <w:lang w:val="fr-FR"/>
        </w:rPr>
        <w:t>étrangers</w:t>
      </w:r>
      <w:r w:rsidR="0033561C">
        <w:rPr>
          <w:lang w:val="fr-FR"/>
        </w:rPr>
        <w:t> </w:t>
      </w:r>
      <w:r w:rsidRPr="00310D49">
        <w:rPr>
          <w:lang w:val="fr-FR"/>
        </w:rPr>
        <w:t>» dans leur propre ville et sont obligés d</w:t>
      </w:r>
      <w:r w:rsidR="0035332C">
        <w:rPr>
          <w:lang w:val="fr-FR"/>
        </w:rPr>
        <w:t>’</w:t>
      </w:r>
      <w:r w:rsidRPr="00310D49">
        <w:rPr>
          <w:lang w:val="fr-FR"/>
        </w:rPr>
        <w:t>être munis de permis de résidence délivrés par les autorités d</w:t>
      </w:r>
      <w:r w:rsidR="0035332C">
        <w:rPr>
          <w:lang w:val="fr-FR"/>
        </w:rPr>
        <w:t>’</w:t>
      </w:r>
      <w:r w:rsidRPr="00310D49">
        <w:rPr>
          <w:lang w:val="fr-FR"/>
        </w:rPr>
        <w:t>occupation israéliennes.</w:t>
      </w:r>
    </w:p>
    <w:p w14:paraId="280F821B" w14:textId="4C1457C5" w:rsidR="00D005FA" w:rsidRPr="00310D49" w:rsidRDefault="00D005FA" w:rsidP="00EB437D">
      <w:pPr>
        <w:pStyle w:val="SingleTxtG"/>
        <w:spacing w:before="120"/>
        <w:rPr>
          <w:lang w:val="fr-FR"/>
        </w:rPr>
      </w:pPr>
      <w:r w:rsidRPr="00310D49">
        <w:rPr>
          <w:lang w:val="fr-FR"/>
        </w:rPr>
        <w:t>253.</w:t>
      </w:r>
      <w:r w:rsidRPr="00310D49">
        <w:rPr>
          <w:lang w:val="fr-FR"/>
        </w:rPr>
        <w:tab/>
        <w:t>Les Palestiniens de Jérusalem peuvent facilement perdre leur droit de retour en cas de révocation de leur résidence. En effet, selon les instructions de la puissance occupante, les Palestiniens de Jérusalem peuvent être déchus de leur statut de résident s</w:t>
      </w:r>
      <w:r w:rsidR="0035332C">
        <w:rPr>
          <w:lang w:val="fr-FR"/>
        </w:rPr>
        <w:t>’</w:t>
      </w:r>
      <w:r w:rsidRPr="00310D49">
        <w:rPr>
          <w:lang w:val="fr-FR"/>
        </w:rPr>
        <w:t>ils séjournent pendant sept ans dans un pays étranger ou obtiennent un statut de résident ou la citoyenneté d</w:t>
      </w:r>
      <w:r w:rsidR="0035332C">
        <w:rPr>
          <w:lang w:val="fr-FR"/>
        </w:rPr>
        <w:t>’</w:t>
      </w:r>
      <w:r w:rsidRPr="00310D49">
        <w:rPr>
          <w:lang w:val="fr-FR"/>
        </w:rPr>
        <w:t>un autre pays. En tout état de cause, les habitants de Jérusalem perdent leurs droits s</w:t>
      </w:r>
      <w:r w:rsidR="0035332C">
        <w:rPr>
          <w:lang w:val="fr-FR"/>
        </w:rPr>
        <w:t>’</w:t>
      </w:r>
      <w:r w:rsidRPr="00310D49">
        <w:rPr>
          <w:lang w:val="fr-FR"/>
        </w:rPr>
        <w:t>ils ne peuvent pas prouver que Jérusalem est leur «</w:t>
      </w:r>
      <w:r w:rsidR="0033561C">
        <w:rPr>
          <w:lang w:val="fr-FR"/>
        </w:rPr>
        <w:t> </w:t>
      </w:r>
      <w:r w:rsidRPr="00310D49">
        <w:rPr>
          <w:lang w:val="fr-FR"/>
        </w:rPr>
        <w:t>centre de vie</w:t>
      </w:r>
      <w:r w:rsidR="0033561C">
        <w:rPr>
          <w:lang w:val="fr-FR"/>
        </w:rPr>
        <w:t> </w:t>
      </w:r>
      <w:r w:rsidRPr="00310D49">
        <w:rPr>
          <w:lang w:val="fr-FR"/>
        </w:rPr>
        <w:t>». Entre 1967 et aujourd</w:t>
      </w:r>
      <w:r w:rsidR="0035332C">
        <w:rPr>
          <w:lang w:val="fr-FR"/>
        </w:rPr>
        <w:t>’</w:t>
      </w:r>
      <w:r w:rsidRPr="00310D49">
        <w:rPr>
          <w:lang w:val="fr-FR"/>
        </w:rPr>
        <w:t>hui, le droit de résidence a été retiré à plus de 14</w:t>
      </w:r>
      <w:r w:rsidR="0033561C">
        <w:rPr>
          <w:lang w:val="fr-FR"/>
        </w:rPr>
        <w:t> </w:t>
      </w:r>
      <w:r w:rsidRPr="00310D49">
        <w:rPr>
          <w:lang w:val="fr-FR"/>
        </w:rPr>
        <w:t>500</w:t>
      </w:r>
      <w:r w:rsidR="0033561C">
        <w:rPr>
          <w:lang w:val="fr-FR"/>
        </w:rPr>
        <w:t> </w:t>
      </w:r>
      <w:r w:rsidRPr="00310D49">
        <w:rPr>
          <w:lang w:val="fr-FR"/>
        </w:rPr>
        <w:t xml:space="preserve">Palestiniens de </w:t>
      </w:r>
      <w:r w:rsidRPr="00D93C9E">
        <w:rPr>
          <w:lang w:val="fr-FR"/>
        </w:rPr>
        <w:t>Jérusalem sur</w:t>
      </w:r>
      <w:r w:rsidRPr="00310D49">
        <w:rPr>
          <w:lang w:val="fr-FR"/>
        </w:rPr>
        <w:t xml:space="preserve"> la base d</w:t>
      </w:r>
      <w:r w:rsidR="0035332C">
        <w:rPr>
          <w:lang w:val="fr-FR"/>
        </w:rPr>
        <w:t>’</w:t>
      </w:r>
      <w:r w:rsidRPr="00310D49">
        <w:rPr>
          <w:lang w:val="fr-FR"/>
        </w:rPr>
        <w:t>une politique discriminatoire claire visant à vider la ville de Jérusalem de sa population palestinienne et à l</w:t>
      </w:r>
      <w:r w:rsidR="0035332C">
        <w:rPr>
          <w:lang w:val="fr-FR"/>
        </w:rPr>
        <w:t>’</w:t>
      </w:r>
      <w:r w:rsidRPr="00310D49">
        <w:rPr>
          <w:lang w:val="fr-FR"/>
        </w:rPr>
        <w:t>expulser de force de sa ville. De plus, les autorités d</w:t>
      </w:r>
      <w:r w:rsidR="0035332C">
        <w:rPr>
          <w:lang w:val="fr-FR"/>
        </w:rPr>
        <w:t>’</w:t>
      </w:r>
      <w:r w:rsidRPr="00310D49">
        <w:rPr>
          <w:lang w:val="fr-FR"/>
        </w:rPr>
        <w:t xml:space="preserve">occupation </w:t>
      </w:r>
      <w:r w:rsidRPr="00310D49">
        <w:rPr>
          <w:lang w:val="fr-FR"/>
        </w:rPr>
        <w:lastRenderedPageBreak/>
        <w:t>israéliennes ont depuis 2003 gelé les demandes de «</w:t>
      </w:r>
      <w:r w:rsidR="0033561C">
        <w:rPr>
          <w:lang w:val="fr-FR"/>
        </w:rPr>
        <w:t> </w:t>
      </w:r>
      <w:r w:rsidRPr="00310D49">
        <w:rPr>
          <w:lang w:val="fr-FR"/>
        </w:rPr>
        <w:t>regroupement familial</w:t>
      </w:r>
      <w:r w:rsidR="0033561C">
        <w:rPr>
          <w:lang w:val="fr-FR"/>
        </w:rPr>
        <w:t> </w:t>
      </w:r>
      <w:r w:rsidRPr="00310D49">
        <w:rPr>
          <w:lang w:val="fr-FR"/>
        </w:rPr>
        <w:t>», obligeant ainsi de nombreux Palestinien(ne)s à Jérusalem ou à l</w:t>
      </w:r>
      <w:r w:rsidR="0035332C">
        <w:rPr>
          <w:lang w:val="fr-FR"/>
        </w:rPr>
        <w:t>’</w:t>
      </w:r>
      <w:r w:rsidRPr="00310D49">
        <w:rPr>
          <w:lang w:val="fr-FR"/>
        </w:rPr>
        <w:t>intérieur de la Ligne verte à soumettre une demande de regroupement familial pour leurs conjoints résidant en Cisjordanie ou dans la bande de Gaza afin de vivre avec leurs conjoints.</w:t>
      </w:r>
    </w:p>
    <w:p w14:paraId="75FF01AC" w14:textId="0D474EBC" w:rsidR="00D005FA" w:rsidRPr="00310D49" w:rsidRDefault="00D005FA" w:rsidP="00EB437D">
      <w:pPr>
        <w:pStyle w:val="SingleTxtG"/>
        <w:spacing w:before="120"/>
        <w:rPr>
          <w:spacing w:val="-4"/>
          <w:lang w:val="fr-FR"/>
        </w:rPr>
      </w:pPr>
      <w:r w:rsidRPr="00310D49">
        <w:rPr>
          <w:lang w:val="fr-FR"/>
        </w:rPr>
        <w:t>254.</w:t>
      </w:r>
      <w:r w:rsidRPr="00310D49">
        <w:rPr>
          <w:lang w:val="fr-FR"/>
        </w:rPr>
        <w:tab/>
        <w:t>Israël, puissance occupante contrôle tous les points de passage et toutes les frontières du territoire palestinien. Elle contrôle les frontières terrestres, l</w:t>
      </w:r>
      <w:r w:rsidR="0035332C">
        <w:rPr>
          <w:lang w:val="fr-FR"/>
        </w:rPr>
        <w:t>’</w:t>
      </w:r>
      <w:r w:rsidRPr="00310D49">
        <w:rPr>
          <w:lang w:val="fr-FR"/>
        </w:rPr>
        <w:t>espace aérien et les eaux territoriales, impose des restrictions au commerce extérieur et à la circulation des marchandises et entrave l</w:t>
      </w:r>
      <w:r w:rsidR="0035332C">
        <w:rPr>
          <w:lang w:val="fr-FR"/>
        </w:rPr>
        <w:t>’</w:t>
      </w:r>
      <w:r w:rsidRPr="00310D49">
        <w:rPr>
          <w:lang w:val="fr-FR"/>
        </w:rPr>
        <w:t>accès aux terres agricoles et aux zones de pêche. Israël impose également des restrictions draconiennes à la circulation des Palestiniens et les empêche de se déplacer sans un permis obtenu préalablement des autorités israéliennes, la Cisjordanie, Jérusalem et la bande de Gaza étant séparées les unes des autres.</w:t>
      </w:r>
    </w:p>
    <w:p w14:paraId="52F028B5" w14:textId="5723500A" w:rsidR="00D005FA" w:rsidRPr="00310D49" w:rsidRDefault="00D005FA" w:rsidP="00EB437D">
      <w:pPr>
        <w:pStyle w:val="SingleTxtG"/>
        <w:spacing w:before="120"/>
        <w:rPr>
          <w:lang w:val="fr-FR"/>
        </w:rPr>
      </w:pPr>
      <w:r w:rsidRPr="00310D49">
        <w:rPr>
          <w:lang w:val="fr-FR"/>
        </w:rPr>
        <w:t>255.</w:t>
      </w:r>
      <w:r w:rsidRPr="00310D49">
        <w:rPr>
          <w:lang w:val="fr-FR"/>
        </w:rPr>
        <w:tab/>
        <w:t>Le mur d</w:t>
      </w:r>
      <w:r w:rsidR="0035332C">
        <w:rPr>
          <w:lang w:val="fr-FR"/>
        </w:rPr>
        <w:t>’</w:t>
      </w:r>
      <w:r w:rsidRPr="00310D49">
        <w:rPr>
          <w:lang w:val="fr-FR"/>
        </w:rPr>
        <w:t>annexion et d</w:t>
      </w:r>
      <w:r w:rsidR="0035332C">
        <w:rPr>
          <w:lang w:val="fr-FR"/>
        </w:rPr>
        <w:t>’</w:t>
      </w:r>
      <w:r w:rsidRPr="00310D49">
        <w:rPr>
          <w:lang w:val="fr-FR"/>
        </w:rPr>
        <w:t>expansion construit par Israël, puissance occupante, sur le territoire palestinien occupé, est l</w:t>
      </w:r>
      <w:r w:rsidR="0035332C">
        <w:rPr>
          <w:lang w:val="fr-FR"/>
        </w:rPr>
        <w:t>’</w:t>
      </w:r>
      <w:r w:rsidRPr="00310D49">
        <w:rPr>
          <w:lang w:val="fr-FR"/>
        </w:rPr>
        <w:t>un des piliers les plus importants du colonialisme expansionniste et constitue une violation flagrante du droit international et de l</w:t>
      </w:r>
      <w:r w:rsidR="0035332C">
        <w:rPr>
          <w:lang w:val="fr-FR"/>
        </w:rPr>
        <w:t>’</w:t>
      </w:r>
      <w:r w:rsidRPr="00310D49">
        <w:rPr>
          <w:lang w:val="fr-FR"/>
        </w:rPr>
        <w:t>Avis consultatif de la Cour internationale de Justice et une violation du droit des Palestiniens à se déplacer. En effet, 80</w:t>
      </w:r>
      <w:r w:rsidR="0033561C">
        <w:rPr>
          <w:lang w:val="fr-FR"/>
        </w:rPr>
        <w:t> </w:t>
      </w:r>
      <w:r w:rsidRPr="00310D49">
        <w:rPr>
          <w:lang w:val="fr-FR"/>
        </w:rPr>
        <w:t>% du mur s</w:t>
      </w:r>
      <w:r w:rsidR="0035332C">
        <w:rPr>
          <w:lang w:val="fr-FR"/>
        </w:rPr>
        <w:t>’</w:t>
      </w:r>
      <w:r w:rsidRPr="00310D49">
        <w:rPr>
          <w:lang w:val="fr-FR"/>
        </w:rPr>
        <w:t>étend à l</w:t>
      </w:r>
      <w:r w:rsidR="0035332C">
        <w:rPr>
          <w:lang w:val="fr-FR"/>
        </w:rPr>
        <w:t>’</w:t>
      </w:r>
      <w:r w:rsidRPr="00310D49">
        <w:rPr>
          <w:lang w:val="fr-FR"/>
        </w:rPr>
        <w:t>intérieur de la Cisjordanie, entraînant ainsi une nouvelle fragmentation de la Palestine et l</w:t>
      </w:r>
      <w:r w:rsidR="0035332C">
        <w:rPr>
          <w:lang w:val="fr-FR"/>
        </w:rPr>
        <w:t>’</w:t>
      </w:r>
      <w:r w:rsidRPr="00310D49">
        <w:rPr>
          <w:lang w:val="fr-FR"/>
        </w:rPr>
        <w:t>isolation de plus de 12</w:t>
      </w:r>
      <w:r w:rsidR="0033561C">
        <w:rPr>
          <w:lang w:val="fr-FR"/>
        </w:rPr>
        <w:t> </w:t>
      </w:r>
      <w:r w:rsidRPr="00310D49">
        <w:rPr>
          <w:lang w:val="fr-FR"/>
        </w:rPr>
        <w:t>% du territoire cisjordanien. Cela a imposé des restrictions sur près de 1,9</w:t>
      </w:r>
      <w:r w:rsidR="0033561C">
        <w:rPr>
          <w:lang w:val="fr-FR"/>
        </w:rPr>
        <w:t> </w:t>
      </w:r>
      <w:r w:rsidRPr="00310D49">
        <w:rPr>
          <w:lang w:val="fr-FR"/>
        </w:rPr>
        <w:t xml:space="preserve">million de personnes vivant dans des zones proches du mur et/ou des colonies, de sorte que les Palestiniens qui se retrouvent isolés doivent solliciter la délivrance de permis pour pouvoir rentrer chez eux et en sortir pour aller travailler, étudier, se faire soigner ou accéder à leurs terres agricoles. </w:t>
      </w:r>
    </w:p>
    <w:p w14:paraId="62568018" w14:textId="473E4081" w:rsidR="00D005FA" w:rsidRPr="00310D49" w:rsidRDefault="00D005FA" w:rsidP="00EB437D">
      <w:pPr>
        <w:pStyle w:val="SingleTxtG"/>
        <w:spacing w:before="120"/>
        <w:rPr>
          <w:lang w:val="fr-FR"/>
        </w:rPr>
      </w:pPr>
      <w:r w:rsidRPr="00310D49">
        <w:rPr>
          <w:lang w:val="fr-FR"/>
        </w:rPr>
        <w:t>256.</w:t>
      </w:r>
      <w:r w:rsidRPr="00310D49">
        <w:rPr>
          <w:lang w:val="fr-FR"/>
        </w:rPr>
        <w:tab/>
        <w:t>En adoptant le régime discriminatoire des permis qui repose sur la délivrance de cartes d</w:t>
      </w:r>
      <w:r w:rsidR="0035332C">
        <w:rPr>
          <w:lang w:val="fr-FR"/>
        </w:rPr>
        <w:t>’</w:t>
      </w:r>
      <w:r w:rsidRPr="00310D49">
        <w:rPr>
          <w:lang w:val="fr-FR"/>
        </w:rPr>
        <w:t>identité, Israël, puissance occupante, a mis en place un système de restrictions à la liberté de mouvement des Palestiniens. Il s</w:t>
      </w:r>
      <w:r w:rsidR="0035332C">
        <w:rPr>
          <w:lang w:val="fr-FR"/>
        </w:rPr>
        <w:t>’</w:t>
      </w:r>
      <w:r w:rsidRPr="00310D49">
        <w:rPr>
          <w:lang w:val="fr-FR"/>
        </w:rPr>
        <w:t>agit d</w:t>
      </w:r>
      <w:r w:rsidR="0035332C">
        <w:rPr>
          <w:lang w:val="fr-FR"/>
        </w:rPr>
        <w:t>’</w:t>
      </w:r>
      <w:r w:rsidRPr="00310D49">
        <w:rPr>
          <w:lang w:val="fr-FR"/>
        </w:rPr>
        <w:t>un système qui oblige les Palestiniens à solliciter la délivrance d</w:t>
      </w:r>
      <w:r w:rsidR="0035332C">
        <w:rPr>
          <w:lang w:val="fr-FR"/>
        </w:rPr>
        <w:t>’</w:t>
      </w:r>
      <w:r w:rsidRPr="00310D49">
        <w:rPr>
          <w:lang w:val="fr-FR"/>
        </w:rPr>
        <w:t>un permis auprès des autorités israéliennes pour pouvoir se déplacer et entrer dans certaines zones des territoires palestiniens occupés, telles que Jérusalem-Est et les zones tampon situées entre le mur et la ligne verte, ainsi que pour pouvoir se déplacer entre la Cisjordanie et la bande de Gaza. Il convient de préciser ici que la procédure de délivrance de tels permis est tellement complexe qu</w:t>
      </w:r>
      <w:r w:rsidR="0035332C">
        <w:rPr>
          <w:lang w:val="fr-FR"/>
        </w:rPr>
        <w:t>’</w:t>
      </w:r>
      <w:r w:rsidRPr="00310D49">
        <w:rPr>
          <w:lang w:val="fr-FR"/>
        </w:rPr>
        <w:t>il est quasi impossible d</w:t>
      </w:r>
      <w:r w:rsidR="0035332C">
        <w:rPr>
          <w:lang w:val="fr-FR"/>
        </w:rPr>
        <w:t>’</w:t>
      </w:r>
      <w:r w:rsidRPr="00310D49">
        <w:rPr>
          <w:lang w:val="fr-FR"/>
        </w:rPr>
        <w:t xml:space="preserve">en obtenir un. </w:t>
      </w:r>
    </w:p>
    <w:p w14:paraId="2B7CF87B" w14:textId="6145A724" w:rsidR="00D005FA" w:rsidRPr="00310D49" w:rsidRDefault="00D005FA" w:rsidP="00EB437D">
      <w:pPr>
        <w:pStyle w:val="SingleTxtG"/>
        <w:spacing w:before="120"/>
        <w:rPr>
          <w:lang w:val="fr-FR"/>
        </w:rPr>
      </w:pPr>
      <w:r w:rsidRPr="00310D49">
        <w:rPr>
          <w:lang w:val="fr-FR"/>
        </w:rPr>
        <w:t>257.</w:t>
      </w:r>
      <w:r w:rsidRPr="00310D49">
        <w:rPr>
          <w:lang w:val="fr-FR"/>
        </w:rPr>
        <w:tab/>
        <w:t>Israël, puissance occupante, a également morcelé le Territoire palestinien, en instaurant un réseau complexe de postes de contrôle militaires renforcés par des éléments humains et disséminés à travers la Cisjordanie, et en obstruant les routes principales par des obstacles énormes tels que les cubes de béton et les portails en fer. Entre novembre 2014 et novembre 2016, le Haut-Commissariat des Nations Unies aux droits de l</w:t>
      </w:r>
      <w:r w:rsidR="0035332C">
        <w:rPr>
          <w:lang w:val="fr-FR"/>
        </w:rPr>
        <w:t>’</w:t>
      </w:r>
      <w:r w:rsidRPr="00310D49">
        <w:rPr>
          <w:lang w:val="fr-FR"/>
        </w:rPr>
        <w:t>homme a pu recenser environ 85 postes de contrôle fixes en Cisjordanie, outre des centaines de postes de contrôle volants et imprévus.</w:t>
      </w:r>
    </w:p>
    <w:p w14:paraId="74553F67" w14:textId="47224174" w:rsidR="00D005FA" w:rsidRPr="00310D49" w:rsidRDefault="00D005FA" w:rsidP="00EB437D">
      <w:pPr>
        <w:pStyle w:val="SingleTxtG"/>
        <w:spacing w:before="120"/>
        <w:rPr>
          <w:color w:val="000000"/>
          <w:lang w:val="fr-FR"/>
        </w:rPr>
      </w:pPr>
      <w:r w:rsidRPr="00310D49">
        <w:rPr>
          <w:lang w:val="fr-FR"/>
        </w:rPr>
        <w:t>258.</w:t>
      </w:r>
      <w:r w:rsidRPr="00310D49">
        <w:rPr>
          <w:lang w:val="fr-FR"/>
        </w:rPr>
        <w:tab/>
        <w:t>Le point de passage d</w:t>
      </w:r>
      <w:r w:rsidR="0035332C">
        <w:rPr>
          <w:lang w:val="fr-FR"/>
        </w:rPr>
        <w:t>’</w:t>
      </w:r>
      <w:r w:rsidRPr="00310D49">
        <w:rPr>
          <w:lang w:val="fr-FR"/>
        </w:rPr>
        <w:t>Al-Karama est le seul point d</w:t>
      </w:r>
      <w:r w:rsidR="0035332C">
        <w:rPr>
          <w:lang w:val="fr-FR"/>
        </w:rPr>
        <w:t>’</w:t>
      </w:r>
      <w:r w:rsidRPr="00310D49">
        <w:rPr>
          <w:lang w:val="fr-FR"/>
        </w:rPr>
        <w:t>accès à l</w:t>
      </w:r>
      <w:r w:rsidR="0035332C">
        <w:rPr>
          <w:lang w:val="fr-FR"/>
        </w:rPr>
        <w:t>’</w:t>
      </w:r>
      <w:r w:rsidRPr="00310D49">
        <w:rPr>
          <w:lang w:val="fr-FR"/>
        </w:rPr>
        <w:t>étranger depuis la Cisjordanie. Des dizaines de milliers de Palestiniens se sont vu imposer arbitrairement des interdictions de voyager sous de faux prétextes sécuritaires et sans décision judiciaire des autorités d</w:t>
      </w:r>
      <w:r w:rsidR="0035332C">
        <w:rPr>
          <w:lang w:val="fr-FR"/>
        </w:rPr>
        <w:t>’</w:t>
      </w:r>
      <w:r w:rsidRPr="00310D49">
        <w:rPr>
          <w:lang w:val="fr-FR"/>
        </w:rPr>
        <w:t>occupation israéliennes depuis 1967. Entre 2014 et 2017, la puissance occupante a empêché 8</w:t>
      </w:r>
      <w:r w:rsidR="00860CFD">
        <w:rPr>
          <w:lang w:val="fr-FR"/>
        </w:rPr>
        <w:t> </w:t>
      </w:r>
      <w:r w:rsidRPr="00310D49">
        <w:rPr>
          <w:lang w:val="fr-FR"/>
        </w:rPr>
        <w:t>874</w:t>
      </w:r>
      <w:r w:rsidR="00860CFD">
        <w:rPr>
          <w:lang w:val="fr-FR"/>
        </w:rPr>
        <w:t> </w:t>
      </w:r>
      <w:r w:rsidRPr="00310D49">
        <w:rPr>
          <w:lang w:val="fr-FR"/>
        </w:rPr>
        <w:t>personnes de franchir les différents passages frontaliers, les interdisant ainsi de voyager. Quant aux personnes frappées d</w:t>
      </w:r>
      <w:r w:rsidR="0035332C">
        <w:rPr>
          <w:lang w:val="fr-FR"/>
        </w:rPr>
        <w:t>’</w:t>
      </w:r>
      <w:r w:rsidRPr="00310D49">
        <w:rPr>
          <w:lang w:val="fr-FR"/>
        </w:rPr>
        <w:t>une interdiction de voyage par une décision préalable émanant de la puissance occupante, elles ont atteint le nombre de 83</w:t>
      </w:r>
      <w:r w:rsidR="00860CFD">
        <w:rPr>
          <w:lang w:val="fr-FR"/>
        </w:rPr>
        <w:t> </w:t>
      </w:r>
      <w:r w:rsidRPr="00310D49">
        <w:rPr>
          <w:lang w:val="fr-FR"/>
        </w:rPr>
        <w:t>895</w:t>
      </w:r>
      <w:r w:rsidR="00860CFD">
        <w:rPr>
          <w:lang w:val="fr-FR"/>
        </w:rPr>
        <w:t> </w:t>
      </w:r>
      <w:r w:rsidRPr="00310D49">
        <w:rPr>
          <w:lang w:val="fr-FR"/>
        </w:rPr>
        <w:t xml:space="preserve">individus en 2015 selon les statistiques du Département des affaires civiles. </w:t>
      </w:r>
    </w:p>
    <w:p w14:paraId="056E3F84" w14:textId="320BBD32" w:rsidR="00D005FA" w:rsidRPr="00310D49" w:rsidRDefault="00D005FA" w:rsidP="00EB437D">
      <w:pPr>
        <w:pStyle w:val="SingleTxtG"/>
        <w:spacing w:before="120"/>
        <w:rPr>
          <w:lang w:val="fr-FR"/>
        </w:rPr>
      </w:pPr>
      <w:r w:rsidRPr="00310D49">
        <w:rPr>
          <w:lang w:val="fr-FR"/>
        </w:rPr>
        <w:t>259.</w:t>
      </w:r>
      <w:r w:rsidRPr="00310D49">
        <w:rPr>
          <w:lang w:val="fr-FR"/>
        </w:rPr>
        <w:tab/>
        <w:t>Israël, puissance occupante, recourt au châtiment collectif contre deux millions de Palestiniens en imposant un blocus illégal sur la bande de Gaza depuis 2007. En conséquence, il est presque impossible de quitter les lieux, puisque les demandes de permis de sortie sont rejetées même dans les cas humanitaires et médicaux. Les autorités d</w:t>
      </w:r>
      <w:r w:rsidR="0035332C">
        <w:rPr>
          <w:lang w:val="fr-FR"/>
        </w:rPr>
        <w:t>’</w:t>
      </w:r>
      <w:r w:rsidRPr="00310D49">
        <w:rPr>
          <w:lang w:val="fr-FR"/>
        </w:rPr>
        <w:t>occupation restreignent également l</w:t>
      </w:r>
      <w:r w:rsidR="0035332C">
        <w:rPr>
          <w:lang w:val="fr-FR"/>
        </w:rPr>
        <w:t>’</w:t>
      </w:r>
      <w:r w:rsidRPr="00310D49">
        <w:rPr>
          <w:lang w:val="fr-FR"/>
        </w:rPr>
        <w:t>accès terrestre et maritime à Gaza, ce qui compromet l</w:t>
      </w:r>
      <w:r w:rsidR="0035332C">
        <w:rPr>
          <w:lang w:val="fr-FR"/>
        </w:rPr>
        <w:t>’</w:t>
      </w:r>
      <w:r w:rsidRPr="00310D49">
        <w:rPr>
          <w:lang w:val="fr-FR"/>
        </w:rPr>
        <w:t>accès aux services de base et exacerbe la pauvreté et le chômage.</w:t>
      </w:r>
    </w:p>
    <w:p w14:paraId="71877069" w14:textId="7ABBCB15" w:rsidR="00D005FA" w:rsidRPr="00310D49" w:rsidRDefault="00D005FA" w:rsidP="00EB437D">
      <w:pPr>
        <w:pStyle w:val="SingleTxtG"/>
        <w:spacing w:before="120"/>
        <w:rPr>
          <w:lang w:val="fr-FR"/>
        </w:rPr>
      </w:pPr>
      <w:r w:rsidRPr="00310D49">
        <w:rPr>
          <w:lang w:val="fr-FR"/>
        </w:rPr>
        <w:t>260.</w:t>
      </w:r>
      <w:r w:rsidRPr="00310D49">
        <w:rPr>
          <w:lang w:val="fr-FR"/>
        </w:rPr>
        <w:tab/>
        <w:t>Lors de l</w:t>
      </w:r>
      <w:r w:rsidR="0035332C">
        <w:rPr>
          <w:lang w:val="fr-FR"/>
        </w:rPr>
        <w:t>’</w:t>
      </w:r>
      <w:r w:rsidRPr="00310D49">
        <w:rPr>
          <w:lang w:val="fr-FR"/>
        </w:rPr>
        <w:t>agression israélienne contre la bande de Gaza en 2014, le nombre de Palestiniens déplacés de force a atteint 65</w:t>
      </w:r>
      <w:r w:rsidR="00860CFD">
        <w:rPr>
          <w:lang w:val="fr-FR"/>
        </w:rPr>
        <w:t> </w:t>
      </w:r>
      <w:r w:rsidRPr="00310D49">
        <w:rPr>
          <w:lang w:val="fr-FR"/>
        </w:rPr>
        <w:t>000</w:t>
      </w:r>
      <w:r w:rsidR="00860CFD">
        <w:rPr>
          <w:lang w:val="fr-FR"/>
        </w:rPr>
        <w:t> </w:t>
      </w:r>
      <w:r w:rsidRPr="00310D49">
        <w:rPr>
          <w:lang w:val="fr-FR"/>
        </w:rPr>
        <w:t>individus. La politique d</w:t>
      </w:r>
      <w:r w:rsidR="0035332C">
        <w:rPr>
          <w:lang w:val="fr-FR"/>
        </w:rPr>
        <w:t>’</w:t>
      </w:r>
      <w:r w:rsidRPr="00310D49">
        <w:rPr>
          <w:lang w:val="fr-FR"/>
        </w:rPr>
        <w:t>occupation israélienne de démolition administrative arbitraire de logements palestiniens constitue l</w:t>
      </w:r>
      <w:r w:rsidR="0035332C">
        <w:rPr>
          <w:lang w:val="fr-FR"/>
        </w:rPr>
        <w:t>’</w:t>
      </w:r>
      <w:r w:rsidRPr="00310D49">
        <w:rPr>
          <w:lang w:val="fr-FR"/>
        </w:rPr>
        <w:t>un des instruments les plus importants de la déportation forcée indirecte des Palestiniens. Depuis</w:t>
      </w:r>
      <w:r w:rsidR="00860CFD">
        <w:rPr>
          <w:lang w:val="fr-FR"/>
        </w:rPr>
        <w:t> </w:t>
      </w:r>
      <w:r w:rsidRPr="00310D49">
        <w:rPr>
          <w:lang w:val="fr-FR"/>
        </w:rPr>
        <w:t>2009, le Gouvernement d</w:t>
      </w:r>
      <w:r w:rsidR="0035332C">
        <w:rPr>
          <w:lang w:val="fr-FR"/>
        </w:rPr>
        <w:t>’</w:t>
      </w:r>
      <w:r w:rsidRPr="00310D49">
        <w:rPr>
          <w:lang w:val="fr-FR"/>
        </w:rPr>
        <w:t>occupation israélien recourt plus massivement à la démolition d</w:t>
      </w:r>
      <w:r w:rsidR="0035332C">
        <w:rPr>
          <w:lang w:val="fr-FR"/>
        </w:rPr>
        <w:t>’</w:t>
      </w:r>
      <w:r w:rsidRPr="00310D49">
        <w:rPr>
          <w:lang w:val="fr-FR"/>
        </w:rPr>
        <w:t xml:space="preserve">habitations et de structures comme moyen de châtiment collective. Au mois de </w:t>
      </w:r>
      <w:r w:rsidRPr="00310D49">
        <w:rPr>
          <w:lang w:val="fr-FR"/>
        </w:rPr>
        <w:lastRenderedPageBreak/>
        <w:t>mars 2019, 5</w:t>
      </w:r>
      <w:r w:rsidR="00860CFD">
        <w:rPr>
          <w:lang w:val="fr-FR"/>
        </w:rPr>
        <w:t> </w:t>
      </w:r>
      <w:r w:rsidRPr="00310D49">
        <w:rPr>
          <w:lang w:val="fr-FR"/>
        </w:rPr>
        <w:t>884</w:t>
      </w:r>
      <w:r w:rsidR="00860CFD">
        <w:rPr>
          <w:lang w:val="fr-FR"/>
        </w:rPr>
        <w:t> </w:t>
      </w:r>
      <w:r w:rsidRPr="00310D49">
        <w:rPr>
          <w:lang w:val="fr-FR"/>
        </w:rPr>
        <w:t>bâtiments et structures appartenant à des Palestiniens en Cisjordanie, y</w:t>
      </w:r>
      <w:r w:rsidR="00860CFD">
        <w:rPr>
          <w:lang w:val="fr-FR"/>
        </w:rPr>
        <w:t> </w:t>
      </w:r>
      <w:r w:rsidRPr="00310D49">
        <w:rPr>
          <w:lang w:val="fr-FR"/>
        </w:rPr>
        <w:t>compris Jérusalem, ont été démolis, ce qui s</w:t>
      </w:r>
      <w:r w:rsidR="0035332C">
        <w:rPr>
          <w:lang w:val="fr-FR"/>
        </w:rPr>
        <w:t>’</w:t>
      </w:r>
      <w:r w:rsidRPr="00310D49">
        <w:rPr>
          <w:lang w:val="fr-FR"/>
        </w:rPr>
        <w:t>est traduit par l</w:t>
      </w:r>
      <w:r w:rsidR="0035332C">
        <w:rPr>
          <w:lang w:val="fr-FR"/>
        </w:rPr>
        <w:t>’</w:t>
      </w:r>
      <w:r w:rsidRPr="00310D49">
        <w:rPr>
          <w:lang w:val="fr-FR"/>
        </w:rPr>
        <w:t>expulsion de 9</w:t>
      </w:r>
      <w:r w:rsidR="00860CFD">
        <w:rPr>
          <w:lang w:val="fr-FR"/>
        </w:rPr>
        <w:t> </w:t>
      </w:r>
      <w:r w:rsidRPr="00310D49">
        <w:rPr>
          <w:lang w:val="fr-FR"/>
        </w:rPr>
        <w:t>210</w:t>
      </w:r>
      <w:r w:rsidR="00860CFD">
        <w:rPr>
          <w:lang w:val="fr-FR"/>
        </w:rPr>
        <w:t> </w:t>
      </w:r>
      <w:r w:rsidRPr="00310D49">
        <w:rPr>
          <w:lang w:val="fr-FR"/>
        </w:rPr>
        <w:t>Palestiniens et des conséquences négatives sur la vie de 71</w:t>
      </w:r>
      <w:r w:rsidR="00860CFD">
        <w:rPr>
          <w:lang w:val="fr-FR"/>
        </w:rPr>
        <w:t> </w:t>
      </w:r>
      <w:r w:rsidRPr="00310D49">
        <w:rPr>
          <w:lang w:val="fr-FR"/>
        </w:rPr>
        <w:t>672</w:t>
      </w:r>
      <w:r w:rsidR="00860CFD">
        <w:rPr>
          <w:lang w:val="fr-FR"/>
        </w:rPr>
        <w:t> </w:t>
      </w:r>
      <w:r w:rsidRPr="00310D49">
        <w:rPr>
          <w:lang w:val="fr-FR"/>
        </w:rPr>
        <w:t>autres.</w:t>
      </w:r>
    </w:p>
    <w:p w14:paraId="73F05497" w14:textId="400CE4BA" w:rsidR="00D005FA" w:rsidRPr="00310D49" w:rsidRDefault="00D005FA" w:rsidP="00EB437D">
      <w:pPr>
        <w:pStyle w:val="SingleTxtG"/>
        <w:spacing w:before="120"/>
        <w:rPr>
          <w:lang w:val="fr-FR"/>
        </w:rPr>
      </w:pPr>
      <w:r w:rsidRPr="00310D49">
        <w:rPr>
          <w:lang w:val="fr-FR"/>
        </w:rPr>
        <w:t>261.</w:t>
      </w:r>
      <w:r w:rsidRPr="00310D49">
        <w:rPr>
          <w:lang w:val="fr-FR"/>
        </w:rPr>
        <w:tab/>
        <w:t>Israël, puissance occupante, a refusé de laisser entrer dans le Territoire palestinien occupé des rapporteurs spéciaux des Nations Unies au mépris des recommandations pertinentes du Conseil des droits de l</w:t>
      </w:r>
      <w:r w:rsidR="0035332C">
        <w:rPr>
          <w:lang w:val="fr-FR"/>
        </w:rPr>
        <w:t>’</w:t>
      </w:r>
      <w:r w:rsidRPr="00310D49">
        <w:rPr>
          <w:lang w:val="fr-FR"/>
        </w:rPr>
        <w:t>homme. En outre, les autorités d</w:t>
      </w:r>
      <w:r w:rsidR="0035332C">
        <w:rPr>
          <w:lang w:val="fr-FR"/>
        </w:rPr>
        <w:t>’</w:t>
      </w:r>
      <w:r w:rsidRPr="00310D49">
        <w:rPr>
          <w:lang w:val="fr-FR"/>
        </w:rPr>
        <w:t>occupation israéliennes ont pour politique de limiter la présence internationale et l</w:t>
      </w:r>
      <w:r w:rsidR="0035332C">
        <w:rPr>
          <w:lang w:val="fr-FR"/>
        </w:rPr>
        <w:t>’</w:t>
      </w:r>
      <w:r w:rsidRPr="00310D49">
        <w:rPr>
          <w:lang w:val="fr-FR"/>
        </w:rPr>
        <w:t>entrée d</w:t>
      </w:r>
      <w:r w:rsidR="0035332C">
        <w:rPr>
          <w:lang w:val="fr-FR"/>
        </w:rPr>
        <w:t>’</w:t>
      </w:r>
      <w:r w:rsidRPr="00310D49">
        <w:rPr>
          <w:lang w:val="fr-FR"/>
        </w:rPr>
        <w:t>étrangers et de travailleurs d</w:t>
      </w:r>
      <w:r w:rsidR="0035332C">
        <w:rPr>
          <w:lang w:val="fr-FR"/>
        </w:rPr>
        <w:t>’</w:t>
      </w:r>
      <w:r w:rsidRPr="00310D49">
        <w:rPr>
          <w:lang w:val="fr-FR"/>
        </w:rPr>
        <w:t>organisations internationales, ainsi que d</w:t>
      </w:r>
      <w:r w:rsidR="0035332C">
        <w:rPr>
          <w:lang w:val="fr-FR"/>
        </w:rPr>
        <w:t>’</w:t>
      </w:r>
      <w:r w:rsidRPr="00310D49">
        <w:rPr>
          <w:lang w:val="fr-FR"/>
        </w:rPr>
        <w:t>arrêter certaines personnes étrangères solidaires avec le peuple palestinien et de les expulser du Territoire palestinien occupé.</w:t>
      </w:r>
    </w:p>
    <w:p w14:paraId="65EA2D26" w14:textId="77777777" w:rsidR="00D005FA" w:rsidRPr="00310D49" w:rsidRDefault="00D005FA" w:rsidP="00EB437D">
      <w:pPr>
        <w:pStyle w:val="H23G"/>
        <w:rPr>
          <w:lang w:val="fr-FR"/>
        </w:rPr>
      </w:pPr>
      <w:r w:rsidRPr="00310D49">
        <w:rPr>
          <w:lang w:val="fr-FR"/>
        </w:rPr>
        <w:tab/>
      </w:r>
      <w:r w:rsidRPr="00310D49">
        <w:rPr>
          <w:lang w:val="fr-FR"/>
        </w:rPr>
        <w:tab/>
        <w:t>Droit à la liberté de circulation conformément à la législation palestinienne</w:t>
      </w:r>
    </w:p>
    <w:p w14:paraId="63D2F43A" w14:textId="4E20DEE4" w:rsidR="00D005FA" w:rsidRPr="00310D49" w:rsidRDefault="00D005FA" w:rsidP="00EB437D">
      <w:pPr>
        <w:pStyle w:val="SingleTxtG"/>
        <w:spacing w:before="120"/>
        <w:rPr>
          <w:lang w:val="fr-FR"/>
        </w:rPr>
      </w:pPr>
      <w:r w:rsidRPr="00310D49">
        <w:rPr>
          <w:lang w:val="fr-FR"/>
        </w:rPr>
        <w:t>262.</w:t>
      </w:r>
      <w:r w:rsidRPr="00310D49">
        <w:rPr>
          <w:lang w:val="fr-FR"/>
        </w:rPr>
        <w:tab/>
        <w:t>Il est énoncé dans la Loi fondamentale, telle que modifiée, que «</w:t>
      </w:r>
      <w:r w:rsidR="00860CFD">
        <w:rPr>
          <w:lang w:val="fr-FR"/>
        </w:rPr>
        <w:t> </w:t>
      </w:r>
      <w:r w:rsidRPr="00310D49">
        <w:rPr>
          <w:lang w:val="fr-FR"/>
        </w:rPr>
        <w:t>[l]a liberté de séjour et de circulation est garantie dans les limites de la loi</w:t>
      </w:r>
      <w:r w:rsidR="00860CFD">
        <w:rPr>
          <w:lang w:val="fr-FR"/>
        </w:rPr>
        <w:t> </w:t>
      </w:r>
      <w:r w:rsidRPr="00310D49">
        <w:rPr>
          <w:lang w:val="fr-FR"/>
        </w:rPr>
        <w:t>» (art</w:t>
      </w:r>
      <w:r w:rsidR="00860CFD">
        <w:rPr>
          <w:lang w:val="fr-FR"/>
        </w:rPr>
        <w:t>. </w:t>
      </w:r>
      <w:r w:rsidRPr="00310D49">
        <w:rPr>
          <w:lang w:val="fr-FR"/>
        </w:rPr>
        <w:t>20), qu</w:t>
      </w:r>
      <w:r w:rsidR="0035332C">
        <w:rPr>
          <w:lang w:val="fr-FR"/>
        </w:rPr>
        <w:t>’</w:t>
      </w:r>
      <w:r w:rsidRPr="00310D49">
        <w:rPr>
          <w:lang w:val="fr-FR"/>
        </w:rPr>
        <w:t>il est interdit de limiter la liberté de circulation de toute personne, sauf sur la base d</w:t>
      </w:r>
      <w:r w:rsidR="0035332C">
        <w:rPr>
          <w:lang w:val="fr-FR"/>
        </w:rPr>
        <w:t>’</w:t>
      </w:r>
      <w:r w:rsidRPr="00310D49">
        <w:rPr>
          <w:lang w:val="fr-FR"/>
        </w:rPr>
        <w:t>une décision de justice rendue conformément aux dispositions de la loi (art</w:t>
      </w:r>
      <w:r w:rsidR="00860CFD">
        <w:rPr>
          <w:lang w:val="fr-FR"/>
        </w:rPr>
        <w:t>. </w:t>
      </w:r>
      <w:r w:rsidRPr="00310D49">
        <w:rPr>
          <w:lang w:val="fr-FR"/>
        </w:rPr>
        <w:t>11) et qu</w:t>
      </w:r>
      <w:r w:rsidR="0035332C">
        <w:rPr>
          <w:lang w:val="fr-FR"/>
        </w:rPr>
        <w:t>’</w:t>
      </w:r>
      <w:r w:rsidRPr="00310D49">
        <w:rPr>
          <w:lang w:val="fr-FR"/>
        </w:rPr>
        <w:t>«</w:t>
      </w:r>
      <w:r w:rsidR="00860CFD">
        <w:rPr>
          <w:lang w:val="fr-FR"/>
        </w:rPr>
        <w:t> </w:t>
      </w:r>
      <w:r w:rsidRPr="00310D49">
        <w:rPr>
          <w:lang w:val="fr-FR"/>
        </w:rPr>
        <w:t>[a]ucun Palestinien ne peut être expulsé de sa patrie</w:t>
      </w:r>
      <w:r w:rsidR="00B02693">
        <w:rPr>
          <w:lang w:val="fr-FR"/>
        </w:rPr>
        <w:t> </w:t>
      </w:r>
      <w:r w:rsidRPr="00310D49">
        <w:rPr>
          <w:lang w:val="fr-FR"/>
        </w:rPr>
        <w:t>; on ne peut l</w:t>
      </w:r>
      <w:r w:rsidR="0035332C">
        <w:rPr>
          <w:lang w:val="fr-FR"/>
        </w:rPr>
        <w:t>’</w:t>
      </w:r>
      <w:r w:rsidRPr="00310D49">
        <w:rPr>
          <w:lang w:val="fr-FR"/>
        </w:rPr>
        <w:t>empêcher ni lui interdire de la quitter ou d</w:t>
      </w:r>
      <w:r w:rsidR="0035332C">
        <w:rPr>
          <w:lang w:val="fr-FR"/>
        </w:rPr>
        <w:t>’</w:t>
      </w:r>
      <w:r w:rsidRPr="00310D49">
        <w:rPr>
          <w:lang w:val="fr-FR"/>
        </w:rPr>
        <w:t>y retourner, le priver de sa citoyenneté ni le remettre à une entité étrangère</w:t>
      </w:r>
      <w:r w:rsidR="00860CFD">
        <w:rPr>
          <w:lang w:val="fr-FR"/>
        </w:rPr>
        <w:t> </w:t>
      </w:r>
      <w:r w:rsidRPr="00310D49">
        <w:rPr>
          <w:lang w:val="fr-FR"/>
        </w:rPr>
        <w:t>» (art</w:t>
      </w:r>
      <w:r w:rsidR="00860CFD">
        <w:rPr>
          <w:lang w:val="fr-FR"/>
        </w:rPr>
        <w:t>. </w:t>
      </w:r>
      <w:r w:rsidRPr="00310D49">
        <w:rPr>
          <w:lang w:val="fr-FR"/>
        </w:rPr>
        <w:t>28).</w:t>
      </w:r>
    </w:p>
    <w:p w14:paraId="2EF044B7" w14:textId="0541FD57" w:rsidR="00D005FA" w:rsidRPr="00310D49" w:rsidRDefault="00D005FA" w:rsidP="00EB437D">
      <w:pPr>
        <w:pStyle w:val="SingleTxtG"/>
        <w:spacing w:before="120"/>
        <w:rPr>
          <w:lang w:val="fr-FR"/>
        </w:rPr>
      </w:pPr>
      <w:r w:rsidRPr="00310D49">
        <w:rPr>
          <w:lang w:val="fr-FR"/>
        </w:rPr>
        <w:t>263.</w:t>
      </w:r>
      <w:r w:rsidRPr="00310D49">
        <w:rPr>
          <w:lang w:val="fr-FR"/>
        </w:rPr>
        <w:tab/>
        <w:t xml:space="preserve">Le droit établit des règles applicables aux interdictions de voyager. </w:t>
      </w:r>
      <w:r w:rsidRPr="002E7C60">
        <w:rPr>
          <w:lang w:val="fr-FR"/>
        </w:rPr>
        <w:t>Ainsi, un tribunal peut émettre une interdiction de voyager lorsqu</w:t>
      </w:r>
      <w:r w:rsidR="0035332C">
        <w:rPr>
          <w:lang w:val="fr-FR"/>
        </w:rPr>
        <w:t>’</w:t>
      </w:r>
      <w:r w:rsidRPr="002E7C60">
        <w:rPr>
          <w:lang w:val="fr-FR"/>
        </w:rPr>
        <w:t xml:space="preserve">il est </w:t>
      </w:r>
      <w:r w:rsidR="002E7C60" w:rsidRPr="002E7C60">
        <w:rPr>
          <w:lang w:val="fr-FR"/>
        </w:rPr>
        <w:t xml:space="preserve">convaincu </w:t>
      </w:r>
      <w:r w:rsidRPr="002E7C60">
        <w:rPr>
          <w:lang w:val="fr-FR"/>
        </w:rPr>
        <w:t>que le défendeur a l</w:t>
      </w:r>
      <w:r w:rsidR="0035332C">
        <w:rPr>
          <w:lang w:val="fr-FR"/>
        </w:rPr>
        <w:t>’</w:t>
      </w:r>
      <w:r w:rsidRPr="002E7C60">
        <w:rPr>
          <w:lang w:val="fr-FR"/>
        </w:rPr>
        <w:t>intention de voyager pour se soustraire à une obligation financière sans fournir de caution, conformément à l</w:t>
      </w:r>
      <w:r w:rsidR="0035332C">
        <w:rPr>
          <w:lang w:val="fr-FR"/>
        </w:rPr>
        <w:t>’</w:t>
      </w:r>
      <w:r w:rsidRPr="002E7C60">
        <w:rPr>
          <w:lang w:val="fr-FR"/>
        </w:rPr>
        <w:t>article</w:t>
      </w:r>
      <w:r w:rsidR="00860CFD" w:rsidRPr="002E7C60">
        <w:rPr>
          <w:lang w:val="fr-FR"/>
        </w:rPr>
        <w:t> </w:t>
      </w:r>
      <w:r w:rsidRPr="002E7C60">
        <w:rPr>
          <w:lang w:val="fr-FR"/>
        </w:rPr>
        <w:t>277 du Code de procédure civile et commerciale.</w:t>
      </w:r>
    </w:p>
    <w:p w14:paraId="5288ECAF" w14:textId="6A6E368B" w:rsidR="00D005FA" w:rsidRPr="00310D49" w:rsidRDefault="00D005FA" w:rsidP="00EB437D">
      <w:pPr>
        <w:pStyle w:val="SingleTxtG"/>
        <w:spacing w:before="120"/>
        <w:rPr>
          <w:lang w:val="fr-FR"/>
        </w:rPr>
      </w:pPr>
      <w:r w:rsidRPr="00310D49">
        <w:rPr>
          <w:lang w:val="fr-FR"/>
        </w:rPr>
        <w:t>264.</w:t>
      </w:r>
      <w:r w:rsidRPr="00310D49">
        <w:rPr>
          <w:lang w:val="fr-FR"/>
        </w:rPr>
        <w:tab/>
        <w:t>Conformément à l</w:t>
      </w:r>
      <w:r w:rsidR="0035332C">
        <w:rPr>
          <w:lang w:val="fr-FR"/>
        </w:rPr>
        <w:t>’</w:t>
      </w:r>
      <w:r w:rsidRPr="00310D49">
        <w:rPr>
          <w:lang w:val="fr-FR"/>
        </w:rPr>
        <w:t>article 11 de la loi sur les renseignements généraux, le chef du service des renseignements demande au procureur général, conformément à la loi, de prendre des décisions judiciaires interdisant à des étrangers de sortir du pays ou d</w:t>
      </w:r>
      <w:r w:rsidR="0035332C">
        <w:rPr>
          <w:lang w:val="fr-FR"/>
        </w:rPr>
        <w:t>’</w:t>
      </w:r>
      <w:r w:rsidRPr="00310D49">
        <w:rPr>
          <w:lang w:val="fr-FR"/>
        </w:rPr>
        <w:t>y entrer, et à des citoyens de voyager pour des raisons de sécurité nationale. Ces décisions sont soumises au contrôle de la Haute Cour de justice. Par exemple, dans l</w:t>
      </w:r>
      <w:r w:rsidR="0035332C">
        <w:rPr>
          <w:lang w:val="fr-FR"/>
        </w:rPr>
        <w:t>’</w:t>
      </w:r>
      <w:r w:rsidRPr="00310D49">
        <w:rPr>
          <w:lang w:val="fr-FR"/>
        </w:rPr>
        <w:t>affaire n</w:t>
      </w:r>
      <w:r w:rsidR="00860CFD" w:rsidRPr="00860CFD">
        <w:rPr>
          <w:vertAlign w:val="superscript"/>
          <w:lang w:val="fr-FR"/>
        </w:rPr>
        <w:t>o</w:t>
      </w:r>
      <w:r w:rsidR="00860CFD">
        <w:rPr>
          <w:lang w:val="fr-FR"/>
        </w:rPr>
        <w:t> </w:t>
      </w:r>
      <w:r w:rsidRPr="00310D49">
        <w:rPr>
          <w:lang w:val="fr-FR"/>
        </w:rPr>
        <w:t>234/2017, la Haute Cour de justice a annulé la décision du ministère public d</w:t>
      </w:r>
      <w:r w:rsidR="0035332C">
        <w:rPr>
          <w:lang w:val="fr-FR"/>
        </w:rPr>
        <w:t>’</w:t>
      </w:r>
      <w:r w:rsidRPr="00310D49">
        <w:rPr>
          <w:lang w:val="fr-FR"/>
        </w:rPr>
        <w:t>interdire à un citoyen de voyager, car le ministère public n</w:t>
      </w:r>
      <w:r w:rsidR="0035332C">
        <w:rPr>
          <w:lang w:val="fr-FR"/>
        </w:rPr>
        <w:t>’</w:t>
      </w:r>
      <w:r w:rsidRPr="00310D49">
        <w:rPr>
          <w:lang w:val="fr-FR"/>
        </w:rPr>
        <w:t>avait fourni à la cour aucun élément de preuve ou indice, ni aucune décision judiciaire expliquant pourquoi le requérant avait été empêché de voyager. Cet arrêt de la Haute Cour est venu confirmer les dispositions de la Loi fondamentale, telle que modifiée.</w:t>
      </w:r>
    </w:p>
    <w:p w14:paraId="69ECC4FF" w14:textId="0CDC7062" w:rsidR="00D005FA" w:rsidRPr="00310D49" w:rsidRDefault="00D005FA" w:rsidP="00EB437D">
      <w:pPr>
        <w:pStyle w:val="SingleTxtG"/>
        <w:spacing w:before="120"/>
        <w:rPr>
          <w:lang w:val="fr-FR"/>
        </w:rPr>
      </w:pPr>
      <w:r w:rsidRPr="00310D49">
        <w:rPr>
          <w:lang w:val="fr-FR"/>
        </w:rPr>
        <w:t>265.</w:t>
      </w:r>
      <w:r w:rsidRPr="00310D49">
        <w:rPr>
          <w:lang w:val="fr-FR"/>
        </w:rPr>
        <w:tab/>
        <w:t>Tout citoyen doté d</w:t>
      </w:r>
      <w:r w:rsidR="0035332C">
        <w:rPr>
          <w:lang w:val="fr-FR"/>
        </w:rPr>
        <w:t>’</w:t>
      </w:r>
      <w:r w:rsidRPr="00310D49">
        <w:rPr>
          <w:lang w:val="fr-FR"/>
        </w:rPr>
        <w:t>un numéro d</w:t>
      </w:r>
      <w:r w:rsidR="0035332C">
        <w:rPr>
          <w:lang w:val="fr-FR"/>
        </w:rPr>
        <w:t>’</w:t>
      </w:r>
      <w:r w:rsidRPr="00310D49">
        <w:rPr>
          <w:lang w:val="fr-FR"/>
        </w:rPr>
        <w:t>enregistrement, quel que soit son âge, a droit à un passeport palestinien ayant une durée de validité de cinq ans. Un passeport ordinaire est délivré en une journée lorsque toutes les pièces justificatives sont fournies. Le tableau ci</w:t>
      </w:r>
      <w:r w:rsidR="00860CFD">
        <w:rPr>
          <w:lang w:val="fr-FR"/>
        </w:rPr>
        <w:noBreakHyphen/>
      </w:r>
      <w:r w:rsidRPr="00310D49">
        <w:rPr>
          <w:lang w:val="fr-FR"/>
        </w:rPr>
        <w:t>après reprend les données du Ministère de l</w:t>
      </w:r>
      <w:r w:rsidR="0035332C">
        <w:rPr>
          <w:lang w:val="fr-FR"/>
        </w:rPr>
        <w:t>’</w:t>
      </w:r>
      <w:r w:rsidRPr="00310D49">
        <w:rPr>
          <w:lang w:val="fr-FR"/>
        </w:rPr>
        <w:t xml:space="preserve">intérieur relatives aux demandes de passeport traitées. </w:t>
      </w:r>
    </w:p>
    <w:tbl>
      <w:tblPr>
        <w:tblW w:w="7370" w:type="dxa"/>
        <w:tblInd w:w="1134" w:type="dxa"/>
        <w:tblLayout w:type="fixed"/>
        <w:tblCellMar>
          <w:left w:w="0" w:type="dxa"/>
          <w:right w:w="0" w:type="dxa"/>
        </w:tblCellMar>
        <w:tblLook w:val="04A0" w:firstRow="1" w:lastRow="0" w:firstColumn="1" w:lastColumn="0" w:noHBand="0" w:noVBand="1"/>
      </w:tblPr>
      <w:tblGrid>
        <w:gridCol w:w="5812"/>
        <w:gridCol w:w="1558"/>
      </w:tblGrid>
      <w:tr w:rsidR="00B76332" w:rsidRPr="00B76332" w14:paraId="0BC68C7D" w14:textId="77777777" w:rsidTr="00B76332">
        <w:trPr>
          <w:tblHeader/>
        </w:trPr>
        <w:tc>
          <w:tcPr>
            <w:tcW w:w="5812" w:type="dxa"/>
            <w:tcBorders>
              <w:top w:val="single" w:sz="4" w:space="0" w:color="auto"/>
              <w:bottom w:val="single" w:sz="12" w:space="0" w:color="auto"/>
            </w:tcBorders>
            <w:shd w:val="clear" w:color="auto" w:fill="auto"/>
            <w:vAlign w:val="bottom"/>
          </w:tcPr>
          <w:p w14:paraId="3B4E5928" w14:textId="77777777" w:rsidR="00D005FA" w:rsidRPr="00B76332" w:rsidRDefault="00D005FA" w:rsidP="00B76332">
            <w:pPr>
              <w:suppressAutoHyphens w:val="0"/>
              <w:spacing w:before="80" w:after="80" w:line="200" w:lineRule="exact"/>
              <w:rPr>
                <w:i/>
                <w:sz w:val="16"/>
                <w:lang w:val="fr-FR"/>
              </w:rPr>
            </w:pPr>
            <w:r w:rsidRPr="00B76332">
              <w:rPr>
                <w:i/>
                <w:sz w:val="16"/>
                <w:lang w:val="fr-FR"/>
              </w:rPr>
              <w:t>Année</w:t>
            </w:r>
          </w:p>
        </w:tc>
        <w:tc>
          <w:tcPr>
            <w:tcW w:w="1558" w:type="dxa"/>
            <w:tcBorders>
              <w:top w:val="single" w:sz="4" w:space="0" w:color="auto"/>
              <w:bottom w:val="single" w:sz="12" w:space="0" w:color="auto"/>
            </w:tcBorders>
            <w:shd w:val="clear" w:color="auto" w:fill="auto"/>
            <w:vAlign w:val="bottom"/>
          </w:tcPr>
          <w:p w14:paraId="47BF2A4C" w14:textId="77777777" w:rsidR="00D005FA" w:rsidRPr="00B76332" w:rsidRDefault="00D005FA" w:rsidP="00B76332">
            <w:pPr>
              <w:suppressAutoHyphens w:val="0"/>
              <w:spacing w:before="80" w:after="80" w:line="200" w:lineRule="exact"/>
              <w:jc w:val="right"/>
              <w:rPr>
                <w:i/>
                <w:sz w:val="16"/>
                <w:lang w:val="fr-FR"/>
              </w:rPr>
            </w:pPr>
            <w:r w:rsidRPr="00B76332">
              <w:rPr>
                <w:i/>
                <w:sz w:val="16"/>
                <w:lang w:val="fr-FR"/>
              </w:rPr>
              <w:t>Demandes traitées</w:t>
            </w:r>
          </w:p>
        </w:tc>
      </w:tr>
      <w:tr w:rsidR="00D005FA" w:rsidRPr="00B76332" w14:paraId="52471420" w14:textId="77777777" w:rsidTr="00B76332">
        <w:tc>
          <w:tcPr>
            <w:tcW w:w="5812" w:type="dxa"/>
            <w:tcBorders>
              <w:top w:val="single" w:sz="12" w:space="0" w:color="auto"/>
            </w:tcBorders>
            <w:shd w:val="clear" w:color="auto" w:fill="auto"/>
          </w:tcPr>
          <w:p w14:paraId="5B0859F2" w14:textId="77777777" w:rsidR="00D005FA" w:rsidRPr="00B76332" w:rsidRDefault="00D005FA" w:rsidP="00B76332">
            <w:pPr>
              <w:suppressAutoHyphens w:val="0"/>
              <w:spacing w:before="40" w:after="40" w:line="220" w:lineRule="exact"/>
              <w:rPr>
                <w:sz w:val="18"/>
                <w:lang w:val="fr-FR"/>
              </w:rPr>
            </w:pPr>
            <w:r w:rsidRPr="00B76332">
              <w:rPr>
                <w:sz w:val="18"/>
                <w:lang w:val="fr-FR"/>
              </w:rPr>
              <w:t>2015</w:t>
            </w:r>
          </w:p>
        </w:tc>
        <w:tc>
          <w:tcPr>
            <w:tcW w:w="1558" w:type="dxa"/>
            <w:tcBorders>
              <w:top w:val="single" w:sz="12" w:space="0" w:color="auto"/>
            </w:tcBorders>
            <w:shd w:val="clear" w:color="auto" w:fill="auto"/>
            <w:vAlign w:val="bottom"/>
          </w:tcPr>
          <w:p w14:paraId="6A6F7E24" w14:textId="77777777" w:rsidR="00D005FA" w:rsidRPr="00B76332" w:rsidRDefault="00D005FA" w:rsidP="00B76332">
            <w:pPr>
              <w:suppressAutoHyphens w:val="0"/>
              <w:spacing w:before="40" w:after="40" w:line="220" w:lineRule="exact"/>
              <w:jc w:val="right"/>
              <w:rPr>
                <w:sz w:val="18"/>
                <w:rtl/>
                <w:lang w:val="fr-FR"/>
              </w:rPr>
            </w:pPr>
            <w:r w:rsidRPr="00B76332">
              <w:rPr>
                <w:sz w:val="18"/>
                <w:lang w:val="fr-FR"/>
              </w:rPr>
              <w:t>231 505</w:t>
            </w:r>
          </w:p>
        </w:tc>
      </w:tr>
      <w:tr w:rsidR="00D005FA" w:rsidRPr="00B76332" w14:paraId="1C9C855B" w14:textId="77777777" w:rsidTr="00B76332">
        <w:tc>
          <w:tcPr>
            <w:tcW w:w="5812" w:type="dxa"/>
            <w:shd w:val="clear" w:color="auto" w:fill="auto"/>
          </w:tcPr>
          <w:p w14:paraId="0BDC02CB" w14:textId="4A39B898" w:rsidR="00D005FA" w:rsidRPr="00B76332" w:rsidRDefault="002E7C60" w:rsidP="00B76332">
            <w:pPr>
              <w:suppressAutoHyphens w:val="0"/>
              <w:spacing w:before="40" w:after="40" w:line="220" w:lineRule="exact"/>
              <w:rPr>
                <w:sz w:val="18"/>
                <w:lang w:val="fr-FR"/>
              </w:rPr>
            </w:pPr>
            <w:r w:rsidRPr="002E7C60">
              <w:rPr>
                <w:sz w:val="18"/>
                <w:lang w:val="fr-FR"/>
              </w:rPr>
              <w:t>2</w:t>
            </w:r>
            <w:r w:rsidR="00D005FA" w:rsidRPr="002E7C60">
              <w:rPr>
                <w:sz w:val="18"/>
                <w:lang w:val="fr-FR"/>
              </w:rPr>
              <w:t>016</w:t>
            </w:r>
          </w:p>
        </w:tc>
        <w:tc>
          <w:tcPr>
            <w:tcW w:w="1558" w:type="dxa"/>
            <w:shd w:val="clear" w:color="auto" w:fill="auto"/>
            <w:vAlign w:val="bottom"/>
          </w:tcPr>
          <w:p w14:paraId="1263E031" w14:textId="77777777" w:rsidR="00D005FA" w:rsidRPr="00B76332" w:rsidRDefault="00D005FA" w:rsidP="00B76332">
            <w:pPr>
              <w:suppressAutoHyphens w:val="0"/>
              <w:spacing w:before="40" w:after="40" w:line="220" w:lineRule="exact"/>
              <w:jc w:val="right"/>
              <w:rPr>
                <w:sz w:val="18"/>
                <w:rtl/>
                <w:lang w:val="fr-FR"/>
              </w:rPr>
            </w:pPr>
            <w:r w:rsidRPr="00B76332">
              <w:rPr>
                <w:sz w:val="18"/>
                <w:lang w:val="fr-FR"/>
              </w:rPr>
              <w:t>246 949</w:t>
            </w:r>
          </w:p>
        </w:tc>
      </w:tr>
      <w:tr w:rsidR="00D005FA" w:rsidRPr="00B76332" w14:paraId="544CD28C" w14:textId="77777777" w:rsidTr="00B76332">
        <w:tc>
          <w:tcPr>
            <w:tcW w:w="5812" w:type="dxa"/>
            <w:tcBorders>
              <w:bottom w:val="single" w:sz="12" w:space="0" w:color="auto"/>
            </w:tcBorders>
            <w:shd w:val="clear" w:color="auto" w:fill="auto"/>
          </w:tcPr>
          <w:p w14:paraId="3BB4A776" w14:textId="6CC93450" w:rsidR="00D005FA" w:rsidRPr="00B76332" w:rsidRDefault="00D005FA" w:rsidP="00B76332">
            <w:pPr>
              <w:suppressAutoHyphens w:val="0"/>
              <w:spacing w:before="40" w:after="40" w:line="220" w:lineRule="exact"/>
              <w:rPr>
                <w:sz w:val="18"/>
                <w:lang w:val="fr-FR"/>
              </w:rPr>
            </w:pPr>
            <w:r w:rsidRPr="00B76332">
              <w:rPr>
                <w:sz w:val="18"/>
                <w:lang w:val="fr-FR"/>
              </w:rPr>
              <w:t>Jusqu</w:t>
            </w:r>
            <w:r w:rsidR="0035332C">
              <w:rPr>
                <w:sz w:val="18"/>
                <w:lang w:val="fr-FR"/>
              </w:rPr>
              <w:t>’</w:t>
            </w:r>
            <w:r w:rsidRPr="00B76332">
              <w:rPr>
                <w:sz w:val="18"/>
                <w:lang w:val="fr-FR"/>
              </w:rPr>
              <w:t>en avril 2017</w:t>
            </w:r>
          </w:p>
        </w:tc>
        <w:tc>
          <w:tcPr>
            <w:tcW w:w="1558" w:type="dxa"/>
            <w:tcBorders>
              <w:bottom w:val="single" w:sz="12" w:space="0" w:color="auto"/>
            </w:tcBorders>
            <w:shd w:val="clear" w:color="auto" w:fill="auto"/>
            <w:vAlign w:val="bottom"/>
          </w:tcPr>
          <w:p w14:paraId="1C892493" w14:textId="77777777" w:rsidR="00D005FA" w:rsidRPr="00B76332" w:rsidRDefault="00D005FA" w:rsidP="00B76332">
            <w:pPr>
              <w:suppressAutoHyphens w:val="0"/>
              <w:spacing w:before="40" w:after="40" w:line="220" w:lineRule="exact"/>
              <w:jc w:val="right"/>
              <w:rPr>
                <w:sz w:val="18"/>
                <w:rtl/>
                <w:lang w:val="fr-FR"/>
              </w:rPr>
            </w:pPr>
            <w:r w:rsidRPr="00B76332">
              <w:rPr>
                <w:sz w:val="18"/>
                <w:lang w:val="fr-FR"/>
              </w:rPr>
              <w:t>82 920</w:t>
            </w:r>
          </w:p>
        </w:tc>
      </w:tr>
    </w:tbl>
    <w:p w14:paraId="22363913" w14:textId="04148AE8" w:rsidR="00D005FA" w:rsidRPr="00310D49" w:rsidRDefault="00D005FA" w:rsidP="00B76332">
      <w:pPr>
        <w:pStyle w:val="H1G"/>
        <w:rPr>
          <w:lang w:val="fr-FR"/>
        </w:rPr>
      </w:pPr>
      <w:r w:rsidRPr="00310D49">
        <w:rPr>
          <w:lang w:val="fr-FR"/>
        </w:rPr>
        <w:tab/>
      </w:r>
      <w:r w:rsidRPr="00310D49">
        <w:rPr>
          <w:lang w:val="fr-FR"/>
        </w:rPr>
        <w:tab/>
        <w:t>Article 13</w:t>
      </w:r>
      <w:bookmarkStart w:id="15" w:name="_Toc80715502"/>
      <w:bookmarkEnd w:id="15"/>
    </w:p>
    <w:p w14:paraId="15385D2E" w14:textId="37C86E65" w:rsidR="00D005FA" w:rsidRPr="00310D49" w:rsidRDefault="00D005FA" w:rsidP="00B76332">
      <w:pPr>
        <w:pStyle w:val="SingleTxtG"/>
        <w:spacing w:before="120"/>
        <w:rPr>
          <w:lang w:val="fr-FR"/>
        </w:rPr>
      </w:pPr>
      <w:r w:rsidRPr="00310D49">
        <w:rPr>
          <w:lang w:val="fr-FR"/>
        </w:rPr>
        <w:t>266.</w:t>
      </w:r>
      <w:r w:rsidRPr="00310D49">
        <w:rPr>
          <w:lang w:val="fr-FR"/>
        </w:rPr>
        <w:tab/>
        <w:t>Comme indiqué précédemment, en raison de la politique de l</w:t>
      </w:r>
      <w:r w:rsidR="0035332C">
        <w:rPr>
          <w:lang w:val="fr-FR"/>
        </w:rPr>
        <w:t>’</w:t>
      </w:r>
      <w:r w:rsidRPr="00310D49">
        <w:rPr>
          <w:lang w:val="fr-FR"/>
        </w:rPr>
        <w:t>occupant israélien et de son contrôle sur tous les points de passage, Israël gère les formalités d</w:t>
      </w:r>
      <w:r w:rsidR="0035332C">
        <w:rPr>
          <w:lang w:val="fr-FR"/>
        </w:rPr>
        <w:t>’</w:t>
      </w:r>
      <w:r w:rsidRPr="00310D49">
        <w:rPr>
          <w:lang w:val="fr-FR"/>
        </w:rPr>
        <w:t>entrée, de sortie et d</w:t>
      </w:r>
      <w:r w:rsidR="0035332C">
        <w:rPr>
          <w:lang w:val="fr-FR"/>
        </w:rPr>
        <w:t>’</w:t>
      </w:r>
      <w:r w:rsidRPr="00310D49">
        <w:rPr>
          <w:lang w:val="fr-FR"/>
        </w:rPr>
        <w:t>expulsion en ce qui concerne le Territoire palestinien occupé. Cela a pour effet de priver l</w:t>
      </w:r>
      <w:r w:rsidR="0035332C">
        <w:rPr>
          <w:lang w:val="fr-FR"/>
        </w:rPr>
        <w:t>’</w:t>
      </w:r>
      <w:r w:rsidRPr="00310D49">
        <w:rPr>
          <w:lang w:val="fr-FR"/>
        </w:rPr>
        <w:t>État de Palestine d</w:t>
      </w:r>
      <w:r w:rsidR="0035332C">
        <w:rPr>
          <w:lang w:val="fr-FR"/>
        </w:rPr>
        <w:t>’</w:t>
      </w:r>
      <w:r w:rsidRPr="00310D49">
        <w:rPr>
          <w:lang w:val="fr-FR"/>
        </w:rPr>
        <w:t>exercer son devoir d</w:t>
      </w:r>
      <w:r w:rsidR="0035332C">
        <w:rPr>
          <w:lang w:val="fr-FR"/>
        </w:rPr>
        <w:t>’</w:t>
      </w:r>
      <w:r w:rsidRPr="00310D49">
        <w:rPr>
          <w:lang w:val="fr-FR"/>
        </w:rPr>
        <w:t>accorder l</w:t>
      </w:r>
      <w:r w:rsidR="0035332C">
        <w:rPr>
          <w:lang w:val="fr-FR"/>
        </w:rPr>
        <w:t>’</w:t>
      </w:r>
      <w:r w:rsidRPr="00310D49">
        <w:rPr>
          <w:lang w:val="fr-FR"/>
        </w:rPr>
        <w:t>asile humanitaire et politique à ceux qui remplissent les conditions requises et de permettre à l</w:t>
      </w:r>
      <w:r w:rsidR="0035332C">
        <w:rPr>
          <w:lang w:val="fr-FR"/>
        </w:rPr>
        <w:t>’</w:t>
      </w:r>
      <w:r w:rsidRPr="00310D49">
        <w:rPr>
          <w:lang w:val="fr-FR"/>
        </w:rPr>
        <w:t>occupant israélien de pratiquer l</w:t>
      </w:r>
      <w:r w:rsidR="0035332C">
        <w:rPr>
          <w:lang w:val="fr-FR"/>
        </w:rPr>
        <w:t>’</w:t>
      </w:r>
      <w:r w:rsidRPr="00310D49">
        <w:rPr>
          <w:lang w:val="fr-FR"/>
        </w:rPr>
        <w:t>expulsion forcée d</w:t>
      </w:r>
      <w:r w:rsidR="0035332C">
        <w:rPr>
          <w:lang w:val="fr-FR"/>
        </w:rPr>
        <w:t>’</w:t>
      </w:r>
      <w:r w:rsidRPr="00310D49">
        <w:rPr>
          <w:lang w:val="fr-FR"/>
        </w:rPr>
        <w:t>étrangers.</w:t>
      </w:r>
    </w:p>
    <w:p w14:paraId="2E5B67EE" w14:textId="2144BA51" w:rsidR="00D005FA" w:rsidRPr="00310D49" w:rsidRDefault="00D005FA" w:rsidP="00B76332">
      <w:pPr>
        <w:pStyle w:val="H1G"/>
        <w:rPr>
          <w:lang w:val="fr-FR"/>
        </w:rPr>
      </w:pPr>
      <w:r w:rsidRPr="00310D49">
        <w:rPr>
          <w:lang w:val="fr-FR"/>
        </w:rPr>
        <w:lastRenderedPageBreak/>
        <w:tab/>
      </w:r>
      <w:r w:rsidRPr="00310D49">
        <w:rPr>
          <w:lang w:val="fr-FR"/>
        </w:rPr>
        <w:tab/>
        <w:t>Article 14</w:t>
      </w:r>
      <w:bookmarkStart w:id="16" w:name="_Toc80715503"/>
      <w:bookmarkEnd w:id="16"/>
    </w:p>
    <w:p w14:paraId="03AEF479" w14:textId="77777777" w:rsidR="00D005FA" w:rsidRPr="00310D49" w:rsidRDefault="00D005FA" w:rsidP="00B76332">
      <w:pPr>
        <w:pStyle w:val="H23G"/>
        <w:rPr>
          <w:color w:val="000000"/>
          <w:lang w:val="fr-FR"/>
        </w:rPr>
      </w:pPr>
      <w:r w:rsidRPr="00310D49">
        <w:rPr>
          <w:lang w:val="fr-FR"/>
        </w:rPr>
        <w:tab/>
      </w:r>
      <w:r w:rsidRPr="00310D49">
        <w:rPr>
          <w:lang w:val="fr-FR"/>
        </w:rPr>
        <w:tab/>
        <w:t>Magistrature</w:t>
      </w:r>
    </w:p>
    <w:p w14:paraId="69E585B8" w14:textId="5BCE7503" w:rsidR="00D005FA" w:rsidRPr="00310D49" w:rsidRDefault="00D005FA" w:rsidP="00B76332">
      <w:pPr>
        <w:pStyle w:val="SingleTxtG"/>
        <w:spacing w:before="120"/>
        <w:rPr>
          <w:lang w:val="fr-FR"/>
        </w:rPr>
      </w:pPr>
      <w:r w:rsidRPr="00310D49">
        <w:rPr>
          <w:lang w:val="fr-FR"/>
        </w:rPr>
        <w:t>267.</w:t>
      </w:r>
      <w:r w:rsidRPr="00310D49">
        <w:rPr>
          <w:lang w:val="fr-FR"/>
        </w:rPr>
        <w:tab/>
        <w:t>L</w:t>
      </w:r>
      <w:r w:rsidR="0035332C">
        <w:rPr>
          <w:lang w:val="fr-FR"/>
        </w:rPr>
        <w:t>’</w:t>
      </w:r>
      <w:r w:rsidRPr="00310D49">
        <w:rPr>
          <w:lang w:val="fr-FR"/>
        </w:rPr>
        <w:t>article</w:t>
      </w:r>
      <w:r w:rsidR="00860CFD">
        <w:rPr>
          <w:lang w:val="fr-FR"/>
        </w:rPr>
        <w:t> </w:t>
      </w:r>
      <w:r w:rsidRPr="00310D49">
        <w:rPr>
          <w:lang w:val="fr-FR"/>
        </w:rPr>
        <w:t>97 de la Loi fondamentale, telle que modifiée, dispose que «</w:t>
      </w:r>
      <w:r w:rsidR="00860CFD">
        <w:rPr>
          <w:lang w:val="fr-FR"/>
        </w:rPr>
        <w:t> </w:t>
      </w:r>
      <w:r w:rsidRPr="00310D49">
        <w:rPr>
          <w:lang w:val="fr-FR"/>
        </w:rPr>
        <w:t>[l]e pouvoir judiciaire est indépendant et est exercé par des juridictions de différents types et degrés. La</w:t>
      </w:r>
      <w:r w:rsidR="00860CFD">
        <w:rPr>
          <w:lang w:val="fr-FR"/>
        </w:rPr>
        <w:t> </w:t>
      </w:r>
      <w:r w:rsidRPr="00310D49">
        <w:rPr>
          <w:lang w:val="fr-FR"/>
        </w:rPr>
        <w:t>loi détermine la façon dont ils sont constitués et leur juridiction. Ils rendent leurs décisions conformément à la loi. Les décisions judiciaires sont publiées et exécutées au nom du peuple arabe palestinien</w:t>
      </w:r>
      <w:r w:rsidR="00860CFD">
        <w:rPr>
          <w:lang w:val="fr-FR"/>
        </w:rPr>
        <w:t>. </w:t>
      </w:r>
      <w:r w:rsidRPr="00310D49">
        <w:rPr>
          <w:lang w:val="fr-FR"/>
        </w:rPr>
        <w:t>». En outre, l</w:t>
      </w:r>
      <w:r w:rsidR="0035332C">
        <w:rPr>
          <w:lang w:val="fr-FR"/>
        </w:rPr>
        <w:t>’</w:t>
      </w:r>
      <w:r w:rsidRPr="00310D49">
        <w:rPr>
          <w:lang w:val="fr-FR"/>
        </w:rPr>
        <w:t>article</w:t>
      </w:r>
      <w:r w:rsidR="00860CFD">
        <w:rPr>
          <w:lang w:val="fr-FR"/>
        </w:rPr>
        <w:t> </w:t>
      </w:r>
      <w:r w:rsidRPr="00310D49">
        <w:rPr>
          <w:lang w:val="fr-FR"/>
        </w:rPr>
        <w:t>98 de ladite Loi fondamentale précise que «</w:t>
      </w:r>
      <w:r w:rsidR="00860CFD">
        <w:rPr>
          <w:lang w:val="fr-FR"/>
        </w:rPr>
        <w:t> </w:t>
      </w:r>
      <w:r w:rsidRPr="00310D49">
        <w:rPr>
          <w:lang w:val="fr-FR"/>
        </w:rPr>
        <w:t>[l]es juges sont indépendants et ne sont soumis dans leur décision à nulle autre autorité qu</w:t>
      </w:r>
      <w:r w:rsidR="0035332C">
        <w:rPr>
          <w:lang w:val="fr-FR"/>
        </w:rPr>
        <w:t>’</w:t>
      </w:r>
      <w:r w:rsidRPr="00310D49">
        <w:rPr>
          <w:lang w:val="fr-FR"/>
        </w:rPr>
        <w:t>à celle de la loi. Nul n</w:t>
      </w:r>
      <w:r w:rsidR="0035332C">
        <w:rPr>
          <w:lang w:val="fr-FR"/>
        </w:rPr>
        <w:t>’</w:t>
      </w:r>
      <w:r w:rsidRPr="00310D49">
        <w:rPr>
          <w:lang w:val="fr-FR"/>
        </w:rPr>
        <w:t>est autorisé à intervenir dans la procédure judiciaire ou à s</w:t>
      </w:r>
      <w:r w:rsidR="0035332C">
        <w:rPr>
          <w:lang w:val="fr-FR"/>
        </w:rPr>
        <w:t>’</w:t>
      </w:r>
      <w:r w:rsidRPr="00310D49">
        <w:rPr>
          <w:lang w:val="fr-FR"/>
        </w:rPr>
        <w:t>immiscer dans le cours de la justice</w:t>
      </w:r>
      <w:r w:rsidR="00860CFD">
        <w:rPr>
          <w:lang w:val="fr-FR"/>
        </w:rPr>
        <w:t>. </w:t>
      </w:r>
      <w:r w:rsidRPr="00310D49">
        <w:rPr>
          <w:lang w:val="fr-FR"/>
        </w:rPr>
        <w:t>».</w:t>
      </w:r>
    </w:p>
    <w:p w14:paraId="2547D3CA" w14:textId="3AB8BDF7" w:rsidR="00D005FA" w:rsidRPr="00310D49" w:rsidRDefault="00D005FA" w:rsidP="00B76332">
      <w:pPr>
        <w:pStyle w:val="SingleTxtG"/>
        <w:spacing w:before="120"/>
        <w:rPr>
          <w:lang w:val="fr-FR"/>
        </w:rPr>
      </w:pPr>
      <w:r w:rsidRPr="00310D49">
        <w:rPr>
          <w:lang w:val="fr-FR"/>
        </w:rPr>
        <w:t>268.</w:t>
      </w:r>
      <w:r w:rsidRPr="00310D49">
        <w:rPr>
          <w:lang w:val="fr-FR"/>
        </w:rPr>
        <w:tab/>
        <w:t>La loi de 2002 sur l</w:t>
      </w:r>
      <w:r w:rsidR="0035332C">
        <w:rPr>
          <w:lang w:val="fr-FR"/>
        </w:rPr>
        <w:t>’</w:t>
      </w:r>
      <w:r w:rsidRPr="00310D49">
        <w:rPr>
          <w:lang w:val="fr-FR"/>
        </w:rPr>
        <w:t>autorité judiciaire prévoit les dispositions relatives aux procédures de nomination et d</w:t>
      </w:r>
      <w:r w:rsidR="0035332C">
        <w:rPr>
          <w:lang w:val="fr-FR"/>
        </w:rPr>
        <w:t>’</w:t>
      </w:r>
      <w:r w:rsidRPr="00310D49">
        <w:rPr>
          <w:lang w:val="fr-FR"/>
        </w:rPr>
        <w:t xml:space="preserve">accès aux fonctions judiciaires. Par ailleurs, la Cour suprême est compétente pour connaître des contestations ayant pour objet les questions administratives relatives à la fonction de juge. Ladite </w:t>
      </w:r>
      <w:r w:rsidR="00894706">
        <w:rPr>
          <w:lang w:val="fr-FR"/>
        </w:rPr>
        <w:t xml:space="preserve">loi </w:t>
      </w:r>
      <w:r w:rsidRPr="00310D49">
        <w:rPr>
          <w:lang w:val="fr-FR"/>
        </w:rPr>
        <w:t>dispose en son article 16 que toute personne candidate à l</w:t>
      </w:r>
      <w:r w:rsidR="0035332C">
        <w:rPr>
          <w:lang w:val="fr-FR"/>
        </w:rPr>
        <w:t>’</w:t>
      </w:r>
      <w:r w:rsidRPr="00310D49">
        <w:rPr>
          <w:lang w:val="fr-FR"/>
        </w:rPr>
        <w:t>exercice de la profession de magistrat doit jouir de la pleine capacité juridique, être titulaire d</w:t>
      </w:r>
      <w:r w:rsidR="0035332C">
        <w:rPr>
          <w:lang w:val="fr-FR"/>
        </w:rPr>
        <w:t>’</w:t>
      </w:r>
      <w:r w:rsidRPr="00310D49">
        <w:rPr>
          <w:lang w:val="fr-FR"/>
        </w:rPr>
        <w:t>une licence en droit ou en charia et droit, ne pas avoir fait l</w:t>
      </w:r>
      <w:r w:rsidR="0035332C">
        <w:rPr>
          <w:lang w:val="fr-FR"/>
        </w:rPr>
        <w:t>’</w:t>
      </w:r>
      <w:r w:rsidRPr="00310D49">
        <w:rPr>
          <w:lang w:val="fr-FR"/>
        </w:rPr>
        <w:t>objet d</w:t>
      </w:r>
      <w:r w:rsidR="0035332C">
        <w:rPr>
          <w:lang w:val="fr-FR"/>
        </w:rPr>
        <w:t>’</w:t>
      </w:r>
      <w:r w:rsidRPr="00310D49">
        <w:rPr>
          <w:lang w:val="fr-FR"/>
        </w:rPr>
        <w:t>une condamnation pour manquement à l</w:t>
      </w:r>
      <w:r w:rsidR="0035332C">
        <w:rPr>
          <w:lang w:val="fr-FR"/>
        </w:rPr>
        <w:t>’</w:t>
      </w:r>
      <w:r w:rsidRPr="00310D49">
        <w:rPr>
          <w:lang w:val="fr-FR"/>
        </w:rPr>
        <w:t>honneur, avoir une conduite irréprochable et jouir d</w:t>
      </w:r>
      <w:r w:rsidR="0035332C">
        <w:rPr>
          <w:lang w:val="fr-FR"/>
        </w:rPr>
        <w:t>’</w:t>
      </w:r>
      <w:r w:rsidRPr="00310D49">
        <w:rPr>
          <w:lang w:val="fr-FR"/>
        </w:rPr>
        <w:t xml:space="preserve">une bonne réputation, et résilier son adhésion à tout parti ou organisation politique. </w:t>
      </w:r>
    </w:p>
    <w:p w14:paraId="4F94AE18" w14:textId="66B86F48" w:rsidR="00D005FA" w:rsidRPr="00310D49" w:rsidRDefault="00D005FA" w:rsidP="00B76332">
      <w:pPr>
        <w:pStyle w:val="SingleTxtG"/>
        <w:spacing w:before="120"/>
        <w:rPr>
          <w:lang w:val="fr-FR"/>
        </w:rPr>
      </w:pPr>
      <w:r w:rsidRPr="00310D49">
        <w:rPr>
          <w:lang w:val="fr-FR"/>
        </w:rPr>
        <w:t>269.</w:t>
      </w:r>
      <w:r w:rsidRPr="00310D49">
        <w:rPr>
          <w:lang w:val="fr-FR"/>
        </w:rPr>
        <w:tab/>
        <w:t>Conformément aux articles</w:t>
      </w:r>
      <w:r w:rsidR="00894706">
        <w:rPr>
          <w:lang w:val="fr-FR"/>
        </w:rPr>
        <w:t> </w:t>
      </w:r>
      <w:r w:rsidRPr="00310D49">
        <w:rPr>
          <w:lang w:val="fr-FR"/>
        </w:rPr>
        <w:t>47 à 55 de la même loi, le président de chaque tribunal contrôle le travail des juges qui y exercent leur</w:t>
      </w:r>
      <w:r>
        <w:rPr>
          <w:lang w:val="fr-FR"/>
        </w:rPr>
        <w:t>s</w:t>
      </w:r>
      <w:r w:rsidRPr="00310D49">
        <w:rPr>
          <w:lang w:val="fr-FR"/>
        </w:rPr>
        <w:t xml:space="preserve"> fonctions et doit notamment les alerter des irrégularités commises. Si l</w:t>
      </w:r>
      <w:r w:rsidR="0035332C">
        <w:rPr>
          <w:lang w:val="fr-FR"/>
        </w:rPr>
        <w:t>’</w:t>
      </w:r>
      <w:r w:rsidRPr="00310D49">
        <w:rPr>
          <w:lang w:val="fr-FR"/>
        </w:rPr>
        <w:t>irrégularité se répète, le procureur général doit engager une action disciplinaire auprès du Conseil de discipline, qui est composé des deux juges les plus anciens de la Cour suprême et du juge le plus ancien de la Cour d</w:t>
      </w:r>
      <w:r w:rsidR="0035332C">
        <w:rPr>
          <w:lang w:val="fr-FR"/>
        </w:rPr>
        <w:t>’</w:t>
      </w:r>
      <w:r w:rsidRPr="00310D49">
        <w:rPr>
          <w:lang w:val="fr-FR"/>
        </w:rPr>
        <w:t>appel. Si le Conseil de discipline juge opportun de poursuivre l</w:t>
      </w:r>
      <w:r w:rsidR="0035332C">
        <w:rPr>
          <w:lang w:val="fr-FR"/>
        </w:rPr>
        <w:t>’</w:t>
      </w:r>
      <w:r w:rsidRPr="00310D49">
        <w:rPr>
          <w:lang w:val="fr-FR"/>
        </w:rPr>
        <w:t>action, le juge mis en accusation est convoqué au procès et il est informé de l</w:t>
      </w:r>
      <w:r w:rsidR="0035332C">
        <w:rPr>
          <w:lang w:val="fr-FR"/>
        </w:rPr>
        <w:t>’</w:t>
      </w:r>
      <w:r w:rsidRPr="00310D49">
        <w:rPr>
          <w:lang w:val="fr-FR"/>
        </w:rPr>
        <w:t>objet de l</w:t>
      </w:r>
      <w:r w:rsidR="0035332C">
        <w:rPr>
          <w:lang w:val="fr-FR"/>
        </w:rPr>
        <w:t>’</w:t>
      </w:r>
      <w:r w:rsidRPr="00310D49">
        <w:rPr>
          <w:lang w:val="fr-FR"/>
        </w:rPr>
        <w:t>action et des preuves à charge. Les séances de la procédure disciplinaire se tiennent à huis clos, à moins que le juge mis en accusation ne demande qu</w:t>
      </w:r>
      <w:r w:rsidR="0035332C">
        <w:rPr>
          <w:lang w:val="fr-FR"/>
        </w:rPr>
        <w:t>’</w:t>
      </w:r>
      <w:r w:rsidRPr="00310D49">
        <w:rPr>
          <w:lang w:val="fr-FR"/>
        </w:rPr>
        <w:t>elles soient rendues publiques. Le Conseil de discipline rend sa décision à l</w:t>
      </w:r>
      <w:r w:rsidR="0035332C">
        <w:rPr>
          <w:lang w:val="fr-FR"/>
        </w:rPr>
        <w:t>’</w:t>
      </w:r>
      <w:r w:rsidRPr="00310D49">
        <w:rPr>
          <w:lang w:val="fr-FR"/>
        </w:rPr>
        <w:t>issue de l</w:t>
      </w:r>
      <w:r w:rsidR="0035332C">
        <w:rPr>
          <w:lang w:val="fr-FR"/>
        </w:rPr>
        <w:t>’</w:t>
      </w:r>
      <w:r w:rsidRPr="00310D49">
        <w:rPr>
          <w:lang w:val="fr-FR"/>
        </w:rPr>
        <w:t>audition des demandes du ministère public et du défenseur du juge mis en accusation. Le Conseil peut prononcer les sanctions disciplinaires suivantes</w:t>
      </w:r>
      <w:r w:rsidR="00A53B5A">
        <w:rPr>
          <w:lang w:val="fr-FR"/>
        </w:rPr>
        <w:t> </w:t>
      </w:r>
      <w:r w:rsidRPr="00310D49">
        <w:rPr>
          <w:lang w:val="fr-FR"/>
        </w:rPr>
        <w:t>: l</w:t>
      </w:r>
      <w:r w:rsidR="0035332C">
        <w:rPr>
          <w:lang w:val="fr-FR"/>
        </w:rPr>
        <w:t>’</w:t>
      </w:r>
      <w:r w:rsidRPr="00310D49">
        <w:rPr>
          <w:lang w:val="fr-FR"/>
        </w:rPr>
        <w:t>avertissement, le blâme ou la destitution. La décision de destitution n</w:t>
      </w:r>
      <w:r w:rsidR="0035332C">
        <w:rPr>
          <w:lang w:val="fr-FR"/>
        </w:rPr>
        <w:t>’</w:t>
      </w:r>
      <w:r w:rsidRPr="00310D49">
        <w:rPr>
          <w:lang w:val="fr-FR"/>
        </w:rPr>
        <w:t xml:space="preserve">affecte pas les droits à pension ou à rémunération du juge sanctionné. </w:t>
      </w:r>
    </w:p>
    <w:p w14:paraId="15E7B406" w14:textId="1D408ED8" w:rsidR="00D005FA" w:rsidRPr="00310D49" w:rsidRDefault="00D005FA" w:rsidP="00B76332">
      <w:pPr>
        <w:pStyle w:val="SingleTxtG"/>
        <w:spacing w:before="120"/>
        <w:rPr>
          <w:lang w:val="fr-FR"/>
        </w:rPr>
      </w:pPr>
      <w:r w:rsidRPr="00310D49">
        <w:rPr>
          <w:lang w:val="fr-FR"/>
        </w:rPr>
        <w:t>270.</w:t>
      </w:r>
      <w:r w:rsidRPr="00310D49">
        <w:rPr>
          <w:lang w:val="fr-FR"/>
        </w:rPr>
        <w:tab/>
        <w:t>L</w:t>
      </w:r>
      <w:r w:rsidR="0035332C">
        <w:rPr>
          <w:lang w:val="fr-FR"/>
        </w:rPr>
        <w:t>’</w:t>
      </w:r>
      <w:r w:rsidRPr="00310D49">
        <w:rPr>
          <w:lang w:val="fr-FR"/>
        </w:rPr>
        <w:t>activité d</w:t>
      </w:r>
      <w:r w:rsidR="0035332C">
        <w:rPr>
          <w:lang w:val="fr-FR"/>
        </w:rPr>
        <w:t>’</w:t>
      </w:r>
      <w:r w:rsidRPr="00310D49">
        <w:rPr>
          <w:lang w:val="fr-FR"/>
        </w:rPr>
        <w:t>avocat est régie par la loi n</w:t>
      </w:r>
      <w:r w:rsidR="00894706" w:rsidRPr="00894706">
        <w:rPr>
          <w:vertAlign w:val="superscript"/>
          <w:lang w:val="fr-FR"/>
        </w:rPr>
        <w:t>o</w:t>
      </w:r>
      <w:r w:rsidR="00894706">
        <w:rPr>
          <w:lang w:val="fr-FR"/>
        </w:rPr>
        <w:t> </w:t>
      </w:r>
      <w:r w:rsidRPr="00310D49">
        <w:rPr>
          <w:lang w:val="fr-FR"/>
        </w:rPr>
        <w:t>3 de 1999 relative à la profession d</w:t>
      </w:r>
      <w:r w:rsidR="0035332C">
        <w:rPr>
          <w:lang w:val="fr-FR"/>
        </w:rPr>
        <w:t>’</w:t>
      </w:r>
      <w:r w:rsidRPr="00310D49">
        <w:rPr>
          <w:lang w:val="fr-FR"/>
        </w:rPr>
        <w:t>avocat, qui traite des conditions d</w:t>
      </w:r>
      <w:r w:rsidR="0035332C">
        <w:rPr>
          <w:lang w:val="fr-FR"/>
        </w:rPr>
        <w:t>’</w:t>
      </w:r>
      <w:r w:rsidRPr="00310D49">
        <w:rPr>
          <w:lang w:val="fr-FR"/>
        </w:rPr>
        <w:t>inscription au barreau, de la formation de l</w:t>
      </w:r>
      <w:r w:rsidR="0035332C">
        <w:rPr>
          <w:lang w:val="fr-FR"/>
        </w:rPr>
        <w:t>’</w:t>
      </w:r>
      <w:r w:rsidRPr="00310D49">
        <w:rPr>
          <w:lang w:val="fr-FR"/>
        </w:rPr>
        <w:t>Ordre des avocats et de ses objectifs, des conditions d</w:t>
      </w:r>
      <w:r w:rsidR="0035332C">
        <w:rPr>
          <w:lang w:val="fr-FR"/>
        </w:rPr>
        <w:t>’</w:t>
      </w:r>
      <w:r w:rsidRPr="00310D49">
        <w:rPr>
          <w:lang w:val="fr-FR"/>
        </w:rPr>
        <w:t>affiliation, des droits et devoirs des avocats et de leurs dossiers. Cette loi traite également des programmes de formation des avocats, des conseils de discipline et des finances de l</w:t>
      </w:r>
      <w:r w:rsidR="0035332C">
        <w:rPr>
          <w:lang w:val="fr-FR"/>
        </w:rPr>
        <w:t>’</w:t>
      </w:r>
      <w:r w:rsidRPr="00310D49">
        <w:rPr>
          <w:lang w:val="fr-FR"/>
        </w:rPr>
        <w:t>Ordre des avocats.</w:t>
      </w:r>
    </w:p>
    <w:p w14:paraId="74F213D5" w14:textId="77777777" w:rsidR="00D005FA" w:rsidRPr="00310D49" w:rsidRDefault="00D005FA" w:rsidP="00B76332">
      <w:pPr>
        <w:pStyle w:val="H23G"/>
        <w:rPr>
          <w:lang w:val="fr-FR"/>
        </w:rPr>
      </w:pPr>
      <w:r w:rsidRPr="00310D49">
        <w:rPr>
          <w:lang w:val="fr-FR"/>
        </w:rPr>
        <w:tab/>
      </w:r>
      <w:r w:rsidRPr="00310D49">
        <w:rPr>
          <w:lang w:val="fr-FR"/>
        </w:rPr>
        <w:tab/>
        <w:t>Juridictions</w:t>
      </w:r>
    </w:p>
    <w:p w14:paraId="05EFC16D" w14:textId="3CEF4859" w:rsidR="00D005FA" w:rsidRPr="00310D49" w:rsidRDefault="00D005FA" w:rsidP="00B76332">
      <w:pPr>
        <w:pStyle w:val="SingleTxtG"/>
        <w:spacing w:before="120"/>
        <w:rPr>
          <w:lang w:val="fr-FR"/>
        </w:rPr>
      </w:pPr>
      <w:r w:rsidRPr="00310D49">
        <w:rPr>
          <w:lang w:val="fr-FR"/>
        </w:rPr>
        <w:t>271.</w:t>
      </w:r>
      <w:r w:rsidRPr="00310D49">
        <w:rPr>
          <w:lang w:val="fr-FR"/>
        </w:rPr>
        <w:tab/>
        <w:t>L</w:t>
      </w:r>
      <w:r w:rsidR="0035332C">
        <w:rPr>
          <w:lang w:val="fr-FR"/>
        </w:rPr>
        <w:t>’</w:t>
      </w:r>
      <w:r w:rsidRPr="00310D49">
        <w:rPr>
          <w:lang w:val="fr-FR"/>
        </w:rPr>
        <w:t>ordre judiciaire palestinien se divise en cinq catégories de juridictions</w:t>
      </w:r>
      <w:r w:rsidR="00A53B5A">
        <w:rPr>
          <w:lang w:val="fr-FR"/>
        </w:rPr>
        <w:t> </w:t>
      </w:r>
      <w:r w:rsidRPr="00310D49">
        <w:rPr>
          <w:lang w:val="fr-FR"/>
        </w:rPr>
        <w:t>: 1)</w:t>
      </w:r>
      <w:r w:rsidR="00A53B5A">
        <w:rPr>
          <w:lang w:val="fr-FR"/>
        </w:rPr>
        <w:t> </w:t>
      </w:r>
      <w:r w:rsidRPr="00310D49">
        <w:rPr>
          <w:lang w:val="fr-FR"/>
        </w:rPr>
        <w:t>Les</w:t>
      </w:r>
      <w:r w:rsidR="00894706">
        <w:rPr>
          <w:lang w:val="fr-FR"/>
        </w:rPr>
        <w:t> </w:t>
      </w:r>
      <w:r w:rsidRPr="00310D49">
        <w:rPr>
          <w:lang w:val="fr-FR"/>
        </w:rPr>
        <w:t>juridictions de droit commun, y compris les juridictions pénales avec leurs différents degrés (conciliation/première instance/appel/cassation) et les juridictions civiles avec leur différents degrés (conciliation/première instance/appel/cassation). 2)</w:t>
      </w:r>
      <w:r w:rsidR="00A53B5A">
        <w:rPr>
          <w:lang w:val="fr-FR"/>
        </w:rPr>
        <w:t> </w:t>
      </w:r>
      <w:r w:rsidRPr="00310D49">
        <w:rPr>
          <w:lang w:val="fr-FR"/>
        </w:rPr>
        <w:t>Les juridictions charaïques (tribunaux charaïques et religieux). 3)</w:t>
      </w:r>
      <w:r w:rsidR="00A53B5A">
        <w:rPr>
          <w:lang w:val="fr-FR"/>
        </w:rPr>
        <w:t> </w:t>
      </w:r>
      <w:r w:rsidRPr="00310D49">
        <w:rPr>
          <w:lang w:val="fr-FR"/>
        </w:rPr>
        <w:t>La Haute Cour constitutionnelle. 4)</w:t>
      </w:r>
      <w:r w:rsidR="00A53B5A">
        <w:rPr>
          <w:lang w:val="fr-FR"/>
        </w:rPr>
        <w:t> </w:t>
      </w:r>
      <w:r w:rsidRPr="00310D49">
        <w:rPr>
          <w:lang w:val="fr-FR"/>
        </w:rPr>
        <w:t>Les</w:t>
      </w:r>
      <w:r w:rsidR="00894706">
        <w:rPr>
          <w:lang w:val="fr-FR"/>
        </w:rPr>
        <w:t> </w:t>
      </w:r>
      <w:r w:rsidRPr="00310D49">
        <w:rPr>
          <w:lang w:val="fr-FR"/>
        </w:rPr>
        <w:t>juridictions spécialisées (tribunaux spécialisés). 5)</w:t>
      </w:r>
      <w:r w:rsidR="00A53B5A">
        <w:rPr>
          <w:lang w:val="fr-FR"/>
        </w:rPr>
        <w:t> </w:t>
      </w:r>
      <w:r w:rsidRPr="00310D49">
        <w:rPr>
          <w:lang w:val="fr-FR"/>
        </w:rPr>
        <w:t>Les juridictions militaires.</w:t>
      </w:r>
    </w:p>
    <w:p w14:paraId="59DC2D91" w14:textId="77777777" w:rsidR="00D005FA" w:rsidRPr="00310D49" w:rsidRDefault="00D005FA" w:rsidP="00B76332">
      <w:pPr>
        <w:pStyle w:val="H23G"/>
        <w:rPr>
          <w:lang w:val="fr-FR"/>
        </w:rPr>
      </w:pPr>
      <w:r w:rsidRPr="00310D49">
        <w:rPr>
          <w:lang w:val="fr-FR"/>
        </w:rPr>
        <w:tab/>
      </w:r>
      <w:r w:rsidRPr="00310D49">
        <w:rPr>
          <w:lang w:val="fr-FR"/>
        </w:rPr>
        <w:tab/>
        <w:t>Juridictions spécialisées</w:t>
      </w:r>
    </w:p>
    <w:p w14:paraId="6ECCEBA4" w14:textId="5BE91ADF" w:rsidR="00D005FA" w:rsidRPr="00310D49" w:rsidRDefault="00D005FA" w:rsidP="00B76332">
      <w:pPr>
        <w:pStyle w:val="SingleTxtG"/>
        <w:spacing w:before="120"/>
        <w:rPr>
          <w:lang w:val="fr-FR"/>
        </w:rPr>
      </w:pPr>
      <w:r w:rsidRPr="00310D49">
        <w:rPr>
          <w:lang w:val="fr-FR"/>
        </w:rPr>
        <w:t>272.</w:t>
      </w:r>
      <w:r w:rsidRPr="00310D49">
        <w:rPr>
          <w:lang w:val="fr-FR"/>
        </w:rPr>
        <w:tab/>
        <w:t>La loi prévoit la possibilité de créer des juridictions spécialisées, y compris la Cour d</w:t>
      </w:r>
      <w:r w:rsidR="0035332C">
        <w:rPr>
          <w:lang w:val="fr-FR"/>
        </w:rPr>
        <w:t>’</w:t>
      </w:r>
      <w:r w:rsidRPr="00310D49">
        <w:rPr>
          <w:lang w:val="fr-FR"/>
        </w:rPr>
        <w:t>appel électorale, les tribunaux municipaux, la Cour d</w:t>
      </w:r>
      <w:r w:rsidR="0035332C">
        <w:rPr>
          <w:lang w:val="fr-FR"/>
        </w:rPr>
        <w:t>’</w:t>
      </w:r>
      <w:r w:rsidRPr="00310D49">
        <w:rPr>
          <w:lang w:val="fr-FR"/>
        </w:rPr>
        <w:t>appel de l</w:t>
      </w:r>
      <w:r w:rsidR="0035332C">
        <w:rPr>
          <w:lang w:val="fr-FR"/>
        </w:rPr>
        <w:t>’</w:t>
      </w:r>
      <w:r w:rsidRPr="00310D49">
        <w:rPr>
          <w:lang w:val="fr-FR"/>
        </w:rPr>
        <w:t>impôt sur le revenu, le tribunal douanier de première instance et la Cour anticorruption.</w:t>
      </w:r>
    </w:p>
    <w:p w14:paraId="4678D5DC" w14:textId="77777777" w:rsidR="00D005FA" w:rsidRPr="00310D49" w:rsidRDefault="00D005FA" w:rsidP="00B76332">
      <w:pPr>
        <w:pStyle w:val="H23G"/>
        <w:rPr>
          <w:lang w:val="fr-FR"/>
        </w:rPr>
      </w:pPr>
      <w:r w:rsidRPr="00310D49">
        <w:rPr>
          <w:lang w:val="fr-FR"/>
        </w:rPr>
        <w:tab/>
      </w:r>
      <w:r w:rsidRPr="00310D49">
        <w:rPr>
          <w:lang w:val="fr-FR"/>
        </w:rPr>
        <w:tab/>
        <w:t>Juridictions militaires</w:t>
      </w:r>
    </w:p>
    <w:p w14:paraId="24B12653" w14:textId="47A98C23" w:rsidR="00D005FA" w:rsidRPr="00310D49" w:rsidRDefault="00D005FA" w:rsidP="00B76332">
      <w:pPr>
        <w:pStyle w:val="SingleTxtG"/>
        <w:spacing w:before="120"/>
        <w:rPr>
          <w:spacing w:val="-2"/>
          <w:lang w:val="fr-FR"/>
        </w:rPr>
      </w:pPr>
      <w:r w:rsidRPr="00310D49">
        <w:rPr>
          <w:lang w:val="fr-FR"/>
        </w:rPr>
        <w:t>273.</w:t>
      </w:r>
      <w:r w:rsidRPr="00310D49">
        <w:rPr>
          <w:lang w:val="fr-FR"/>
        </w:rPr>
        <w:tab/>
        <w:t>Selon l</w:t>
      </w:r>
      <w:r w:rsidR="0035332C">
        <w:rPr>
          <w:lang w:val="fr-FR"/>
        </w:rPr>
        <w:t>’</w:t>
      </w:r>
      <w:r w:rsidRPr="00310D49">
        <w:rPr>
          <w:lang w:val="fr-FR"/>
        </w:rPr>
        <w:t>article 101 (al</w:t>
      </w:r>
      <w:r w:rsidR="00894706">
        <w:rPr>
          <w:lang w:val="fr-FR"/>
        </w:rPr>
        <w:t>. </w:t>
      </w:r>
      <w:r w:rsidRPr="00310D49">
        <w:rPr>
          <w:lang w:val="fr-FR"/>
        </w:rPr>
        <w:t>2) de la Loi fondamentale, telle que modifiée, les tribunaux militaires sont établis par des lois spéciales et n</w:t>
      </w:r>
      <w:r w:rsidR="0035332C">
        <w:rPr>
          <w:lang w:val="fr-FR"/>
        </w:rPr>
        <w:t>’</w:t>
      </w:r>
      <w:r w:rsidRPr="00310D49">
        <w:rPr>
          <w:lang w:val="fr-FR"/>
        </w:rPr>
        <w:t>ont aucune compétence en dehors des affaires militaires. La justice militaire est indépendante. Elle est chargée de l</w:t>
      </w:r>
      <w:r w:rsidR="0035332C">
        <w:rPr>
          <w:lang w:val="fr-FR"/>
        </w:rPr>
        <w:t>’</w:t>
      </w:r>
      <w:r w:rsidRPr="00310D49">
        <w:rPr>
          <w:lang w:val="fr-FR"/>
        </w:rPr>
        <w:t xml:space="preserve">application des lois et </w:t>
      </w:r>
      <w:r w:rsidRPr="00310D49">
        <w:rPr>
          <w:lang w:val="fr-FR"/>
        </w:rPr>
        <w:lastRenderedPageBreak/>
        <w:t>du jugement des infractions commises par des membres des forces de sécurité palestiniennes. Les articles 119 à 123 du Code pénal révolutionnaire définissent également les compétences des tribunaux militaires, lesquels se composent du tribunal central, du tribunal militaire permanent, de la Cour d</w:t>
      </w:r>
      <w:r w:rsidR="0035332C">
        <w:rPr>
          <w:lang w:val="fr-FR"/>
        </w:rPr>
        <w:t>’</w:t>
      </w:r>
      <w:r w:rsidRPr="00310D49">
        <w:rPr>
          <w:lang w:val="fr-FR"/>
        </w:rPr>
        <w:t>appel militaire, du tribunal spécial et du tribunal militaire de campagne. Il convient d</w:t>
      </w:r>
      <w:r w:rsidR="0035332C">
        <w:rPr>
          <w:lang w:val="fr-FR"/>
        </w:rPr>
        <w:t>’</w:t>
      </w:r>
      <w:r w:rsidRPr="00310D49">
        <w:rPr>
          <w:lang w:val="fr-FR"/>
        </w:rPr>
        <w:t>indiquer que la cour d</w:t>
      </w:r>
      <w:r w:rsidR="0035332C">
        <w:rPr>
          <w:lang w:val="fr-FR"/>
        </w:rPr>
        <w:t>’</w:t>
      </w:r>
      <w:r w:rsidRPr="00310D49">
        <w:rPr>
          <w:lang w:val="fr-FR"/>
        </w:rPr>
        <w:t>appel militaire a été établie en vertu du décret</w:t>
      </w:r>
      <w:r w:rsidR="00894706">
        <w:rPr>
          <w:lang w:val="fr-FR"/>
        </w:rPr>
        <w:noBreakHyphen/>
      </w:r>
      <w:r w:rsidRPr="00310D49">
        <w:rPr>
          <w:lang w:val="fr-FR"/>
        </w:rPr>
        <w:t>loi n</w:t>
      </w:r>
      <w:r w:rsidR="00894706" w:rsidRPr="00894706">
        <w:rPr>
          <w:vertAlign w:val="superscript"/>
          <w:lang w:val="fr-FR"/>
        </w:rPr>
        <w:t>o</w:t>
      </w:r>
      <w:r w:rsidR="00894706">
        <w:rPr>
          <w:lang w:val="fr-FR"/>
        </w:rPr>
        <w:t> </w:t>
      </w:r>
      <w:r w:rsidRPr="00310D49">
        <w:rPr>
          <w:lang w:val="fr-FR"/>
        </w:rPr>
        <w:t>31 de 2016.</w:t>
      </w:r>
    </w:p>
    <w:p w14:paraId="3B1809FB" w14:textId="77777777" w:rsidR="00D005FA" w:rsidRPr="00310D49" w:rsidRDefault="00D005FA" w:rsidP="00B76332">
      <w:pPr>
        <w:pStyle w:val="H23G"/>
        <w:rPr>
          <w:lang w:val="fr-FR"/>
        </w:rPr>
      </w:pPr>
      <w:r w:rsidRPr="00310D49">
        <w:rPr>
          <w:lang w:val="fr-FR"/>
        </w:rPr>
        <w:tab/>
      </w:r>
      <w:r w:rsidRPr="00310D49">
        <w:rPr>
          <w:lang w:val="fr-FR"/>
        </w:rPr>
        <w:tab/>
        <w:t>Juridictions de droit coutumier</w:t>
      </w:r>
    </w:p>
    <w:p w14:paraId="2443B522" w14:textId="7748A6F6" w:rsidR="00D005FA" w:rsidRPr="00310D49" w:rsidRDefault="00D005FA" w:rsidP="00B76332">
      <w:pPr>
        <w:pStyle w:val="SingleTxtG"/>
        <w:spacing w:before="120"/>
        <w:rPr>
          <w:lang w:val="fr-FR"/>
        </w:rPr>
      </w:pPr>
      <w:r w:rsidRPr="00310D49">
        <w:rPr>
          <w:lang w:val="fr-FR"/>
        </w:rPr>
        <w:t>274.</w:t>
      </w:r>
      <w:r w:rsidRPr="00310D49">
        <w:rPr>
          <w:lang w:val="fr-FR"/>
        </w:rPr>
        <w:tab/>
        <w:t>L</w:t>
      </w:r>
      <w:r w:rsidR="0035332C">
        <w:rPr>
          <w:lang w:val="fr-FR"/>
        </w:rPr>
        <w:t>’</w:t>
      </w:r>
      <w:r w:rsidRPr="00310D49">
        <w:rPr>
          <w:lang w:val="fr-FR"/>
        </w:rPr>
        <w:t>article 114 de la Loi fondamentale, telle que modifiée, a abrogé toutes les dispositions relatives à l</w:t>
      </w:r>
      <w:r w:rsidR="0035332C">
        <w:rPr>
          <w:lang w:val="fr-FR"/>
        </w:rPr>
        <w:t>’</w:t>
      </w:r>
      <w:r w:rsidRPr="00310D49">
        <w:rPr>
          <w:lang w:val="fr-FR"/>
        </w:rPr>
        <w:t>état d</w:t>
      </w:r>
      <w:r w:rsidR="0035332C">
        <w:rPr>
          <w:lang w:val="fr-FR"/>
        </w:rPr>
        <w:t>’</w:t>
      </w:r>
      <w:r w:rsidRPr="00310D49">
        <w:rPr>
          <w:lang w:val="fr-FR"/>
        </w:rPr>
        <w:t>urgence qui étaient en vigueur en Palestine. Il n</w:t>
      </w:r>
      <w:r w:rsidR="0035332C">
        <w:rPr>
          <w:lang w:val="fr-FR"/>
        </w:rPr>
        <w:t>’</w:t>
      </w:r>
      <w:r w:rsidRPr="00310D49">
        <w:rPr>
          <w:lang w:val="fr-FR"/>
        </w:rPr>
        <w:t>existe donc pas de tribunaux coutumiers dans l</w:t>
      </w:r>
      <w:r w:rsidR="0035332C">
        <w:rPr>
          <w:lang w:val="fr-FR"/>
        </w:rPr>
        <w:t>’</w:t>
      </w:r>
      <w:r w:rsidRPr="00310D49">
        <w:rPr>
          <w:lang w:val="fr-FR"/>
        </w:rPr>
        <w:t>État de Palestine.</w:t>
      </w:r>
    </w:p>
    <w:p w14:paraId="54888FC0" w14:textId="77777777" w:rsidR="00D005FA" w:rsidRPr="00310D49" w:rsidRDefault="00D005FA" w:rsidP="00B76332">
      <w:pPr>
        <w:pStyle w:val="H23G"/>
        <w:rPr>
          <w:lang w:val="fr-FR"/>
        </w:rPr>
      </w:pPr>
      <w:r w:rsidRPr="00310D49">
        <w:rPr>
          <w:lang w:val="fr-FR"/>
        </w:rPr>
        <w:tab/>
      </w:r>
      <w:r w:rsidRPr="00310D49">
        <w:rPr>
          <w:lang w:val="fr-FR"/>
        </w:rPr>
        <w:tab/>
        <w:t>Juridictions religieuses</w:t>
      </w:r>
    </w:p>
    <w:p w14:paraId="15FF8DA6" w14:textId="38889283" w:rsidR="00D005FA" w:rsidRPr="00310D49" w:rsidRDefault="00D005FA" w:rsidP="00B76332">
      <w:pPr>
        <w:pStyle w:val="SingleTxtG"/>
        <w:spacing w:before="120"/>
        <w:rPr>
          <w:lang w:val="fr-FR"/>
        </w:rPr>
      </w:pPr>
      <w:r w:rsidRPr="00310D49">
        <w:rPr>
          <w:lang w:val="fr-FR"/>
        </w:rPr>
        <w:t>275.</w:t>
      </w:r>
      <w:r w:rsidRPr="00310D49">
        <w:rPr>
          <w:lang w:val="fr-FR"/>
        </w:rPr>
        <w:tab/>
        <w:t>Conformément l</w:t>
      </w:r>
      <w:r w:rsidR="0035332C">
        <w:rPr>
          <w:lang w:val="fr-FR"/>
        </w:rPr>
        <w:t>’</w:t>
      </w:r>
      <w:r w:rsidRPr="00310D49">
        <w:rPr>
          <w:lang w:val="fr-FR"/>
        </w:rPr>
        <w:t>article 101 (al</w:t>
      </w:r>
      <w:r w:rsidR="00015903">
        <w:rPr>
          <w:lang w:val="fr-FR"/>
        </w:rPr>
        <w:t>. </w:t>
      </w:r>
      <w:r w:rsidRPr="00310D49">
        <w:rPr>
          <w:lang w:val="fr-FR"/>
        </w:rPr>
        <w:t>1) de la Loi fondamentale, telle que modifiée, les questions ayant trait à la charia et les questions de statut personnel relèvent de la compétence des tribunaux charaïques et religieux. En ce qui concerne les musulmans, trois degrés de juridiction charaïques sont prévus, à savoir les tribunaux charaïques de première instance, les cours d</w:t>
      </w:r>
      <w:r w:rsidR="0035332C">
        <w:rPr>
          <w:lang w:val="fr-FR"/>
        </w:rPr>
        <w:t>’</w:t>
      </w:r>
      <w:r w:rsidRPr="00310D49">
        <w:rPr>
          <w:lang w:val="fr-FR"/>
        </w:rPr>
        <w:t>appel charaïques et la Cour suprême charaïque, qui est une juridiction de droit. Quant</w:t>
      </w:r>
      <w:r w:rsidR="00015903">
        <w:rPr>
          <w:lang w:val="fr-FR"/>
        </w:rPr>
        <w:t> </w:t>
      </w:r>
      <w:r w:rsidRPr="00310D49">
        <w:rPr>
          <w:lang w:val="fr-FR"/>
        </w:rPr>
        <w:t>aux chrétiens, des tribunaux ecclésiastiques, qui ont compétence pour connaître des questions de statut personnel conformément aux lois régissant le statut personnel des communautés religieuses chrétiennes, leur sont dédiés.</w:t>
      </w:r>
    </w:p>
    <w:p w14:paraId="07E9C511" w14:textId="6E3BF29A" w:rsidR="00D005FA" w:rsidRPr="00310D49" w:rsidRDefault="00D005FA" w:rsidP="00B76332">
      <w:pPr>
        <w:pStyle w:val="H23G"/>
        <w:rPr>
          <w:lang w:val="fr-FR"/>
        </w:rPr>
      </w:pPr>
      <w:r w:rsidRPr="00310D49">
        <w:rPr>
          <w:lang w:val="fr-FR"/>
        </w:rPr>
        <w:tab/>
      </w:r>
      <w:r w:rsidRPr="00310D49">
        <w:rPr>
          <w:lang w:val="fr-FR"/>
        </w:rPr>
        <w:tab/>
        <w:t>Garanties d</w:t>
      </w:r>
      <w:r w:rsidR="0035332C">
        <w:rPr>
          <w:lang w:val="fr-FR"/>
        </w:rPr>
        <w:t>’</w:t>
      </w:r>
      <w:r w:rsidRPr="00310D49">
        <w:rPr>
          <w:lang w:val="fr-FR"/>
        </w:rPr>
        <w:t>un procès équitable</w:t>
      </w:r>
    </w:p>
    <w:p w14:paraId="2E39D3A6" w14:textId="29F33976" w:rsidR="00D005FA" w:rsidRPr="00310D49" w:rsidRDefault="00D005FA" w:rsidP="00B76332">
      <w:pPr>
        <w:pStyle w:val="SingleTxtG"/>
        <w:spacing w:before="120"/>
        <w:rPr>
          <w:lang w:val="fr-FR"/>
        </w:rPr>
      </w:pPr>
      <w:r w:rsidRPr="00310D49">
        <w:rPr>
          <w:lang w:val="fr-FR"/>
        </w:rPr>
        <w:t>276.</w:t>
      </w:r>
      <w:r w:rsidRPr="00310D49">
        <w:rPr>
          <w:lang w:val="fr-FR"/>
        </w:rPr>
        <w:tab/>
        <w:t>La législation palestinienne, en particulier la Déclaration d</w:t>
      </w:r>
      <w:r w:rsidR="0035332C">
        <w:rPr>
          <w:lang w:val="fr-FR"/>
        </w:rPr>
        <w:t>’</w:t>
      </w:r>
      <w:r w:rsidRPr="00310D49">
        <w:rPr>
          <w:lang w:val="fr-FR"/>
        </w:rPr>
        <w:t>indépendance, prévoit l</w:t>
      </w:r>
      <w:r w:rsidR="0035332C">
        <w:rPr>
          <w:lang w:val="fr-FR"/>
        </w:rPr>
        <w:t>’</w:t>
      </w:r>
      <w:r w:rsidRPr="00310D49">
        <w:rPr>
          <w:lang w:val="fr-FR"/>
        </w:rPr>
        <w:t>égalité et la non-discrimination, dans le cadre d</w:t>
      </w:r>
      <w:r w:rsidR="0035332C">
        <w:rPr>
          <w:lang w:val="fr-FR"/>
        </w:rPr>
        <w:t>’</w:t>
      </w:r>
      <w:r w:rsidRPr="00310D49">
        <w:rPr>
          <w:lang w:val="fr-FR"/>
        </w:rPr>
        <w:t>une Constitution garantissant la primauté du droit et l</w:t>
      </w:r>
      <w:r w:rsidR="0035332C">
        <w:rPr>
          <w:lang w:val="fr-FR"/>
        </w:rPr>
        <w:t>’</w:t>
      </w:r>
      <w:r w:rsidRPr="00310D49">
        <w:rPr>
          <w:lang w:val="fr-FR"/>
        </w:rPr>
        <w:t>indépendance de la justice. En outre, la Loi fondamentale, telle que modifiée, le Code de procédure pénale et la loi sur l</w:t>
      </w:r>
      <w:r w:rsidR="0035332C">
        <w:rPr>
          <w:lang w:val="fr-FR"/>
        </w:rPr>
        <w:t>’</w:t>
      </w:r>
      <w:r w:rsidRPr="00310D49">
        <w:rPr>
          <w:lang w:val="fr-FR"/>
        </w:rPr>
        <w:t>autorité judiciaire énoncent des principes fondamentaux qui tiennent compte des règles et normes en matière de procès équitable. Il</w:t>
      </w:r>
      <w:r w:rsidR="00015903">
        <w:rPr>
          <w:lang w:val="fr-FR"/>
        </w:rPr>
        <w:t> </w:t>
      </w:r>
      <w:r w:rsidRPr="00310D49">
        <w:rPr>
          <w:lang w:val="fr-FR"/>
        </w:rPr>
        <w:t>s</w:t>
      </w:r>
      <w:r w:rsidR="0035332C">
        <w:rPr>
          <w:lang w:val="fr-FR"/>
        </w:rPr>
        <w:t>’</w:t>
      </w:r>
      <w:r w:rsidRPr="00310D49">
        <w:rPr>
          <w:lang w:val="fr-FR"/>
        </w:rPr>
        <w:t>agit notamment du recours à un juge naturel, la présomption d</w:t>
      </w:r>
      <w:r w:rsidR="0035332C">
        <w:rPr>
          <w:lang w:val="fr-FR"/>
        </w:rPr>
        <w:t>’</w:t>
      </w:r>
      <w:r w:rsidRPr="00310D49">
        <w:rPr>
          <w:lang w:val="fr-FR"/>
        </w:rPr>
        <w:t>innocence, du droit d</w:t>
      </w:r>
      <w:r w:rsidR="0035332C">
        <w:rPr>
          <w:lang w:val="fr-FR"/>
        </w:rPr>
        <w:t>’</w:t>
      </w:r>
      <w:r w:rsidRPr="00310D49">
        <w:rPr>
          <w:lang w:val="fr-FR"/>
        </w:rPr>
        <w:t>une personne arrêtée ou détenue d</w:t>
      </w:r>
      <w:r w:rsidR="0035332C">
        <w:rPr>
          <w:lang w:val="fr-FR"/>
        </w:rPr>
        <w:t>’</w:t>
      </w:r>
      <w:r w:rsidRPr="00310D49">
        <w:rPr>
          <w:lang w:val="fr-FR"/>
        </w:rPr>
        <w:t>être informée dans le plus court délai des motifs de son arrestation, du droit à l</w:t>
      </w:r>
      <w:r w:rsidR="0035332C">
        <w:rPr>
          <w:lang w:val="fr-FR"/>
        </w:rPr>
        <w:t>’</w:t>
      </w:r>
      <w:r w:rsidRPr="00310D49">
        <w:rPr>
          <w:lang w:val="fr-FR"/>
        </w:rPr>
        <w:t>assistance d</w:t>
      </w:r>
      <w:r w:rsidR="0035332C">
        <w:rPr>
          <w:lang w:val="fr-FR"/>
        </w:rPr>
        <w:t>’</w:t>
      </w:r>
      <w:r w:rsidRPr="00310D49">
        <w:rPr>
          <w:lang w:val="fr-FR"/>
        </w:rPr>
        <w:t>un défenseur, du droit d</w:t>
      </w:r>
      <w:r w:rsidR="0035332C">
        <w:rPr>
          <w:lang w:val="fr-FR"/>
        </w:rPr>
        <w:t>’</w:t>
      </w:r>
      <w:r w:rsidRPr="00310D49">
        <w:rPr>
          <w:lang w:val="fr-FR"/>
        </w:rPr>
        <w:t>être jugée par un tribunal compétent, indépendant et impartial et du droit à des procès publics et à des verdicts prononcés en audience publique par les juridictions pénales, civiles ou commerciales, à moins que ces juridictions n</w:t>
      </w:r>
      <w:r w:rsidR="0035332C">
        <w:rPr>
          <w:lang w:val="fr-FR"/>
        </w:rPr>
        <w:t>’</w:t>
      </w:r>
      <w:r w:rsidRPr="00310D49">
        <w:rPr>
          <w:lang w:val="fr-FR"/>
        </w:rPr>
        <w:t>ordonnent le huis clos.</w:t>
      </w:r>
    </w:p>
    <w:p w14:paraId="7B79632A" w14:textId="02BEB9FC" w:rsidR="00D005FA" w:rsidRPr="00310D49" w:rsidRDefault="00D005FA" w:rsidP="00B76332">
      <w:pPr>
        <w:pStyle w:val="H23G"/>
        <w:rPr>
          <w:lang w:val="fr-FR"/>
        </w:rPr>
      </w:pPr>
      <w:r w:rsidRPr="00310D49">
        <w:rPr>
          <w:lang w:val="fr-FR"/>
        </w:rPr>
        <w:tab/>
      </w:r>
      <w:r w:rsidRPr="00310D49">
        <w:rPr>
          <w:lang w:val="fr-FR"/>
        </w:rPr>
        <w:tab/>
        <w:t>Assistance d</w:t>
      </w:r>
      <w:r w:rsidR="0035332C">
        <w:rPr>
          <w:lang w:val="fr-FR"/>
        </w:rPr>
        <w:t>’</w:t>
      </w:r>
      <w:r w:rsidRPr="00310D49">
        <w:rPr>
          <w:lang w:val="fr-FR"/>
        </w:rPr>
        <w:t>un avocat</w:t>
      </w:r>
    </w:p>
    <w:p w14:paraId="7ADE369E" w14:textId="21AF551B" w:rsidR="00D005FA" w:rsidRPr="00310D49" w:rsidRDefault="00D005FA" w:rsidP="00B76332">
      <w:pPr>
        <w:pStyle w:val="SingleTxtG"/>
        <w:spacing w:before="120"/>
        <w:rPr>
          <w:lang w:val="fr-FR"/>
        </w:rPr>
      </w:pPr>
      <w:r w:rsidRPr="00310D49">
        <w:rPr>
          <w:lang w:val="fr-FR"/>
        </w:rPr>
        <w:t>277.</w:t>
      </w:r>
      <w:r w:rsidRPr="00310D49">
        <w:rPr>
          <w:lang w:val="fr-FR"/>
        </w:rPr>
        <w:tab/>
        <w:t>L</w:t>
      </w:r>
      <w:r w:rsidR="0035332C">
        <w:rPr>
          <w:lang w:val="fr-FR"/>
        </w:rPr>
        <w:t>’</w:t>
      </w:r>
      <w:r w:rsidRPr="00310D49">
        <w:rPr>
          <w:lang w:val="fr-FR"/>
        </w:rPr>
        <w:t>article</w:t>
      </w:r>
      <w:r w:rsidR="00015903">
        <w:rPr>
          <w:lang w:val="fr-FR"/>
        </w:rPr>
        <w:t> </w:t>
      </w:r>
      <w:r w:rsidRPr="00310D49">
        <w:rPr>
          <w:lang w:val="fr-FR"/>
        </w:rPr>
        <w:t>14 de la Loi fondamentale, telle que modifiée, dispose que «</w:t>
      </w:r>
      <w:r w:rsidR="00015903">
        <w:rPr>
          <w:lang w:val="fr-FR"/>
        </w:rPr>
        <w:t> </w:t>
      </w:r>
      <w:r w:rsidRPr="00310D49">
        <w:rPr>
          <w:lang w:val="fr-FR"/>
        </w:rPr>
        <w:t>[t]out accusé est présumé innocent jusqu</w:t>
      </w:r>
      <w:r w:rsidR="0035332C">
        <w:rPr>
          <w:lang w:val="fr-FR"/>
        </w:rPr>
        <w:t>’</w:t>
      </w:r>
      <w:r w:rsidRPr="00310D49">
        <w:rPr>
          <w:lang w:val="fr-FR"/>
        </w:rPr>
        <w:t>à ce que sa culpabilité soit établie par un tribunal compétent garantissant son droit à la défense. Toute personne mise en cause dans une affaire pénale doit être représentée par un avocat</w:t>
      </w:r>
      <w:r w:rsidR="007C5D1E">
        <w:rPr>
          <w:lang w:val="fr-FR"/>
        </w:rPr>
        <w:t>. </w:t>
      </w:r>
      <w:r w:rsidRPr="00310D49">
        <w:rPr>
          <w:lang w:val="fr-FR"/>
        </w:rPr>
        <w:t>».</w:t>
      </w:r>
    </w:p>
    <w:p w14:paraId="39E24F0C" w14:textId="6284111B" w:rsidR="00D005FA" w:rsidRPr="00310D49" w:rsidRDefault="00D005FA" w:rsidP="00B76332">
      <w:pPr>
        <w:pStyle w:val="SingleTxtG"/>
        <w:spacing w:before="120"/>
        <w:rPr>
          <w:lang w:val="fr-FR"/>
        </w:rPr>
      </w:pPr>
      <w:r w:rsidRPr="00310D49">
        <w:rPr>
          <w:lang w:val="fr-FR"/>
        </w:rPr>
        <w:t>278.</w:t>
      </w:r>
      <w:r w:rsidRPr="00310D49">
        <w:rPr>
          <w:lang w:val="fr-FR"/>
        </w:rPr>
        <w:tab/>
        <w:t>Le législateur a ainsi fixé des conditions très strictes pour que l</w:t>
      </w:r>
      <w:r w:rsidR="0035332C">
        <w:rPr>
          <w:lang w:val="fr-FR"/>
        </w:rPr>
        <w:t>’</w:t>
      </w:r>
      <w:r w:rsidRPr="00310D49">
        <w:rPr>
          <w:lang w:val="fr-FR"/>
        </w:rPr>
        <w:t>accusé puisse communiquer avec un avocat à tous les stades de la procédure. À cet égard, les articles 244 et 245 du Code de procédure pénale soulignent que si l</w:t>
      </w:r>
      <w:r w:rsidR="0035332C">
        <w:rPr>
          <w:lang w:val="fr-FR"/>
        </w:rPr>
        <w:t>’</w:t>
      </w:r>
      <w:r w:rsidRPr="00310D49">
        <w:rPr>
          <w:lang w:val="fr-FR"/>
        </w:rPr>
        <w:t>accusé n</w:t>
      </w:r>
      <w:r w:rsidR="0035332C">
        <w:rPr>
          <w:lang w:val="fr-FR"/>
        </w:rPr>
        <w:t>’</w:t>
      </w:r>
      <w:r w:rsidRPr="00310D49">
        <w:rPr>
          <w:lang w:val="fr-FR"/>
        </w:rPr>
        <w:t>a pas fait appel à un avocat pour le défendre, le tribunal se chargera de lui en attribuer un d</w:t>
      </w:r>
      <w:r w:rsidR="0035332C">
        <w:rPr>
          <w:lang w:val="fr-FR"/>
        </w:rPr>
        <w:t>’</w:t>
      </w:r>
      <w:r w:rsidRPr="00310D49">
        <w:rPr>
          <w:lang w:val="fr-FR"/>
        </w:rPr>
        <w:t xml:space="preserve">office, dont les honoraires seront assurés par la trésorerie du tribunal. </w:t>
      </w:r>
    </w:p>
    <w:p w14:paraId="39FF5EBE" w14:textId="75509622" w:rsidR="00D005FA" w:rsidRPr="00310D49" w:rsidRDefault="00D005FA" w:rsidP="00B76332">
      <w:pPr>
        <w:pStyle w:val="SingleTxtG"/>
        <w:spacing w:before="120"/>
        <w:rPr>
          <w:lang w:val="fr-FR"/>
        </w:rPr>
      </w:pPr>
      <w:r w:rsidRPr="00310D49">
        <w:rPr>
          <w:lang w:val="fr-FR"/>
        </w:rPr>
        <w:t>279.</w:t>
      </w:r>
      <w:r w:rsidRPr="00310D49">
        <w:rPr>
          <w:lang w:val="fr-FR"/>
        </w:rPr>
        <w:tab/>
        <w:t>Par ailleurs, le projet de loi sur le Fonds d</w:t>
      </w:r>
      <w:r w:rsidR="0035332C">
        <w:rPr>
          <w:lang w:val="fr-FR"/>
        </w:rPr>
        <w:t>’</w:t>
      </w:r>
      <w:r w:rsidRPr="00310D49">
        <w:rPr>
          <w:lang w:val="fr-FR"/>
        </w:rPr>
        <w:t>aide juridictionnelle a été élaboré pour faire en sorte que toutes les personnes aient accès aux voies de recours. Il incombe au ministère public ou au tribunal compétent, lors de l</w:t>
      </w:r>
      <w:r w:rsidR="0035332C">
        <w:rPr>
          <w:lang w:val="fr-FR"/>
        </w:rPr>
        <w:t>’</w:t>
      </w:r>
      <w:r w:rsidRPr="00310D49">
        <w:rPr>
          <w:lang w:val="fr-FR"/>
        </w:rPr>
        <w:t>audition du prévenu accusé d</w:t>
      </w:r>
      <w:r w:rsidR="0035332C">
        <w:rPr>
          <w:lang w:val="fr-FR"/>
        </w:rPr>
        <w:t>’</w:t>
      </w:r>
      <w:r w:rsidRPr="00310D49">
        <w:rPr>
          <w:lang w:val="fr-FR"/>
        </w:rPr>
        <w:t>avoir commis une infraction pénale ou un délit passible d</w:t>
      </w:r>
      <w:r w:rsidR="0035332C">
        <w:rPr>
          <w:lang w:val="fr-FR"/>
        </w:rPr>
        <w:t>’</w:t>
      </w:r>
      <w:r w:rsidRPr="00310D49">
        <w:rPr>
          <w:lang w:val="fr-FR"/>
        </w:rPr>
        <w:t>une peine d</w:t>
      </w:r>
      <w:r w:rsidR="0035332C">
        <w:rPr>
          <w:lang w:val="fr-FR"/>
        </w:rPr>
        <w:t>’</w:t>
      </w:r>
      <w:r w:rsidRPr="00310D49">
        <w:rPr>
          <w:lang w:val="fr-FR"/>
        </w:rPr>
        <w:t>emprisonnement de plus d</w:t>
      </w:r>
      <w:r w:rsidR="0035332C">
        <w:rPr>
          <w:lang w:val="fr-FR"/>
        </w:rPr>
        <w:t>’</w:t>
      </w:r>
      <w:r w:rsidRPr="00310D49">
        <w:rPr>
          <w:lang w:val="fr-FR"/>
        </w:rPr>
        <w:t>un an, de lui désigner un avocat dont le nom figure sur la liste des avocats inscrits au Fonds pour le représenter et le défendre conformément à la loi.</w:t>
      </w:r>
    </w:p>
    <w:p w14:paraId="14E281A2" w14:textId="77777777" w:rsidR="00D005FA" w:rsidRPr="00310D49" w:rsidRDefault="00D005FA" w:rsidP="00B76332">
      <w:pPr>
        <w:pStyle w:val="H23G"/>
        <w:rPr>
          <w:lang w:val="fr-FR"/>
        </w:rPr>
      </w:pPr>
      <w:r w:rsidRPr="00310D49">
        <w:rPr>
          <w:lang w:val="fr-FR"/>
        </w:rPr>
        <w:tab/>
      </w:r>
      <w:r w:rsidRPr="00310D49">
        <w:rPr>
          <w:lang w:val="fr-FR"/>
        </w:rPr>
        <w:tab/>
        <w:t>Interprètes</w:t>
      </w:r>
    </w:p>
    <w:p w14:paraId="5093D8D3" w14:textId="2AADE1F0" w:rsidR="00D005FA" w:rsidRPr="00310D49" w:rsidRDefault="00D005FA" w:rsidP="00B76332">
      <w:pPr>
        <w:pStyle w:val="SingleTxtG"/>
        <w:spacing w:before="120"/>
        <w:rPr>
          <w:lang w:val="fr-FR"/>
        </w:rPr>
      </w:pPr>
      <w:r w:rsidRPr="00310D49">
        <w:rPr>
          <w:lang w:val="fr-FR"/>
        </w:rPr>
        <w:t>280.</w:t>
      </w:r>
      <w:r w:rsidRPr="00310D49">
        <w:rPr>
          <w:lang w:val="fr-FR"/>
        </w:rPr>
        <w:tab/>
        <w:t>L</w:t>
      </w:r>
      <w:r w:rsidR="0035332C">
        <w:rPr>
          <w:lang w:val="fr-FR"/>
        </w:rPr>
        <w:t>’</w:t>
      </w:r>
      <w:r w:rsidRPr="00310D49">
        <w:rPr>
          <w:lang w:val="fr-FR"/>
        </w:rPr>
        <w:t>article 264 du Code de procédure pénale garantit le droit de l</w:t>
      </w:r>
      <w:r w:rsidR="0035332C">
        <w:rPr>
          <w:lang w:val="fr-FR"/>
        </w:rPr>
        <w:t>’</w:t>
      </w:r>
      <w:r w:rsidRPr="00310D49">
        <w:rPr>
          <w:lang w:val="fr-FR"/>
        </w:rPr>
        <w:t>accusé de se faire assister d</w:t>
      </w:r>
      <w:r w:rsidR="0035332C">
        <w:rPr>
          <w:lang w:val="fr-FR"/>
        </w:rPr>
        <w:t>’</w:t>
      </w:r>
      <w:r w:rsidRPr="00310D49">
        <w:rPr>
          <w:lang w:val="fr-FR"/>
        </w:rPr>
        <w:t>un interprète à tous les stades de l</w:t>
      </w:r>
      <w:r w:rsidR="0035332C">
        <w:rPr>
          <w:lang w:val="fr-FR"/>
        </w:rPr>
        <w:t>’</w:t>
      </w:r>
      <w:r w:rsidRPr="00310D49">
        <w:rPr>
          <w:lang w:val="fr-FR"/>
        </w:rPr>
        <w:t>enquête et du procès. Il s</w:t>
      </w:r>
      <w:r w:rsidR="0035332C">
        <w:rPr>
          <w:lang w:val="fr-FR"/>
        </w:rPr>
        <w:t>’</w:t>
      </w:r>
      <w:r w:rsidRPr="00310D49">
        <w:rPr>
          <w:lang w:val="fr-FR"/>
        </w:rPr>
        <w:t>agit d</w:t>
      </w:r>
      <w:r w:rsidR="0035332C">
        <w:rPr>
          <w:lang w:val="fr-FR"/>
        </w:rPr>
        <w:t>’</w:t>
      </w:r>
      <w:r w:rsidRPr="00310D49">
        <w:rPr>
          <w:lang w:val="fr-FR"/>
        </w:rPr>
        <w:t>un droit complémentaire du droit de l</w:t>
      </w:r>
      <w:r w:rsidR="0035332C">
        <w:rPr>
          <w:lang w:val="fr-FR"/>
        </w:rPr>
        <w:t>’</w:t>
      </w:r>
      <w:r w:rsidRPr="00310D49">
        <w:rPr>
          <w:lang w:val="fr-FR"/>
        </w:rPr>
        <w:t>accusé de se faire assister par un conseil. Comme l</w:t>
      </w:r>
      <w:r w:rsidR="0035332C">
        <w:rPr>
          <w:lang w:val="fr-FR"/>
        </w:rPr>
        <w:t>’</w:t>
      </w:r>
      <w:r w:rsidRPr="00310D49">
        <w:rPr>
          <w:lang w:val="fr-FR"/>
        </w:rPr>
        <w:t xml:space="preserve">enquête se </w:t>
      </w:r>
      <w:r w:rsidRPr="00310D49">
        <w:rPr>
          <w:lang w:val="fr-FR"/>
        </w:rPr>
        <w:lastRenderedPageBreak/>
        <w:t>déroule en arabe, le président du tribunal désigne un interprète agréé lorsque l</w:t>
      </w:r>
      <w:r w:rsidR="0035332C">
        <w:rPr>
          <w:lang w:val="fr-FR"/>
        </w:rPr>
        <w:t>’</w:t>
      </w:r>
      <w:r w:rsidRPr="00310D49">
        <w:rPr>
          <w:lang w:val="fr-FR"/>
        </w:rPr>
        <w:t>accusé ou un témoin ne parle pas couramment l</w:t>
      </w:r>
      <w:r w:rsidR="0035332C">
        <w:rPr>
          <w:lang w:val="fr-FR"/>
        </w:rPr>
        <w:t>’</w:t>
      </w:r>
      <w:r w:rsidRPr="00310D49">
        <w:rPr>
          <w:lang w:val="fr-FR"/>
        </w:rPr>
        <w:t xml:space="preserve">arabe. </w:t>
      </w:r>
    </w:p>
    <w:p w14:paraId="52F2009A" w14:textId="6DB14523" w:rsidR="00D005FA" w:rsidRPr="00310D49" w:rsidRDefault="00D005FA" w:rsidP="00B76332">
      <w:pPr>
        <w:pStyle w:val="SingleTxtG"/>
        <w:spacing w:before="120"/>
        <w:rPr>
          <w:lang w:val="fr-FR"/>
        </w:rPr>
      </w:pPr>
      <w:r w:rsidRPr="00310D49">
        <w:rPr>
          <w:lang w:val="fr-FR"/>
        </w:rPr>
        <w:t>281.</w:t>
      </w:r>
      <w:r w:rsidRPr="00310D49">
        <w:rPr>
          <w:lang w:val="fr-FR"/>
        </w:rPr>
        <w:tab/>
        <w:t>Les articles 267 et 268 dudit Code traitent de la désignation d</w:t>
      </w:r>
      <w:r w:rsidR="0035332C">
        <w:rPr>
          <w:lang w:val="fr-FR"/>
        </w:rPr>
        <w:t>’</w:t>
      </w:r>
      <w:r w:rsidRPr="00310D49">
        <w:rPr>
          <w:lang w:val="fr-FR"/>
        </w:rPr>
        <w:t>un interprète en langue des signes. Ainsi, lorsque l</w:t>
      </w:r>
      <w:r w:rsidR="0035332C">
        <w:rPr>
          <w:lang w:val="fr-FR"/>
        </w:rPr>
        <w:t>’</w:t>
      </w:r>
      <w:r w:rsidRPr="00310D49">
        <w:rPr>
          <w:lang w:val="fr-FR"/>
        </w:rPr>
        <w:t>accusé est sourd-muet et ne sait pas écrire, le président du tribunal désigne la personne qui a le plus d</w:t>
      </w:r>
      <w:r w:rsidR="0035332C">
        <w:rPr>
          <w:lang w:val="fr-FR"/>
        </w:rPr>
        <w:t>’</w:t>
      </w:r>
      <w:r w:rsidRPr="00310D49">
        <w:rPr>
          <w:lang w:val="fr-FR"/>
        </w:rPr>
        <w:t>habitude de converser avec lui ou avec des personnes comme lui par la langue des signes ou par d</w:t>
      </w:r>
      <w:r w:rsidR="0035332C">
        <w:rPr>
          <w:lang w:val="fr-FR"/>
        </w:rPr>
        <w:t>’</w:t>
      </w:r>
      <w:r w:rsidRPr="00310D49">
        <w:rPr>
          <w:lang w:val="fr-FR"/>
        </w:rPr>
        <w:t>autres moyens techniques. En revanche, lorsque l</w:t>
      </w:r>
      <w:r w:rsidR="0035332C">
        <w:rPr>
          <w:lang w:val="fr-FR"/>
        </w:rPr>
        <w:t>’</w:t>
      </w:r>
      <w:r w:rsidRPr="00310D49">
        <w:rPr>
          <w:lang w:val="fr-FR"/>
        </w:rPr>
        <w:t>accusé sourd-muet sait écrire, le greffier du tribunal écrit les questions qui lui sont posées et les observations qui lui sont faites et les lui remet, puis l</w:t>
      </w:r>
      <w:r w:rsidR="0035332C">
        <w:rPr>
          <w:lang w:val="fr-FR"/>
        </w:rPr>
        <w:t>’</w:t>
      </w:r>
      <w:r w:rsidRPr="00310D49">
        <w:rPr>
          <w:lang w:val="fr-FR"/>
        </w:rPr>
        <w:t>accusé y répond par écrit. Le tout est ensuite lu à haute voix par le greffier et joint au procès-verbal.</w:t>
      </w:r>
    </w:p>
    <w:p w14:paraId="290DE7A4" w14:textId="77777777" w:rsidR="00D005FA" w:rsidRPr="00310D49" w:rsidRDefault="00D005FA" w:rsidP="00B76332">
      <w:pPr>
        <w:pStyle w:val="H23G"/>
        <w:rPr>
          <w:lang w:val="fr-FR"/>
        </w:rPr>
      </w:pPr>
      <w:r w:rsidRPr="00310D49">
        <w:rPr>
          <w:lang w:val="fr-FR"/>
        </w:rPr>
        <w:tab/>
      </w:r>
      <w:r w:rsidRPr="00310D49">
        <w:rPr>
          <w:lang w:val="fr-FR"/>
        </w:rPr>
        <w:tab/>
        <w:t>Jugement dans les meilleurs délais</w:t>
      </w:r>
    </w:p>
    <w:p w14:paraId="157C544D" w14:textId="347241BA" w:rsidR="00D005FA" w:rsidRPr="00310D49" w:rsidRDefault="00D005FA" w:rsidP="00B76332">
      <w:pPr>
        <w:pStyle w:val="SingleTxtG"/>
        <w:spacing w:before="120"/>
        <w:rPr>
          <w:lang w:val="fr-FR"/>
        </w:rPr>
      </w:pPr>
      <w:r w:rsidRPr="00310D49">
        <w:rPr>
          <w:lang w:val="fr-FR"/>
        </w:rPr>
        <w:t>282.</w:t>
      </w:r>
      <w:r w:rsidRPr="00310D49">
        <w:rPr>
          <w:lang w:val="fr-FR"/>
        </w:rPr>
        <w:tab/>
        <w:t>L</w:t>
      </w:r>
      <w:r w:rsidR="0035332C">
        <w:rPr>
          <w:lang w:val="fr-FR"/>
        </w:rPr>
        <w:t>’</w:t>
      </w:r>
      <w:r w:rsidRPr="00310D49">
        <w:rPr>
          <w:lang w:val="fr-FR"/>
        </w:rPr>
        <w:t xml:space="preserve">article 12 de la Loi fondamentale, telle que modifiée, dispose que toute personne arrêtée ou détenue doit être jugée sans délai par un tribunal, tandis que le Code de procédure </w:t>
      </w:r>
      <w:r w:rsidRPr="002E7C60">
        <w:rPr>
          <w:lang w:val="fr-FR"/>
        </w:rPr>
        <w:t xml:space="preserve">pénale a fixé </w:t>
      </w:r>
      <w:r w:rsidR="002E7C60" w:rsidRPr="002E7C60">
        <w:rPr>
          <w:lang w:val="fr-FR"/>
        </w:rPr>
        <w:t xml:space="preserve">les </w:t>
      </w:r>
      <w:r w:rsidRPr="002E7C60">
        <w:rPr>
          <w:lang w:val="fr-FR"/>
        </w:rPr>
        <w:t>durées</w:t>
      </w:r>
      <w:r w:rsidRPr="00310D49">
        <w:rPr>
          <w:lang w:val="fr-FR"/>
        </w:rPr>
        <w:t xml:space="preserve"> de détention provisoire nécessaires pour mener à bien l</w:t>
      </w:r>
      <w:r w:rsidR="0035332C">
        <w:rPr>
          <w:lang w:val="fr-FR"/>
        </w:rPr>
        <w:t>’</w:t>
      </w:r>
      <w:r w:rsidRPr="00310D49">
        <w:rPr>
          <w:lang w:val="fr-FR"/>
        </w:rPr>
        <w:t>instruction et la procédure de renvoi devant le tribunal compétent.</w:t>
      </w:r>
    </w:p>
    <w:p w14:paraId="5DBAB9A8" w14:textId="77777777" w:rsidR="00D005FA" w:rsidRPr="00310D49" w:rsidRDefault="00D005FA" w:rsidP="00B76332">
      <w:pPr>
        <w:pStyle w:val="H23G"/>
        <w:rPr>
          <w:lang w:val="fr-FR"/>
        </w:rPr>
      </w:pPr>
      <w:r w:rsidRPr="00310D49">
        <w:rPr>
          <w:lang w:val="fr-FR"/>
        </w:rPr>
        <w:tab/>
      </w:r>
      <w:r w:rsidRPr="00310D49">
        <w:rPr>
          <w:lang w:val="fr-FR"/>
        </w:rPr>
        <w:tab/>
        <w:t>Procès par défaut</w:t>
      </w:r>
    </w:p>
    <w:p w14:paraId="5F7137E6" w14:textId="00BF0FF1" w:rsidR="00D005FA" w:rsidRPr="00310D49" w:rsidRDefault="00D005FA" w:rsidP="00B76332">
      <w:pPr>
        <w:pStyle w:val="SingleTxtG"/>
        <w:spacing w:before="120"/>
        <w:rPr>
          <w:spacing w:val="-2"/>
          <w:lang w:val="fr-FR"/>
        </w:rPr>
      </w:pPr>
      <w:r w:rsidRPr="00310D49">
        <w:rPr>
          <w:lang w:val="fr-FR"/>
        </w:rPr>
        <w:t>283.</w:t>
      </w:r>
      <w:r w:rsidRPr="00310D49">
        <w:rPr>
          <w:lang w:val="fr-FR"/>
        </w:rPr>
        <w:tab/>
        <w:t>L</w:t>
      </w:r>
      <w:r w:rsidR="0035332C">
        <w:rPr>
          <w:lang w:val="fr-FR"/>
        </w:rPr>
        <w:t>’</w:t>
      </w:r>
      <w:r w:rsidRPr="00310D49">
        <w:rPr>
          <w:lang w:val="fr-FR"/>
        </w:rPr>
        <w:t>article 291 du Code de procédure pénale prévoit que si l</w:t>
      </w:r>
      <w:r w:rsidR="0035332C">
        <w:rPr>
          <w:lang w:val="fr-FR"/>
        </w:rPr>
        <w:t>’</w:t>
      </w:r>
      <w:r w:rsidRPr="00310D49">
        <w:rPr>
          <w:lang w:val="fr-FR"/>
        </w:rPr>
        <w:t>accusé ne se rend pas, le</w:t>
      </w:r>
      <w:r w:rsidR="007C5D1E">
        <w:rPr>
          <w:lang w:val="fr-FR"/>
        </w:rPr>
        <w:t> </w:t>
      </w:r>
      <w:r w:rsidRPr="00310D49">
        <w:rPr>
          <w:lang w:val="fr-FR"/>
        </w:rPr>
        <w:t>tribunal le jugera par défaut après s</w:t>
      </w:r>
      <w:r w:rsidR="0035332C">
        <w:rPr>
          <w:lang w:val="fr-FR"/>
        </w:rPr>
        <w:t>’</w:t>
      </w:r>
      <w:r w:rsidRPr="00310D49">
        <w:rPr>
          <w:lang w:val="fr-FR"/>
        </w:rPr>
        <w:t>être assuré que la décision lui accordant un délai de grâce lui a été notifiée et publiée, sachant qu</w:t>
      </w:r>
      <w:r w:rsidR="0035332C">
        <w:rPr>
          <w:lang w:val="fr-FR"/>
        </w:rPr>
        <w:t>’</w:t>
      </w:r>
      <w:r w:rsidRPr="00310D49">
        <w:rPr>
          <w:lang w:val="fr-FR"/>
        </w:rPr>
        <w:t>aucun conseil ne peut représenter un accusé jugé par défaut. En outre, l</w:t>
      </w:r>
      <w:r w:rsidR="0035332C">
        <w:rPr>
          <w:lang w:val="fr-FR"/>
        </w:rPr>
        <w:t>’</w:t>
      </w:r>
      <w:r w:rsidRPr="00310D49">
        <w:rPr>
          <w:lang w:val="fr-FR"/>
        </w:rPr>
        <w:t>article</w:t>
      </w:r>
      <w:r w:rsidR="007C5D1E">
        <w:rPr>
          <w:lang w:val="fr-FR"/>
        </w:rPr>
        <w:t> </w:t>
      </w:r>
      <w:r w:rsidRPr="00310D49">
        <w:rPr>
          <w:lang w:val="fr-FR"/>
        </w:rPr>
        <w:t>296 dudit Code dispose que si le fugitif se rend ou est arrêté avant que la peine ne soit éteinte par prescription, le jugement et les poursuites en cours le concernant sont annulés de plein droit et il est rejugé conformément aux procédures établies. Par ailleurs, les articles</w:t>
      </w:r>
      <w:r w:rsidR="007C5D1E">
        <w:rPr>
          <w:lang w:val="fr-FR"/>
        </w:rPr>
        <w:t> </w:t>
      </w:r>
      <w:r w:rsidRPr="00310D49">
        <w:rPr>
          <w:lang w:val="fr-FR"/>
        </w:rPr>
        <w:t>314 à 322 dudit Code précisent les modalités d</w:t>
      </w:r>
      <w:r w:rsidR="0035332C">
        <w:rPr>
          <w:lang w:val="fr-FR"/>
        </w:rPr>
        <w:t>’</w:t>
      </w:r>
      <w:r w:rsidRPr="00310D49">
        <w:rPr>
          <w:lang w:val="fr-FR"/>
        </w:rPr>
        <w:t>opposition aux jugements par défaut comme l</w:t>
      </w:r>
      <w:r w:rsidR="0035332C">
        <w:rPr>
          <w:lang w:val="fr-FR"/>
        </w:rPr>
        <w:t>’</w:t>
      </w:r>
      <w:r w:rsidRPr="00310D49">
        <w:rPr>
          <w:lang w:val="fr-FR"/>
        </w:rPr>
        <w:t>une des voies de recours contre les décisions judiciaires. Les personnes condamnées à raison d</w:t>
      </w:r>
      <w:r w:rsidR="0035332C">
        <w:rPr>
          <w:lang w:val="fr-FR"/>
        </w:rPr>
        <w:t>’</w:t>
      </w:r>
      <w:r w:rsidRPr="00310D49">
        <w:rPr>
          <w:lang w:val="fr-FR"/>
        </w:rPr>
        <w:t>un délit ou d</w:t>
      </w:r>
      <w:r w:rsidR="0035332C">
        <w:rPr>
          <w:lang w:val="fr-FR"/>
        </w:rPr>
        <w:t>’</w:t>
      </w:r>
      <w:r w:rsidRPr="00310D49">
        <w:rPr>
          <w:lang w:val="fr-FR"/>
        </w:rPr>
        <w:t>une contravention peuvent s</w:t>
      </w:r>
      <w:r w:rsidR="0035332C">
        <w:rPr>
          <w:lang w:val="fr-FR"/>
        </w:rPr>
        <w:t>’</w:t>
      </w:r>
      <w:r w:rsidRPr="00310D49">
        <w:rPr>
          <w:lang w:val="fr-FR"/>
        </w:rPr>
        <w:t>opposer au jugement dans les dix jours suivant sa notification, sachant que l</w:t>
      </w:r>
      <w:r w:rsidR="0035332C">
        <w:rPr>
          <w:lang w:val="fr-FR"/>
        </w:rPr>
        <w:t>’</w:t>
      </w:r>
      <w:r w:rsidRPr="00310D49">
        <w:rPr>
          <w:lang w:val="fr-FR"/>
        </w:rPr>
        <w:t xml:space="preserve">opposition formée par </w:t>
      </w:r>
      <w:r w:rsidRPr="00D93C9E">
        <w:rPr>
          <w:lang w:val="fr-FR"/>
        </w:rPr>
        <w:t>la partie civile</w:t>
      </w:r>
      <w:r w:rsidRPr="00310D49">
        <w:rPr>
          <w:lang w:val="fr-FR"/>
        </w:rPr>
        <w:t xml:space="preserve"> n</w:t>
      </w:r>
      <w:r w:rsidR="0035332C">
        <w:rPr>
          <w:lang w:val="fr-FR"/>
        </w:rPr>
        <w:t>’</w:t>
      </w:r>
      <w:r w:rsidRPr="00310D49">
        <w:rPr>
          <w:lang w:val="fr-FR"/>
        </w:rPr>
        <w:t>est pas recevable.</w:t>
      </w:r>
    </w:p>
    <w:p w14:paraId="157A528A" w14:textId="77777777" w:rsidR="00D005FA" w:rsidRPr="00310D49" w:rsidRDefault="00D005FA" w:rsidP="00B76332">
      <w:pPr>
        <w:pStyle w:val="H23G"/>
        <w:rPr>
          <w:lang w:val="fr-FR"/>
        </w:rPr>
      </w:pPr>
      <w:r w:rsidRPr="00310D49">
        <w:rPr>
          <w:lang w:val="fr-FR"/>
        </w:rPr>
        <w:tab/>
      </w:r>
      <w:r w:rsidRPr="00310D49">
        <w:rPr>
          <w:lang w:val="fr-FR"/>
        </w:rPr>
        <w:tab/>
        <w:t>Éléments de preuve et témoins</w:t>
      </w:r>
    </w:p>
    <w:p w14:paraId="10BD45C3" w14:textId="36BFB96B" w:rsidR="00D005FA" w:rsidRPr="00310D49" w:rsidRDefault="00D005FA" w:rsidP="00B76332">
      <w:pPr>
        <w:pStyle w:val="SingleTxtG"/>
        <w:spacing w:before="120"/>
        <w:rPr>
          <w:lang w:val="fr-FR"/>
        </w:rPr>
      </w:pPr>
      <w:r w:rsidRPr="00310D49">
        <w:rPr>
          <w:lang w:val="fr-FR"/>
        </w:rPr>
        <w:t>284.</w:t>
      </w:r>
      <w:r w:rsidRPr="00310D49">
        <w:rPr>
          <w:lang w:val="fr-FR"/>
        </w:rPr>
        <w:tab/>
        <w:t>Les dispositions relatives aux preuves sont contenues dans les articles 205 à 236 du Code de procédure pénale. Selon ces dispositions, la preuve est établie dans les actions pénales par tous les modes de preuve, à moins que la loi ne précise un mode particulier. Si</w:t>
      </w:r>
      <w:r w:rsidR="007C5D1E">
        <w:rPr>
          <w:lang w:val="fr-FR"/>
        </w:rPr>
        <w:t> </w:t>
      </w:r>
      <w:r w:rsidRPr="00310D49">
        <w:rPr>
          <w:lang w:val="fr-FR"/>
        </w:rPr>
        <w:t>aucune preuve n</w:t>
      </w:r>
      <w:r w:rsidR="0035332C">
        <w:rPr>
          <w:lang w:val="fr-FR"/>
        </w:rPr>
        <w:t>’</w:t>
      </w:r>
      <w:r w:rsidRPr="00310D49">
        <w:rPr>
          <w:lang w:val="fr-FR"/>
        </w:rPr>
        <w:t>est établie contre l</w:t>
      </w:r>
      <w:r w:rsidR="0035332C">
        <w:rPr>
          <w:lang w:val="fr-FR"/>
        </w:rPr>
        <w:t>’</w:t>
      </w:r>
      <w:r w:rsidRPr="00310D49">
        <w:rPr>
          <w:lang w:val="fr-FR"/>
        </w:rPr>
        <w:t>accusé, le tribunal l</w:t>
      </w:r>
      <w:r w:rsidR="0035332C">
        <w:rPr>
          <w:lang w:val="fr-FR"/>
        </w:rPr>
        <w:t>’</w:t>
      </w:r>
      <w:r w:rsidRPr="00310D49">
        <w:rPr>
          <w:lang w:val="fr-FR"/>
        </w:rPr>
        <w:t>acquitte. En outre, le jugement ne peut se fonder que sur les preuves présentées au procès et discutées ouvertement en audience en présence des parties. Par ailleurs, le tribunal peut, pendant que la procédure est en cours et à la demande des parties ou d</w:t>
      </w:r>
      <w:r w:rsidR="0035332C">
        <w:rPr>
          <w:lang w:val="fr-FR"/>
        </w:rPr>
        <w:t>’</w:t>
      </w:r>
      <w:r w:rsidRPr="00310D49">
        <w:rPr>
          <w:lang w:val="fr-FR"/>
        </w:rPr>
        <w:t>office, ordonner la présentation de toute preuve qu</w:t>
      </w:r>
      <w:r w:rsidR="0035332C">
        <w:rPr>
          <w:lang w:val="fr-FR"/>
        </w:rPr>
        <w:t>’</w:t>
      </w:r>
      <w:r w:rsidRPr="00310D49">
        <w:rPr>
          <w:lang w:val="fr-FR"/>
        </w:rPr>
        <w:t>il juge nécessaire à la manifestation de la vérité et entendre le témoignage de toute personne qui se présente volontairement pour fournir des informations sur l</w:t>
      </w:r>
      <w:r w:rsidR="0035332C">
        <w:rPr>
          <w:lang w:val="fr-FR"/>
        </w:rPr>
        <w:t>’</w:t>
      </w:r>
      <w:r w:rsidRPr="00310D49">
        <w:rPr>
          <w:lang w:val="fr-FR"/>
        </w:rPr>
        <w:t>affaire.</w:t>
      </w:r>
    </w:p>
    <w:p w14:paraId="482A0435" w14:textId="1991482B" w:rsidR="00D005FA" w:rsidRPr="00310D49" w:rsidRDefault="00D005FA" w:rsidP="00B76332">
      <w:pPr>
        <w:pStyle w:val="SingleTxtG"/>
        <w:spacing w:before="120"/>
        <w:rPr>
          <w:lang w:val="fr-FR"/>
        </w:rPr>
      </w:pPr>
      <w:r w:rsidRPr="00310D49">
        <w:rPr>
          <w:lang w:val="fr-FR"/>
        </w:rPr>
        <w:t>285.</w:t>
      </w:r>
      <w:r w:rsidRPr="00310D49">
        <w:rPr>
          <w:lang w:val="fr-FR"/>
        </w:rPr>
        <w:tab/>
        <w:t>Conformément à l</w:t>
      </w:r>
      <w:r w:rsidR="0035332C">
        <w:rPr>
          <w:lang w:val="fr-FR"/>
        </w:rPr>
        <w:t>’</w:t>
      </w:r>
      <w:r w:rsidRPr="00310D49">
        <w:rPr>
          <w:lang w:val="fr-FR"/>
        </w:rPr>
        <w:t>article 77 du Code de procédure pénale, le substitut du procureur ou l</w:t>
      </w:r>
      <w:r w:rsidR="0035332C">
        <w:rPr>
          <w:lang w:val="fr-FR"/>
        </w:rPr>
        <w:t>’</w:t>
      </w:r>
      <w:r w:rsidRPr="00310D49">
        <w:rPr>
          <w:lang w:val="fr-FR"/>
        </w:rPr>
        <w:t>enquêteur mandaté peut convoquer toutes les personnes dont il juge le témoignage utile à la manifestation de la vérité, que leurs noms figurent ou non dans les plaintes ou les dénonciations, et peut entendre le témoignage de toute personne qui comparaît de son propre</w:t>
      </w:r>
      <w:r w:rsidR="007C5D1E">
        <w:rPr>
          <w:lang w:val="fr-FR"/>
        </w:rPr>
        <w:t> </w:t>
      </w:r>
      <w:r w:rsidRPr="00310D49">
        <w:rPr>
          <w:lang w:val="fr-FR"/>
        </w:rPr>
        <w:t>gré.</w:t>
      </w:r>
    </w:p>
    <w:p w14:paraId="0EF05234" w14:textId="77777777" w:rsidR="00D005FA" w:rsidRPr="00310D49" w:rsidRDefault="00D005FA" w:rsidP="00B76332">
      <w:pPr>
        <w:pStyle w:val="H23G"/>
        <w:rPr>
          <w:lang w:val="fr-FR"/>
        </w:rPr>
      </w:pPr>
      <w:r w:rsidRPr="00310D49">
        <w:rPr>
          <w:lang w:val="fr-FR"/>
        </w:rPr>
        <w:tab/>
      </w:r>
      <w:r w:rsidRPr="00310D49">
        <w:rPr>
          <w:lang w:val="fr-FR"/>
        </w:rPr>
        <w:tab/>
        <w:t>Examen par une juridiction supérieure</w:t>
      </w:r>
    </w:p>
    <w:p w14:paraId="348E4C6A" w14:textId="17D68894" w:rsidR="00D005FA" w:rsidRPr="00310D49" w:rsidRDefault="00D005FA" w:rsidP="00B76332">
      <w:pPr>
        <w:pStyle w:val="SingleTxtG"/>
        <w:spacing w:before="120"/>
        <w:rPr>
          <w:lang w:val="fr-FR"/>
        </w:rPr>
      </w:pPr>
      <w:r w:rsidRPr="00310D49">
        <w:rPr>
          <w:lang w:val="fr-FR"/>
        </w:rPr>
        <w:t>286.</w:t>
      </w:r>
      <w:r w:rsidRPr="00310D49">
        <w:rPr>
          <w:lang w:val="fr-FR"/>
        </w:rPr>
        <w:tab/>
        <w:t>En matière pénale, le contentieux est traité par deux degrés de juridiction, à savoir les juridictions du premier degré que sont les tribunaux de conciliation et de première instance, et les juridictions du deuxième degré représentées par la Cour d</w:t>
      </w:r>
      <w:r w:rsidR="0035332C">
        <w:rPr>
          <w:lang w:val="fr-FR"/>
        </w:rPr>
        <w:t>’</w:t>
      </w:r>
      <w:r w:rsidRPr="00310D49">
        <w:rPr>
          <w:lang w:val="fr-FR"/>
        </w:rPr>
        <w:t>appel ou le tribunal de première instance agissant en qualité de juridiction du deuxième degré. Quant à la Cour de cassation, elle est une juridiction du droit et non du fond en ce sens qu</w:t>
      </w:r>
      <w:r w:rsidR="0035332C">
        <w:rPr>
          <w:lang w:val="fr-FR"/>
        </w:rPr>
        <w:t>’</w:t>
      </w:r>
      <w:r w:rsidRPr="00310D49">
        <w:rPr>
          <w:lang w:val="fr-FR"/>
        </w:rPr>
        <w:t>elle ne connaît pas du fond du litige, mais des recours liés à l</w:t>
      </w:r>
      <w:r w:rsidR="0035332C">
        <w:rPr>
          <w:lang w:val="fr-FR"/>
        </w:rPr>
        <w:t>’</w:t>
      </w:r>
      <w:r w:rsidRPr="00310D49">
        <w:rPr>
          <w:lang w:val="fr-FR"/>
        </w:rPr>
        <w:t>application de la loi.</w:t>
      </w:r>
    </w:p>
    <w:p w14:paraId="521648D6" w14:textId="77777777" w:rsidR="00D005FA" w:rsidRPr="00310D49" w:rsidRDefault="00D005FA" w:rsidP="00B76332">
      <w:pPr>
        <w:pStyle w:val="H23G"/>
        <w:rPr>
          <w:lang w:val="fr-FR"/>
        </w:rPr>
      </w:pPr>
      <w:r w:rsidRPr="00310D49">
        <w:rPr>
          <w:lang w:val="fr-FR"/>
        </w:rPr>
        <w:lastRenderedPageBreak/>
        <w:tab/>
      </w:r>
      <w:r w:rsidRPr="00310D49">
        <w:rPr>
          <w:lang w:val="fr-FR"/>
        </w:rPr>
        <w:tab/>
        <w:t xml:space="preserve">Réparation </w:t>
      </w:r>
    </w:p>
    <w:p w14:paraId="3BF51AC6" w14:textId="1D025141" w:rsidR="00D005FA" w:rsidRPr="00310D49" w:rsidRDefault="007C5D1E" w:rsidP="007C5D1E">
      <w:pPr>
        <w:pStyle w:val="SingleTxtG"/>
        <w:keepNext/>
        <w:keepLines/>
        <w:rPr>
          <w:lang w:val="fr-FR"/>
        </w:rPr>
      </w:pPr>
      <w:r w:rsidRPr="007C5D1E">
        <w:rPr>
          <w:lang w:val="fr-FR"/>
        </w:rPr>
        <w:t>287.</w:t>
      </w:r>
      <w:r w:rsidRPr="007C5D1E">
        <w:rPr>
          <w:lang w:val="fr-FR"/>
        </w:rPr>
        <w:tab/>
        <w:t>Selon l</w:t>
      </w:r>
      <w:r w:rsidR="0035332C">
        <w:rPr>
          <w:lang w:val="fr-FR"/>
        </w:rPr>
        <w:t>’</w:t>
      </w:r>
      <w:r w:rsidRPr="007C5D1E">
        <w:rPr>
          <w:lang w:val="fr-FR"/>
        </w:rPr>
        <w:t>article 30 (al.</w:t>
      </w:r>
      <w:r>
        <w:rPr>
          <w:lang w:val="fr-FR"/>
        </w:rPr>
        <w:t> </w:t>
      </w:r>
      <w:r w:rsidRPr="007C5D1E">
        <w:rPr>
          <w:lang w:val="fr-FR"/>
        </w:rPr>
        <w:t>3) de la Loi fondamentale, telle que modifiée, l</w:t>
      </w:r>
      <w:r w:rsidR="0035332C">
        <w:rPr>
          <w:lang w:val="fr-FR"/>
        </w:rPr>
        <w:t>’</w:t>
      </w:r>
      <w:r w:rsidRPr="007C5D1E">
        <w:rPr>
          <w:lang w:val="fr-FR"/>
        </w:rPr>
        <w:t>erreur judiciaire donne lieu à réparation. L</w:t>
      </w:r>
      <w:r w:rsidR="0035332C">
        <w:rPr>
          <w:lang w:val="fr-FR"/>
        </w:rPr>
        <w:t>’</w:t>
      </w:r>
      <w:r w:rsidRPr="007C5D1E">
        <w:rPr>
          <w:lang w:val="fr-FR"/>
        </w:rPr>
        <w:t>article 387 du Code de procédure pénale dispose également qu</w:t>
      </w:r>
      <w:r w:rsidR="0035332C">
        <w:rPr>
          <w:lang w:val="fr-FR"/>
        </w:rPr>
        <w:t>’</w:t>
      </w:r>
      <w:r w:rsidRPr="007C5D1E">
        <w:rPr>
          <w:lang w:val="fr-FR"/>
        </w:rPr>
        <w:t>une personne acquittée après ouverture d</w:t>
      </w:r>
      <w:r w:rsidR="0035332C">
        <w:rPr>
          <w:lang w:val="fr-FR"/>
        </w:rPr>
        <w:t>’</w:t>
      </w:r>
      <w:r w:rsidRPr="007C5D1E">
        <w:rPr>
          <w:lang w:val="fr-FR"/>
        </w:rPr>
        <w:t>un nouveau procès a le droit de demander réparation à l</w:t>
      </w:r>
      <w:r w:rsidR="0035332C">
        <w:rPr>
          <w:lang w:val="fr-FR"/>
        </w:rPr>
        <w:t>’</w:t>
      </w:r>
      <w:r w:rsidRPr="007C5D1E">
        <w:rPr>
          <w:lang w:val="fr-FR"/>
        </w:rPr>
        <w:t>État pour le préjudice subi résultant du jugement initial, et que l</w:t>
      </w:r>
      <w:r w:rsidR="0035332C">
        <w:rPr>
          <w:lang w:val="fr-FR"/>
        </w:rPr>
        <w:t>’</w:t>
      </w:r>
      <w:r w:rsidRPr="007C5D1E">
        <w:rPr>
          <w:lang w:val="fr-FR"/>
        </w:rPr>
        <w:t>État verse l</w:t>
      </w:r>
      <w:r w:rsidR="0035332C">
        <w:rPr>
          <w:lang w:val="fr-FR"/>
        </w:rPr>
        <w:t>’</w:t>
      </w:r>
      <w:r w:rsidRPr="007C5D1E">
        <w:rPr>
          <w:lang w:val="fr-FR"/>
        </w:rPr>
        <w:t>indemnisation fixée par le tribunal et peut en récupérer le montant auprès du plaignant, de l</w:t>
      </w:r>
      <w:r w:rsidR="0035332C">
        <w:rPr>
          <w:lang w:val="fr-FR"/>
        </w:rPr>
        <w:t>’</w:t>
      </w:r>
      <w:r w:rsidRPr="007C5D1E">
        <w:rPr>
          <w:lang w:val="fr-FR"/>
        </w:rPr>
        <w:t>informateur ou de la personne ayant procédé à un faux témoignage à l</w:t>
      </w:r>
      <w:r w:rsidR="0035332C">
        <w:rPr>
          <w:lang w:val="fr-FR"/>
        </w:rPr>
        <w:t>’</w:t>
      </w:r>
      <w:r w:rsidRPr="007C5D1E">
        <w:rPr>
          <w:lang w:val="fr-FR"/>
        </w:rPr>
        <w:t>origine du jugement initial.</w:t>
      </w:r>
    </w:p>
    <w:p w14:paraId="45110063" w14:textId="77777777" w:rsidR="00D005FA" w:rsidRPr="00310D49" w:rsidRDefault="00D005FA" w:rsidP="00B76332">
      <w:pPr>
        <w:pStyle w:val="H23G"/>
        <w:rPr>
          <w:lang w:val="fr-FR"/>
        </w:rPr>
      </w:pPr>
      <w:r w:rsidRPr="00310D49">
        <w:rPr>
          <w:lang w:val="fr-FR"/>
        </w:rPr>
        <w:tab/>
      </w:r>
      <w:r w:rsidRPr="00310D49">
        <w:rPr>
          <w:lang w:val="fr-FR"/>
        </w:rPr>
        <w:tab/>
      </w:r>
      <w:r w:rsidRPr="00993E0C">
        <w:rPr>
          <w:lang w:val="fr-FR"/>
        </w:rPr>
        <w:t>Orientations stratégiques</w:t>
      </w:r>
    </w:p>
    <w:p w14:paraId="3848A35E" w14:textId="1020B700" w:rsidR="00D005FA" w:rsidRPr="002E7C60" w:rsidRDefault="00D005FA" w:rsidP="00B76332">
      <w:pPr>
        <w:pStyle w:val="SingleTxtG"/>
        <w:spacing w:before="120"/>
        <w:rPr>
          <w:lang w:val="fr-FR"/>
        </w:rPr>
      </w:pPr>
      <w:r w:rsidRPr="00310D49">
        <w:rPr>
          <w:lang w:val="fr-FR"/>
        </w:rPr>
        <w:t>288.</w:t>
      </w:r>
      <w:r w:rsidRPr="00310D49">
        <w:rPr>
          <w:lang w:val="fr-FR"/>
        </w:rPr>
        <w:tab/>
        <w:t>Au niveau de la politique générale, un plan sectoriel stratégique pour le secteur de la justice et de l</w:t>
      </w:r>
      <w:r w:rsidR="0035332C">
        <w:rPr>
          <w:lang w:val="fr-FR"/>
        </w:rPr>
        <w:t>’</w:t>
      </w:r>
      <w:r w:rsidRPr="00310D49">
        <w:rPr>
          <w:lang w:val="fr-FR"/>
        </w:rPr>
        <w:t>état de droit a été adopté pour la période 2017-2022. Ce plan vise à instaurer un système d</w:t>
      </w:r>
      <w:r w:rsidR="0035332C">
        <w:rPr>
          <w:lang w:val="fr-FR"/>
        </w:rPr>
        <w:t>’</w:t>
      </w:r>
      <w:r w:rsidRPr="00310D49">
        <w:rPr>
          <w:lang w:val="fr-FR"/>
        </w:rPr>
        <w:t>administration de la justice doté d</w:t>
      </w:r>
      <w:r w:rsidR="0035332C">
        <w:rPr>
          <w:lang w:val="fr-FR"/>
        </w:rPr>
        <w:t>’</w:t>
      </w:r>
      <w:r w:rsidRPr="00310D49">
        <w:rPr>
          <w:lang w:val="fr-FR"/>
        </w:rPr>
        <w:t xml:space="preserve">un cadre juridique dans lequel la justice fonctionne de manière efficiente et efficace afin de garantir un procès équitable. Il vise également à mettre en place un cadre institutionnel et réglementaire intégré pour le bon fonctionnement des </w:t>
      </w:r>
      <w:r w:rsidRPr="002E7C60">
        <w:rPr>
          <w:lang w:val="fr-FR"/>
        </w:rPr>
        <w:t xml:space="preserve">institutions du secteur de la justice. </w:t>
      </w:r>
    </w:p>
    <w:p w14:paraId="55B018FA" w14:textId="70D57C3B" w:rsidR="00D005FA" w:rsidRPr="00310D49" w:rsidRDefault="00D005FA" w:rsidP="00B76332">
      <w:pPr>
        <w:pStyle w:val="SingleTxtG"/>
        <w:spacing w:before="120"/>
        <w:rPr>
          <w:lang w:val="fr-FR"/>
        </w:rPr>
      </w:pPr>
      <w:r w:rsidRPr="002E7C60">
        <w:rPr>
          <w:lang w:val="fr-FR"/>
        </w:rPr>
        <w:t>289.</w:t>
      </w:r>
      <w:r w:rsidRPr="002E7C60">
        <w:rPr>
          <w:lang w:val="fr-FR"/>
        </w:rPr>
        <w:tab/>
        <w:t>En septembre 2017, le Président a pris le décret</w:t>
      </w:r>
      <w:r w:rsidRPr="00310D49">
        <w:rPr>
          <w:lang w:val="fr-FR"/>
        </w:rPr>
        <w:t xml:space="preserve"> portant formation du «</w:t>
      </w:r>
      <w:r w:rsidR="00993E0C">
        <w:rPr>
          <w:lang w:val="fr-FR"/>
        </w:rPr>
        <w:t> </w:t>
      </w:r>
      <w:r w:rsidRPr="00310D49">
        <w:rPr>
          <w:lang w:val="fr-FR"/>
        </w:rPr>
        <w:t>Comité national pour le développement du secteur juridique et judiciaire</w:t>
      </w:r>
      <w:r w:rsidR="00993E0C">
        <w:rPr>
          <w:lang w:val="fr-FR"/>
        </w:rPr>
        <w:t> </w:t>
      </w:r>
      <w:r w:rsidRPr="00310D49">
        <w:rPr>
          <w:lang w:val="fr-FR"/>
        </w:rPr>
        <w:t>», qui a notamment pour fonctions de revoir le système de législation judiciaire et de définir une vision globale pour le développement du secteur juridique et judiciaire. Le Ministère de la justice s</w:t>
      </w:r>
      <w:r w:rsidR="0035332C">
        <w:rPr>
          <w:lang w:val="fr-FR"/>
        </w:rPr>
        <w:t>’</w:t>
      </w:r>
      <w:r w:rsidRPr="00310D49">
        <w:rPr>
          <w:lang w:val="fr-FR"/>
        </w:rPr>
        <w:t>efforce également de modifier la loi sur l</w:t>
      </w:r>
      <w:r w:rsidR="0035332C">
        <w:rPr>
          <w:lang w:val="fr-FR"/>
        </w:rPr>
        <w:t>’</w:t>
      </w:r>
      <w:r w:rsidRPr="00310D49">
        <w:rPr>
          <w:lang w:val="fr-FR"/>
        </w:rPr>
        <w:t>autorité judiciaire, en vue de faire progresser l</w:t>
      </w:r>
      <w:r w:rsidR="0035332C">
        <w:rPr>
          <w:lang w:val="fr-FR"/>
        </w:rPr>
        <w:t>’</w:t>
      </w:r>
      <w:r w:rsidRPr="00310D49">
        <w:rPr>
          <w:lang w:val="fr-FR"/>
        </w:rPr>
        <w:t xml:space="preserve">administration de la justice, en particulier en ce qui concerne la lenteur des procédures. </w:t>
      </w:r>
    </w:p>
    <w:p w14:paraId="5FBB01C4" w14:textId="698475E7" w:rsidR="00D005FA" w:rsidRPr="00310D49" w:rsidRDefault="00D005FA" w:rsidP="00B76332">
      <w:pPr>
        <w:pStyle w:val="SingleTxtG"/>
        <w:spacing w:before="120"/>
        <w:rPr>
          <w:lang w:val="fr-FR"/>
        </w:rPr>
      </w:pPr>
      <w:r w:rsidRPr="00310D49">
        <w:rPr>
          <w:lang w:val="fr-FR"/>
        </w:rPr>
        <w:t>290.</w:t>
      </w:r>
      <w:r w:rsidRPr="00310D49">
        <w:rPr>
          <w:lang w:val="fr-FR"/>
        </w:rPr>
        <w:tab/>
        <w:t>Donnant suite aux recommandations du Comité national pour le développement du secteur juridique et judiciaire, le Président palestinien a promulgué le 15 juillet 2019 deux décrets-lois, l</w:t>
      </w:r>
      <w:r w:rsidR="0035332C">
        <w:rPr>
          <w:lang w:val="fr-FR"/>
        </w:rPr>
        <w:t>’</w:t>
      </w:r>
      <w:r w:rsidRPr="00310D49">
        <w:rPr>
          <w:lang w:val="fr-FR"/>
        </w:rPr>
        <w:t>un portant modification de la loi n</w:t>
      </w:r>
      <w:r w:rsidR="00993E0C" w:rsidRPr="00993E0C">
        <w:rPr>
          <w:vertAlign w:val="superscript"/>
          <w:lang w:val="fr-FR"/>
        </w:rPr>
        <w:t>o</w:t>
      </w:r>
      <w:r w:rsidR="00993E0C">
        <w:rPr>
          <w:lang w:val="fr-FR"/>
        </w:rPr>
        <w:t> </w:t>
      </w:r>
      <w:r w:rsidRPr="00310D49">
        <w:rPr>
          <w:lang w:val="fr-FR"/>
        </w:rPr>
        <w:t>1 de 2002 sur l</w:t>
      </w:r>
      <w:r w:rsidR="0035332C">
        <w:rPr>
          <w:lang w:val="fr-FR"/>
        </w:rPr>
        <w:t>’</w:t>
      </w:r>
      <w:r w:rsidRPr="00310D49">
        <w:rPr>
          <w:lang w:val="fr-FR"/>
        </w:rPr>
        <w:t>autorité judiciaire de manière à porter à 60</w:t>
      </w:r>
      <w:r w:rsidR="00993E0C">
        <w:rPr>
          <w:lang w:val="fr-FR"/>
        </w:rPr>
        <w:t> </w:t>
      </w:r>
      <w:r w:rsidRPr="00310D49">
        <w:rPr>
          <w:lang w:val="fr-FR"/>
        </w:rPr>
        <w:t>ans l</w:t>
      </w:r>
      <w:r w:rsidR="0035332C">
        <w:rPr>
          <w:lang w:val="fr-FR"/>
        </w:rPr>
        <w:t>’</w:t>
      </w:r>
      <w:r w:rsidRPr="00310D49">
        <w:rPr>
          <w:lang w:val="fr-FR"/>
        </w:rPr>
        <w:t>âge de la retraite des juges et l</w:t>
      </w:r>
      <w:r w:rsidR="0035332C">
        <w:rPr>
          <w:lang w:val="fr-FR"/>
        </w:rPr>
        <w:t>’</w:t>
      </w:r>
      <w:r w:rsidRPr="00310D49">
        <w:rPr>
          <w:lang w:val="fr-FR"/>
        </w:rPr>
        <w:t>autre sur la dissolution du Conseil supérieur de la magistrature et la formation d</w:t>
      </w:r>
      <w:r w:rsidR="0035332C">
        <w:rPr>
          <w:lang w:val="fr-FR"/>
        </w:rPr>
        <w:t>’</w:t>
      </w:r>
      <w:r w:rsidRPr="00310D49">
        <w:rPr>
          <w:lang w:val="fr-FR"/>
        </w:rPr>
        <w:t>un conseil supérieur de la magistrature transitoire disposant d</w:t>
      </w:r>
      <w:r w:rsidR="0035332C">
        <w:rPr>
          <w:lang w:val="fr-FR"/>
        </w:rPr>
        <w:t>’</w:t>
      </w:r>
      <w:r w:rsidRPr="00310D49">
        <w:rPr>
          <w:lang w:val="fr-FR"/>
        </w:rPr>
        <w:t>un mandat d</w:t>
      </w:r>
      <w:r w:rsidR="0035332C">
        <w:rPr>
          <w:lang w:val="fr-FR"/>
        </w:rPr>
        <w:t>’</w:t>
      </w:r>
      <w:r w:rsidRPr="00310D49">
        <w:rPr>
          <w:lang w:val="fr-FR"/>
        </w:rPr>
        <w:t>un an pour fixer la composition des différentes juridictions à tous les degrés, organiser l</w:t>
      </w:r>
      <w:r w:rsidR="0035332C">
        <w:rPr>
          <w:lang w:val="fr-FR"/>
        </w:rPr>
        <w:t>’</w:t>
      </w:r>
      <w:r w:rsidRPr="00310D49">
        <w:rPr>
          <w:lang w:val="fr-FR"/>
        </w:rPr>
        <w:t>appareil judiciaire, élaborer les projets de loi nécessaires pour réformer le pouvoir judiciaire, restaurer la confiance des citoyens en ce pouvoir, améliorer l</w:t>
      </w:r>
      <w:r w:rsidR="0035332C">
        <w:rPr>
          <w:lang w:val="fr-FR"/>
        </w:rPr>
        <w:t>’</w:t>
      </w:r>
      <w:r w:rsidRPr="00310D49">
        <w:rPr>
          <w:lang w:val="fr-FR"/>
        </w:rPr>
        <w:t>accès à la justice et raccourcir les délais de jugement. Une fois ce travail accompli, le Conseil supérieur de la magistrature sera reconstitué conformément aux dispositions de la loi.</w:t>
      </w:r>
    </w:p>
    <w:p w14:paraId="243F98F7" w14:textId="24A23A2C" w:rsidR="00D005FA" w:rsidRDefault="00D005FA" w:rsidP="00B76332">
      <w:pPr>
        <w:pStyle w:val="SingleTxtG"/>
        <w:spacing w:before="120"/>
        <w:rPr>
          <w:lang w:val="fr-FR"/>
        </w:rPr>
      </w:pPr>
      <w:r w:rsidRPr="00310D49">
        <w:rPr>
          <w:lang w:val="fr-FR"/>
        </w:rPr>
        <w:t>291.</w:t>
      </w:r>
      <w:r w:rsidRPr="00310D49">
        <w:rPr>
          <w:lang w:val="fr-FR"/>
        </w:rPr>
        <w:tab/>
        <w:t>En 1983, l</w:t>
      </w:r>
      <w:r w:rsidR="0035332C">
        <w:rPr>
          <w:lang w:val="fr-FR"/>
        </w:rPr>
        <w:t>’</w:t>
      </w:r>
      <w:r w:rsidRPr="00310D49">
        <w:rPr>
          <w:lang w:val="fr-FR"/>
        </w:rPr>
        <w:t>État de Palestine a ratifié la Convention arabe sur la coopération judiciaire, en vertu de laquelle les citoyens des États parties à ladite Convention jouissent à l</w:t>
      </w:r>
      <w:r w:rsidR="0035332C">
        <w:rPr>
          <w:lang w:val="fr-FR"/>
        </w:rPr>
        <w:t>’</w:t>
      </w:r>
      <w:r w:rsidRPr="00310D49">
        <w:rPr>
          <w:lang w:val="fr-FR"/>
        </w:rPr>
        <w:t>intérieur des frontières respectives de ces États du droit de saisir les tribunaux pour faire valoir leurs droits, ainsi que du droit à l</w:t>
      </w:r>
      <w:r w:rsidR="0035332C">
        <w:rPr>
          <w:lang w:val="fr-FR"/>
        </w:rPr>
        <w:t>’</w:t>
      </w:r>
      <w:r w:rsidRPr="00310D49">
        <w:rPr>
          <w:lang w:val="fr-FR"/>
        </w:rPr>
        <w:t>aide juridictionnelle.</w:t>
      </w:r>
    </w:p>
    <w:p w14:paraId="2302E667" w14:textId="21DAEB56" w:rsidR="0018192B" w:rsidRPr="0018192B" w:rsidRDefault="0018192B" w:rsidP="0018192B">
      <w:pPr>
        <w:pStyle w:val="SingleTxtG"/>
        <w:keepNext/>
        <w:rPr>
          <w:b/>
          <w:bCs/>
        </w:rPr>
      </w:pPr>
      <w:r w:rsidRPr="0018192B">
        <w:rPr>
          <w:b/>
          <w:bCs/>
        </w:rPr>
        <w:t>Le tableau ci-après reprend les données du Conseil supérieur de la magistrature relatives à l</w:t>
      </w:r>
      <w:r w:rsidR="0035332C">
        <w:rPr>
          <w:b/>
          <w:bCs/>
        </w:rPr>
        <w:t>’</w:t>
      </w:r>
      <w:r w:rsidRPr="0018192B">
        <w:rPr>
          <w:b/>
          <w:bCs/>
        </w:rPr>
        <w:t>évolution des activités des juridictions ordinaires entre 2014 et 2017.</w:t>
      </w:r>
    </w:p>
    <w:tbl>
      <w:tblPr>
        <w:tblW w:w="9639" w:type="dxa"/>
        <w:tblLayout w:type="fixed"/>
        <w:tblCellMar>
          <w:left w:w="0" w:type="dxa"/>
          <w:right w:w="0" w:type="dxa"/>
        </w:tblCellMar>
        <w:tblLook w:val="04A0" w:firstRow="1" w:lastRow="0" w:firstColumn="1" w:lastColumn="0" w:noHBand="0" w:noVBand="1"/>
      </w:tblPr>
      <w:tblGrid>
        <w:gridCol w:w="1993"/>
        <w:gridCol w:w="4054"/>
        <w:gridCol w:w="883"/>
        <w:gridCol w:w="927"/>
        <w:gridCol w:w="883"/>
        <w:gridCol w:w="899"/>
      </w:tblGrid>
      <w:tr w:rsidR="0018192B" w:rsidRPr="0018192B" w14:paraId="159B6B76" w14:textId="77777777" w:rsidTr="0018192B">
        <w:trPr>
          <w:tblHeader/>
        </w:trPr>
        <w:tc>
          <w:tcPr>
            <w:tcW w:w="6182" w:type="dxa"/>
            <w:gridSpan w:val="2"/>
            <w:tcBorders>
              <w:top w:val="single" w:sz="4" w:space="0" w:color="auto"/>
              <w:bottom w:val="single" w:sz="12" w:space="0" w:color="auto"/>
            </w:tcBorders>
            <w:shd w:val="clear" w:color="auto" w:fill="auto"/>
            <w:vAlign w:val="bottom"/>
          </w:tcPr>
          <w:p w14:paraId="6854F9B9" w14:textId="77777777" w:rsidR="00D005FA" w:rsidRPr="0018192B" w:rsidRDefault="00D005FA" w:rsidP="0018192B">
            <w:pPr>
              <w:keepNext/>
              <w:widowControl w:val="0"/>
              <w:suppressAutoHyphens w:val="0"/>
              <w:spacing w:before="80" w:after="80" w:line="200" w:lineRule="exact"/>
              <w:ind w:right="113"/>
              <w:rPr>
                <w:i/>
                <w:sz w:val="16"/>
                <w:rtl/>
              </w:rPr>
            </w:pPr>
          </w:p>
        </w:tc>
        <w:tc>
          <w:tcPr>
            <w:tcW w:w="903" w:type="dxa"/>
            <w:tcBorders>
              <w:top w:val="single" w:sz="4" w:space="0" w:color="auto"/>
              <w:bottom w:val="single" w:sz="12" w:space="0" w:color="auto"/>
            </w:tcBorders>
            <w:shd w:val="clear" w:color="auto" w:fill="auto"/>
            <w:vAlign w:val="bottom"/>
          </w:tcPr>
          <w:p w14:paraId="1EFD0A12" w14:textId="77777777" w:rsidR="00D005FA" w:rsidRPr="0018192B" w:rsidRDefault="00D005FA" w:rsidP="00BE51F8">
            <w:pPr>
              <w:keepNext/>
              <w:widowControl w:val="0"/>
              <w:suppressAutoHyphens w:val="0"/>
              <w:spacing w:before="80" w:after="80" w:line="200" w:lineRule="exact"/>
              <w:ind w:right="113"/>
              <w:jc w:val="right"/>
              <w:rPr>
                <w:i/>
                <w:sz w:val="16"/>
                <w:lang w:val="fr-FR"/>
              </w:rPr>
            </w:pPr>
            <w:r w:rsidRPr="0018192B">
              <w:rPr>
                <w:i/>
                <w:sz w:val="16"/>
                <w:lang w:val="fr-FR"/>
              </w:rPr>
              <w:t>2017</w:t>
            </w:r>
          </w:p>
        </w:tc>
        <w:tc>
          <w:tcPr>
            <w:tcW w:w="948" w:type="dxa"/>
            <w:tcBorders>
              <w:top w:val="single" w:sz="4" w:space="0" w:color="auto"/>
              <w:bottom w:val="single" w:sz="12" w:space="0" w:color="auto"/>
            </w:tcBorders>
            <w:shd w:val="clear" w:color="auto" w:fill="auto"/>
            <w:vAlign w:val="bottom"/>
          </w:tcPr>
          <w:p w14:paraId="6C782289" w14:textId="77777777" w:rsidR="00D005FA" w:rsidRPr="0018192B" w:rsidRDefault="00D005FA" w:rsidP="00BE51F8">
            <w:pPr>
              <w:keepNext/>
              <w:widowControl w:val="0"/>
              <w:suppressAutoHyphens w:val="0"/>
              <w:spacing w:before="80" w:after="80" w:line="200" w:lineRule="exact"/>
              <w:ind w:right="113"/>
              <w:jc w:val="right"/>
              <w:rPr>
                <w:i/>
                <w:sz w:val="16"/>
                <w:lang w:val="fr-FR"/>
              </w:rPr>
            </w:pPr>
            <w:r w:rsidRPr="0018192B">
              <w:rPr>
                <w:i/>
                <w:sz w:val="16"/>
                <w:lang w:val="fr-FR"/>
              </w:rPr>
              <w:t>2016</w:t>
            </w:r>
          </w:p>
        </w:tc>
        <w:tc>
          <w:tcPr>
            <w:tcW w:w="903" w:type="dxa"/>
            <w:tcBorders>
              <w:top w:val="single" w:sz="4" w:space="0" w:color="auto"/>
              <w:bottom w:val="single" w:sz="12" w:space="0" w:color="auto"/>
            </w:tcBorders>
            <w:shd w:val="clear" w:color="auto" w:fill="auto"/>
            <w:vAlign w:val="bottom"/>
          </w:tcPr>
          <w:p w14:paraId="57D1E558" w14:textId="77777777" w:rsidR="00D005FA" w:rsidRPr="0018192B" w:rsidRDefault="00D005FA" w:rsidP="00BE51F8">
            <w:pPr>
              <w:keepNext/>
              <w:widowControl w:val="0"/>
              <w:suppressAutoHyphens w:val="0"/>
              <w:spacing w:before="80" w:after="80" w:line="200" w:lineRule="exact"/>
              <w:ind w:right="113"/>
              <w:jc w:val="right"/>
              <w:rPr>
                <w:i/>
                <w:sz w:val="16"/>
                <w:lang w:val="fr-FR"/>
              </w:rPr>
            </w:pPr>
            <w:r w:rsidRPr="0018192B">
              <w:rPr>
                <w:i/>
                <w:sz w:val="16"/>
                <w:lang w:val="fr-FR"/>
              </w:rPr>
              <w:t>2015</w:t>
            </w:r>
          </w:p>
        </w:tc>
        <w:tc>
          <w:tcPr>
            <w:tcW w:w="919" w:type="dxa"/>
            <w:tcBorders>
              <w:top w:val="single" w:sz="4" w:space="0" w:color="auto"/>
              <w:bottom w:val="single" w:sz="12" w:space="0" w:color="auto"/>
            </w:tcBorders>
            <w:shd w:val="clear" w:color="auto" w:fill="auto"/>
            <w:vAlign w:val="bottom"/>
          </w:tcPr>
          <w:p w14:paraId="2A583950" w14:textId="77777777" w:rsidR="00D005FA" w:rsidRPr="0018192B" w:rsidRDefault="00D005FA" w:rsidP="00BE51F8">
            <w:pPr>
              <w:keepNext/>
              <w:widowControl w:val="0"/>
              <w:suppressAutoHyphens w:val="0"/>
              <w:spacing w:before="80" w:after="80" w:line="200" w:lineRule="exact"/>
              <w:ind w:right="113"/>
              <w:jc w:val="right"/>
              <w:rPr>
                <w:i/>
                <w:sz w:val="16"/>
                <w:lang w:val="fr-FR"/>
              </w:rPr>
            </w:pPr>
            <w:r w:rsidRPr="0018192B">
              <w:rPr>
                <w:i/>
                <w:sz w:val="16"/>
                <w:lang w:val="fr-FR"/>
              </w:rPr>
              <w:t>2014</w:t>
            </w:r>
          </w:p>
        </w:tc>
      </w:tr>
      <w:tr w:rsidR="0018192B" w:rsidRPr="0018192B" w14:paraId="45DC6D90" w14:textId="77777777" w:rsidTr="0018192B">
        <w:trPr>
          <w:trHeight w:hRule="exact" w:val="113"/>
        </w:trPr>
        <w:tc>
          <w:tcPr>
            <w:tcW w:w="6182" w:type="dxa"/>
            <w:gridSpan w:val="2"/>
            <w:tcBorders>
              <w:top w:val="single" w:sz="12" w:space="0" w:color="auto"/>
            </w:tcBorders>
            <w:shd w:val="clear" w:color="auto" w:fill="auto"/>
          </w:tcPr>
          <w:p w14:paraId="11DBB92A" w14:textId="77777777" w:rsidR="0018192B" w:rsidRPr="0018192B" w:rsidRDefault="0018192B" w:rsidP="0018192B">
            <w:pPr>
              <w:keepNext/>
              <w:widowControl w:val="0"/>
              <w:suppressAutoHyphens w:val="0"/>
              <w:spacing w:before="40" w:after="120"/>
              <w:ind w:right="113"/>
              <w:rPr>
                <w:rtl/>
                <w:lang w:val="fr-FR"/>
              </w:rPr>
            </w:pPr>
          </w:p>
        </w:tc>
        <w:tc>
          <w:tcPr>
            <w:tcW w:w="903" w:type="dxa"/>
            <w:tcBorders>
              <w:top w:val="single" w:sz="12" w:space="0" w:color="auto"/>
            </w:tcBorders>
            <w:shd w:val="clear" w:color="auto" w:fill="auto"/>
          </w:tcPr>
          <w:p w14:paraId="355B4D96" w14:textId="77777777" w:rsidR="0018192B" w:rsidRPr="0018192B" w:rsidRDefault="0018192B" w:rsidP="00BE51F8">
            <w:pPr>
              <w:keepNext/>
              <w:widowControl w:val="0"/>
              <w:suppressAutoHyphens w:val="0"/>
              <w:spacing w:before="40" w:after="120"/>
              <w:ind w:right="113"/>
              <w:jc w:val="right"/>
              <w:rPr>
                <w:lang w:val="fr-FR"/>
              </w:rPr>
            </w:pPr>
          </w:p>
        </w:tc>
        <w:tc>
          <w:tcPr>
            <w:tcW w:w="948" w:type="dxa"/>
            <w:tcBorders>
              <w:top w:val="single" w:sz="12" w:space="0" w:color="auto"/>
            </w:tcBorders>
            <w:shd w:val="clear" w:color="auto" w:fill="auto"/>
          </w:tcPr>
          <w:p w14:paraId="0ABC385B" w14:textId="77777777" w:rsidR="0018192B" w:rsidRPr="0018192B" w:rsidRDefault="0018192B" w:rsidP="00BE51F8">
            <w:pPr>
              <w:keepNext/>
              <w:widowControl w:val="0"/>
              <w:suppressAutoHyphens w:val="0"/>
              <w:spacing w:before="40" w:after="120"/>
              <w:ind w:right="113"/>
              <w:jc w:val="right"/>
              <w:rPr>
                <w:lang w:val="fr-FR"/>
              </w:rPr>
            </w:pPr>
          </w:p>
        </w:tc>
        <w:tc>
          <w:tcPr>
            <w:tcW w:w="903" w:type="dxa"/>
            <w:tcBorders>
              <w:top w:val="single" w:sz="12" w:space="0" w:color="auto"/>
            </w:tcBorders>
            <w:shd w:val="clear" w:color="auto" w:fill="auto"/>
          </w:tcPr>
          <w:p w14:paraId="71CAABC2" w14:textId="77777777" w:rsidR="0018192B" w:rsidRPr="0018192B" w:rsidRDefault="0018192B" w:rsidP="00BE51F8">
            <w:pPr>
              <w:keepNext/>
              <w:widowControl w:val="0"/>
              <w:suppressAutoHyphens w:val="0"/>
              <w:spacing w:before="40" w:after="120"/>
              <w:ind w:right="113"/>
              <w:jc w:val="right"/>
              <w:rPr>
                <w:lang w:val="fr-FR"/>
              </w:rPr>
            </w:pPr>
          </w:p>
        </w:tc>
        <w:tc>
          <w:tcPr>
            <w:tcW w:w="919" w:type="dxa"/>
            <w:tcBorders>
              <w:top w:val="single" w:sz="12" w:space="0" w:color="auto"/>
            </w:tcBorders>
            <w:shd w:val="clear" w:color="auto" w:fill="auto"/>
          </w:tcPr>
          <w:p w14:paraId="072C343B" w14:textId="77777777" w:rsidR="0018192B" w:rsidRPr="0018192B" w:rsidRDefault="0018192B" w:rsidP="00BE51F8">
            <w:pPr>
              <w:keepNext/>
              <w:widowControl w:val="0"/>
              <w:suppressAutoHyphens w:val="0"/>
              <w:spacing w:before="40" w:after="120"/>
              <w:ind w:right="113"/>
              <w:jc w:val="right"/>
              <w:rPr>
                <w:lang w:val="fr-FR"/>
              </w:rPr>
            </w:pPr>
          </w:p>
        </w:tc>
      </w:tr>
      <w:tr w:rsidR="0018192B" w:rsidRPr="0018192B" w14:paraId="5B4C7115" w14:textId="77777777" w:rsidTr="007258D4">
        <w:tc>
          <w:tcPr>
            <w:tcW w:w="2037" w:type="dxa"/>
            <w:vMerge w:val="restart"/>
            <w:shd w:val="clear" w:color="auto" w:fill="auto"/>
            <w:vAlign w:val="center"/>
          </w:tcPr>
          <w:p w14:paraId="06764697" w14:textId="77777777" w:rsidR="00D005FA" w:rsidRPr="0018192B" w:rsidRDefault="00D005FA" w:rsidP="007258D4">
            <w:pPr>
              <w:keepNext/>
              <w:widowControl w:val="0"/>
              <w:suppressAutoHyphens w:val="0"/>
              <w:spacing w:before="40" w:after="120"/>
              <w:ind w:right="113"/>
              <w:rPr>
                <w:b/>
                <w:bCs/>
                <w:lang w:val="fr-FR"/>
              </w:rPr>
            </w:pPr>
            <w:r w:rsidRPr="0018192B">
              <w:rPr>
                <w:b/>
                <w:bCs/>
                <w:lang w:val="fr-FR"/>
              </w:rPr>
              <w:t>Tribunaux de conciliation</w:t>
            </w:r>
          </w:p>
        </w:tc>
        <w:tc>
          <w:tcPr>
            <w:tcW w:w="4145" w:type="dxa"/>
            <w:shd w:val="clear" w:color="auto" w:fill="auto"/>
          </w:tcPr>
          <w:p w14:paraId="027ED598" w14:textId="6A3F2972" w:rsidR="00D005FA" w:rsidRPr="0018192B" w:rsidRDefault="00D005FA" w:rsidP="0018192B">
            <w:pPr>
              <w:keepNext/>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 en cours, en matière civile et pénale, à l</w:t>
            </w:r>
            <w:r w:rsidR="0035332C">
              <w:rPr>
                <w:lang w:val="fr-FR"/>
              </w:rPr>
              <w:t>’</w:t>
            </w:r>
            <w:r w:rsidRPr="0018192B">
              <w:rPr>
                <w:lang w:val="fr-FR"/>
              </w:rPr>
              <w:t>exception des affaires de circulation routière</w:t>
            </w:r>
          </w:p>
        </w:tc>
        <w:tc>
          <w:tcPr>
            <w:tcW w:w="903" w:type="dxa"/>
            <w:shd w:val="clear" w:color="auto" w:fill="auto"/>
          </w:tcPr>
          <w:p w14:paraId="56D4C750"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86</w:t>
            </w:r>
            <w:r w:rsidRPr="0018192B">
              <w:t xml:space="preserve"> </w:t>
            </w:r>
            <w:r w:rsidRPr="0018192B">
              <w:rPr>
                <w:rtl/>
              </w:rPr>
              <w:t>655</w:t>
            </w:r>
          </w:p>
        </w:tc>
        <w:tc>
          <w:tcPr>
            <w:tcW w:w="948" w:type="dxa"/>
            <w:shd w:val="clear" w:color="auto" w:fill="auto"/>
          </w:tcPr>
          <w:p w14:paraId="3BEF3084"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81</w:t>
            </w:r>
            <w:r w:rsidRPr="0018192B">
              <w:t xml:space="preserve"> </w:t>
            </w:r>
            <w:r w:rsidRPr="0018192B">
              <w:rPr>
                <w:rtl/>
              </w:rPr>
              <w:t>734</w:t>
            </w:r>
          </w:p>
        </w:tc>
        <w:tc>
          <w:tcPr>
            <w:tcW w:w="903" w:type="dxa"/>
            <w:shd w:val="clear" w:color="auto" w:fill="auto"/>
          </w:tcPr>
          <w:p w14:paraId="62250A5F"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85</w:t>
            </w:r>
            <w:r w:rsidRPr="0018192B">
              <w:t xml:space="preserve"> </w:t>
            </w:r>
            <w:r w:rsidRPr="0018192B">
              <w:rPr>
                <w:rtl/>
              </w:rPr>
              <w:t>100</w:t>
            </w:r>
          </w:p>
        </w:tc>
        <w:tc>
          <w:tcPr>
            <w:tcW w:w="919" w:type="dxa"/>
            <w:shd w:val="clear" w:color="auto" w:fill="auto"/>
          </w:tcPr>
          <w:p w14:paraId="420BD739"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84</w:t>
            </w:r>
            <w:r w:rsidRPr="0018192B">
              <w:t xml:space="preserve"> </w:t>
            </w:r>
            <w:r w:rsidRPr="0018192B">
              <w:rPr>
                <w:rtl/>
              </w:rPr>
              <w:t>585</w:t>
            </w:r>
          </w:p>
        </w:tc>
      </w:tr>
      <w:tr w:rsidR="0018192B" w:rsidRPr="0018192B" w14:paraId="0DC179BC" w14:textId="77777777" w:rsidTr="0018192B">
        <w:tc>
          <w:tcPr>
            <w:tcW w:w="2037" w:type="dxa"/>
            <w:vMerge/>
            <w:shd w:val="clear" w:color="auto" w:fill="auto"/>
          </w:tcPr>
          <w:p w14:paraId="1E9B287E" w14:textId="77777777" w:rsidR="00D005FA" w:rsidRPr="0018192B" w:rsidRDefault="00D005FA" w:rsidP="0018192B">
            <w:pPr>
              <w:keepNext/>
              <w:widowControl w:val="0"/>
              <w:suppressAutoHyphens w:val="0"/>
              <w:spacing w:before="40" w:after="120"/>
              <w:ind w:right="113"/>
              <w:rPr>
                <w:b/>
                <w:bCs/>
                <w:rtl/>
                <w:lang w:val="fr-FR"/>
              </w:rPr>
            </w:pPr>
          </w:p>
        </w:tc>
        <w:tc>
          <w:tcPr>
            <w:tcW w:w="4145" w:type="dxa"/>
            <w:shd w:val="clear" w:color="auto" w:fill="auto"/>
          </w:tcPr>
          <w:p w14:paraId="416D38E6" w14:textId="6638F9B9" w:rsidR="00D005FA" w:rsidRPr="0018192B" w:rsidRDefault="00D005FA" w:rsidP="0018192B">
            <w:pPr>
              <w:keepNext/>
              <w:widowControl w:val="0"/>
              <w:suppressAutoHyphens w:val="0"/>
              <w:spacing w:before="40" w:after="120"/>
              <w:ind w:right="113"/>
              <w:rPr>
                <w:lang w:val="fr-FR"/>
              </w:rPr>
            </w:pPr>
            <w:r w:rsidRPr="0018192B">
              <w:rPr>
                <w:lang w:val="fr-FR"/>
              </w:rPr>
              <w:t>Proportion des affaires réglées par rapport au nombre total des affaires en cours en matière civile et pénal «</w:t>
            </w:r>
            <w:r w:rsidR="00993E0C">
              <w:rPr>
                <w:lang w:val="fr-FR"/>
              </w:rPr>
              <w:t> </w:t>
            </w:r>
            <w:r w:rsidRPr="0018192B">
              <w:rPr>
                <w:lang w:val="fr-FR"/>
              </w:rPr>
              <w:t>taux de réponse</w:t>
            </w:r>
            <w:r w:rsidR="00993E0C">
              <w:rPr>
                <w:lang w:val="fr-FR"/>
              </w:rPr>
              <w:t> </w:t>
            </w:r>
            <w:r w:rsidRPr="0018192B">
              <w:rPr>
                <w:lang w:val="fr-FR"/>
              </w:rPr>
              <w:t>»</w:t>
            </w:r>
          </w:p>
        </w:tc>
        <w:tc>
          <w:tcPr>
            <w:tcW w:w="903" w:type="dxa"/>
            <w:shd w:val="clear" w:color="auto" w:fill="auto"/>
          </w:tcPr>
          <w:p w14:paraId="162CA234" w14:textId="51A6AC62" w:rsidR="00D005FA" w:rsidRPr="0018192B" w:rsidRDefault="00D005FA" w:rsidP="00BE51F8">
            <w:pPr>
              <w:keepNext/>
              <w:widowControl w:val="0"/>
              <w:suppressAutoHyphens w:val="0"/>
              <w:spacing w:before="40" w:after="120"/>
              <w:ind w:right="113"/>
              <w:jc w:val="right"/>
              <w:rPr>
                <w:lang w:val="fr-FR"/>
              </w:rPr>
            </w:pPr>
            <w:r w:rsidRPr="0018192B">
              <w:rPr>
                <w:lang w:val="fr-FR"/>
              </w:rPr>
              <w:t>59</w:t>
            </w:r>
            <w:r w:rsidR="00BE51F8">
              <w:rPr>
                <w:lang w:val="fr-FR"/>
              </w:rPr>
              <w:t> </w:t>
            </w:r>
            <w:r w:rsidRPr="0018192B">
              <w:rPr>
                <w:lang w:val="fr-FR"/>
              </w:rPr>
              <w:t>%</w:t>
            </w:r>
          </w:p>
        </w:tc>
        <w:tc>
          <w:tcPr>
            <w:tcW w:w="948" w:type="dxa"/>
            <w:shd w:val="clear" w:color="auto" w:fill="auto"/>
          </w:tcPr>
          <w:p w14:paraId="495765C7" w14:textId="58BB2065" w:rsidR="00D005FA" w:rsidRPr="0018192B" w:rsidRDefault="00D005FA" w:rsidP="00BE51F8">
            <w:pPr>
              <w:keepNext/>
              <w:widowControl w:val="0"/>
              <w:suppressAutoHyphens w:val="0"/>
              <w:spacing w:before="40" w:after="120"/>
              <w:ind w:right="113"/>
              <w:jc w:val="right"/>
              <w:rPr>
                <w:lang w:val="fr-FR"/>
              </w:rPr>
            </w:pPr>
            <w:r w:rsidRPr="0018192B">
              <w:rPr>
                <w:lang w:val="fr-FR"/>
              </w:rPr>
              <w:t>62</w:t>
            </w:r>
            <w:r w:rsidR="00BE51F8">
              <w:rPr>
                <w:lang w:val="fr-FR"/>
              </w:rPr>
              <w:t> </w:t>
            </w:r>
            <w:r w:rsidRPr="0018192B">
              <w:rPr>
                <w:lang w:val="fr-FR"/>
              </w:rPr>
              <w:t>%</w:t>
            </w:r>
          </w:p>
        </w:tc>
        <w:tc>
          <w:tcPr>
            <w:tcW w:w="903" w:type="dxa"/>
            <w:shd w:val="clear" w:color="auto" w:fill="auto"/>
          </w:tcPr>
          <w:p w14:paraId="38E868AC" w14:textId="6A33997F" w:rsidR="00D005FA" w:rsidRPr="0018192B" w:rsidRDefault="00D005FA" w:rsidP="00BE51F8">
            <w:pPr>
              <w:keepNext/>
              <w:widowControl w:val="0"/>
              <w:suppressAutoHyphens w:val="0"/>
              <w:spacing w:before="40" w:after="120"/>
              <w:ind w:right="113"/>
              <w:jc w:val="right"/>
              <w:rPr>
                <w:lang w:val="fr-FR"/>
              </w:rPr>
            </w:pPr>
            <w:r w:rsidRPr="0018192B">
              <w:rPr>
                <w:lang w:val="fr-FR"/>
              </w:rPr>
              <w:t>65</w:t>
            </w:r>
            <w:r w:rsidR="00BE51F8">
              <w:rPr>
                <w:lang w:val="fr-FR"/>
              </w:rPr>
              <w:t> </w:t>
            </w:r>
            <w:r w:rsidRPr="0018192B">
              <w:rPr>
                <w:lang w:val="fr-FR"/>
              </w:rPr>
              <w:t>%</w:t>
            </w:r>
          </w:p>
        </w:tc>
        <w:tc>
          <w:tcPr>
            <w:tcW w:w="919" w:type="dxa"/>
            <w:shd w:val="clear" w:color="auto" w:fill="auto"/>
          </w:tcPr>
          <w:p w14:paraId="47045F1B" w14:textId="08C1B212" w:rsidR="00D005FA" w:rsidRPr="0018192B" w:rsidRDefault="00D005FA" w:rsidP="00BE51F8">
            <w:pPr>
              <w:keepNext/>
              <w:widowControl w:val="0"/>
              <w:suppressAutoHyphens w:val="0"/>
              <w:spacing w:before="40" w:after="120"/>
              <w:ind w:right="113"/>
              <w:jc w:val="right"/>
              <w:rPr>
                <w:lang w:val="fr-FR"/>
              </w:rPr>
            </w:pPr>
            <w:r w:rsidRPr="0018192B">
              <w:rPr>
                <w:lang w:val="fr-FR"/>
              </w:rPr>
              <w:t>60</w:t>
            </w:r>
            <w:r w:rsidR="00BE51F8">
              <w:rPr>
                <w:lang w:val="fr-FR"/>
              </w:rPr>
              <w:t> </w:t>
            </w:r>
            <w:r w:rsidRPr="0018192B">
              <w:rPr>
                <w:lang w:val="fr-FR"/>
              </w:rPr>
              <w:t>%</w:t>
            </w:r>
          </w:p>
        </w:tc>
      </w:tr>
      <w:tr w:rsidR="0018192B" w:rsidRPr="0018192B" w14:paraId="6D0EFF7D" w14:textId="77777777" w:rsidTr="007258D4">
        <w:tc>
          <w:tcPr>
            <w:tcW w:w="2037" w:type="dxa"/>
            <w:vMerge w:val="restart"/>
            <w:shd w:val="clear" w:color="auto" w:fill="auto"/>
            <w:vAlign w:val="center"/>
          </w:tcPr>
          <w:p w14:paraId="5267DC7D" w14:textId="77777777" w:rsidR="00D005FA" w:rsidRPr="0018192B" w:rsidRDefault="00D005FA" w:rsidP="007258D4">
            <w:pPr>
              <w:widowControl w:val="0"/>
              <w:suppressAutoHyphens w:val="0"/>
              <w:spacing w:before="40" w:after="120"/>
              <w:ind w:right="113"/>
              <w:rPr>
                <w:b/>
                <w:bCs/>
                <w:lang w:val="fr-FR"/>
              </w:rPr>
            </w:pPr>
            <w:r w:rsidRPr="0018192B">
              <w:rPr>
                <w:b/>
                <w:bCs/>
                <w:lang w:val="fr-FR"/>
              </w:rPr>
              <w:t>Tribunaux de première instance</w:t>
            </w:r>
          </w:p>
        </w:tc>
        <w:tc>
          <w:tcPr>
            <w:tcW w:w="4145" w:type="dxa"/>
            <w:shd w:val="clear" w:color="auto" w:fill="auto"/>
          </w:tcPr>
          <w:p w14:paraId="75829447" w14:textId="0D9F6D02" w:rsidR="00D005FA" w:rsidRPr="0018192B" w:rsidRDefault="00D005FA" w:rsidP="0018192B">
            <w:pPr>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 en cours, en matière civile et pénale</w:t>
            </w:r>
          </w:p>
        </w:tc>
        <w:tc>
          <w:tcPr>
            <w:tcW w:w="903" w:type="dxa"/>
            <w:shd w:val="clear" w:color="auto" w:fill="auto"/>
          </w:tcPr>
          <w:p w14:paraId="2D7F6513" w14:textId="77777777" w:rsidR="00D005FA" w:rsidRPr="0018192B" w:rsidRDefault="00D005FA" w:rsidP="00BE51F8">
            <w:pPr>
              <w:widowControl w:val="0"/>
              <w:suppressAutoHyphens w:val="0"/>
              <w:spacing w:before="40" w:after="120"/>
              <w:ind w:right="113"/>
              <w:jc w:val="right"/>
              <w:rPr>
                <w:rtl/>
                <w:lang w:val="fr-FR"/>
              </w:rPr>
            </w:pPr>
            <w:r w:rsidRPr="0018192B">
              <w:rPr>
                <w:rtl/>
              </w:rPr>
              <w:t>22</w:t>
            </w:r>
            <w:r w:rsidRPr="0018192B">
              <w:t xml:space="preserve"> </w:t>
            </w:r>
            <w:r w:rsidRPr="0018192B">
              <w:rPr>
                <w:rtl/>
              </w:rPr>
              <w:t>607</w:t>
            </w:r>
          </w:p>
        </w:tc>
        <w:tc>
          <w:tcPr>
            <w:tcW w:w="948" w:type="dxa"/>
            <w:shd w:val="clear" w:color="auto" w:fill="auto"/>
          </w:tcPr>
          <w:p w14:paraId="0B55585B" w14:textId="77777777" w:rsidR="00D005FA" w:rsidRPr="0018192B" w:rsidRDefault="00D005FA" w:rsidP="00BE51F8">
            <w:pPr>
              <w:widowControl w:val="0"/>
              <w:suppressAutoHyphens w:val="0"/>
              <w:spacing w:before="40" w:after="120"/>
              <w:ind w:right="113"/>
              <w:jc w:val="right"/>
              <w:rPr>
                <w:rtl/>
                <w:lang w:val="fr-FR"/>
              </w:rPr>
            </w:pPr>
            <w:r w:rsidRPr="0018192B">
              <w:rPr>
                <w:rtl/>
              </w:rPr>
              <w:t>20</w:t>
            </w:r>
            <w:r w:rsidRPr="0018192B">
              <w:t xml:space="preserve"> </w:t>
            </w:r>
            <w:r w:rsidRPr="0018192B">
              <w:rPr>
                <w:rtl/>
              </w:rPr>
              <w:t>986</w:t>
            </w:r>
          </w:p>
        </w:tc>
        <w:tc>
          <w:tcPr>
            <w:tcW w:w="903" w:type="dxa"/>
            <w:shd w:val="clear" w:color="auto" w:fill="auto"/>
          </w:tcPr>
          <w:p w14:paraId="642B555A" w14:textId="77777777" w:rsidR="00D005FA" w:rsidRPr="0018192B" w:rsidRDefault="00D005FA" w:rsidP="00BE51F8">
            <w:pPr>
              <w:widowControl w:val="0"/>
              <w:suppressAutoHyphens w:val="0"/>
              <w:spacing w:before="40" w:after="120"/>
              <w:ind w:right="113"/>
              <w:jc w:val="right"/>
              <w:rPr>
                <w:rtl/>
                <w:lang w:val="fr-FR"/>
              </w:rPr>
            </w:pPr>
            <w:r w:rsidRPr="0018192B">
              <w:rPr>
                <w:rtl/>
              </w:rPr>
              <w:t>20</w:t>
            </w:r>
            <w:r w:rsidRPr="0018192B">
              <w:t xml:space="preserve"> </w:t>
            </w:r>
            <w:r w:rsidRPr="0018192B">
              <w:rPr>
                <w:rtl/>
              </w:rPr>
              <w:t>195</w:t>
            </w:r>
          </w:p>
        </w:tc>
        <w:tc>
          <w:tcPr>
            <w:tcW w:w="919" w:type="dxa"/>
            <w:shd w:val="clear" w:color="auto" w:fill="auto"/>
          </w:tcPr>
          <w:p w14:paraId="6D7643AC" w14:textId="77777777" w:rsidR="00D005FA" w:rsidRPr="0018192B" w:rsidRDefault="00D005FA" w:rsidP="00BE51F8">
            <w:pPr>
              <w:widowControl w:val="0"/>
              <w:suppressAutoHyphens w:val="0"/>
              <w:spacing w:before="40" w:after="120"/>
              <w:ind w:right="113"/>
              <w:jc w:val="right"/>
              <w:rPr>
                <w:rtl/>
                <w:lang w:val="fr-FR"/>
              </w:rPr>
            </w:pPr>
            <w:r w:rsidRPr="0018192B">
              <w:rPr>
                <w:rtl/>
              </w:rPr>
              <w:t>18</w:t>
            </w:r>
            <w:r w:rsidRPr="0018192B">
              <w:t xml:space="preserve"> </w:t>
            </w:r>
            <w:r w:rsidRPr="0018192B">
              <w:rPr>
                <w:rtl/>
              </w:rPr>
              <w:t>217</w:t>
            </w:r>
          </w:p>
        </w:tc>
      </w:tr>
      <w:tr w:rsidR="0018192B" w:rsidRPr="0018192B" w14:paraId="23B0CF1C" w14:textId="77777777" w:rsidTr="0018192B">
        <w:tc>
          <w:tcPr>
            <w:tcW w:w="2037" w:type="dxa"/>
            <w:vMerge/>
            <w:shd w:val="clear" w:color="auto" w:fill="auto"/>
          </w:tcPr>
          <w:p w14:paraId="736C4EBA" w14:textId="77777777" w:rsidR="00D005FA" w:rsidRPr="0018192B" w:rsidRDefault="00D005FA" w:rsidP="0018192B">
            <w:pPr>
              <w:widowControl w:val="0"/>
              <w:suppressAutoHyphens w:val="0"/>
              <w:spacing w:before="40" w:after="120"/>
              <w:ind w:right="113"/>
              <w:rPr>
                <w:b/>
                <w:bCs/>
                <w:rtl/>
                <w:lang w:val="fr-FR"/>
              </w:rPr>
            </w:pPr>
          </w:p>
        </w:tc>
        <w:tc>
          <w:tcPr>
            <w:tcW w:w="4145" w:type="dxa"/>
            <w:shd w:val="clear" w:color="auto" w:fill="auto"/>
          </w:tcPr>
          <w:p w14:paraId="1D151A34" w14:textId="71BF0F98" w:rsidR="00D005FA" w:rsidRPr="0018192B" w:rsidRDefault="00D005FA" w:rsidP="0018192B">
            <w:pPr>
              <w:widowControl w:val="0"/>
              <w:suppressAutoHyphens w:val="0"/>
              <w:spacing w:before="40" w:after="120"/>
              <w:ind w:right="113"/>
              <w:rPr>
                <w:lang w:val="fr-FR"/>
              </w:rPr>
            </w:pPr>
            <w:r w:rsidRPr="0018192B">
              <w:rPr>
                <w:lang w:val="fr-FR"/>
              </w:rPr>
              <w:t>Proportion des affaires réglées par rapport au nombre total des affaires en cours en matière contentieuse et pénale «</w:t>
            </w:r>
            <w:r w:rsidR="00993E0C">
              <w:rPr>
                <w:lang w:val="fr-FR"/>
              </w:rPr>
              <w:t> </w:t>
            </w:r>
            <w:r w:rsidRPr="0018192B">
              <w:rPr>
                <w:lang w:val="fr-FR"/>
              </w:rPr>
              <w:t>taux de réponse</w:t>
            </w:r>
            <w:r w:rsidR="00993E0C">
              <w:rPr>
                <w:lang w:val="fr-FR"/>
              </w:rPr>
              <w:t> </w:t>
            </w:r>
            <w:r w:rsidRPr="0018192B">
              <w:rPr>
                <w:lang w:val="fr-FR"/>
              </w:rPr>
              <w:t>»</w:t>
            </w:r>
          </w:p>
        </w:tc>
        <w:tc>
          <w:tcPr>
            <w:tcW w:w="903" w:type="dxa"/>
            <w:shd w:val="clear" w:color="auto" w:fill="auto"/>
          </w:tcPr>
          <w:p w14:paraId="4D9AEE45" w14:textId="77777777" w:rsidR="00D005FA" w:rsidRPr="0018192B" w:rsidRDefault="00D005FA" w:rsidP="00BE51F8">
            <w:pPr>
              <w:widowControl w:val="0"/>
              <w:suppressAutoHyphens w:val="0"/>
              <w:spacing w:before="40" w:after="120"/>
              <w:ind w:right="113"/>
              <w:jc w:val="right"/>
              <w:rPr>
                <w:lang w:val="fr-FR"/>
              </w:rPr>
            </w:pPr>
            <w:r w:rsidRPr="0018192B">
              <w:rPr>
                <w:lang w:val="fr-FR"/>
              </w:rPr>
              <w:t>32 %</w:t>
            </w:r>
          </w:p>
        </w:tc>
        <w:tc>
          <w:tcPr>
            <w:tcW w:w="948" w:type="dxa"/>
            <w:shd w:val="clear" w:color="auto" w:fill="auto"/>
          </w:tcPr>
          <w:p w14:paraId="4BB39B71" w14:textId="77777777" w:rsidR="00D005FA" w:rsidRPr="0018192B" w:rsidRDefault="00D005FA" w:rsidP="00BE51F8">
            <w:pPr>
              <w:widowControl w:val="0"/>
              <w:suppressAutoHyphens w:val="0"/>
              <w:spacing w:before="40" w:after="120"/>
              <w:ind w:right="113"/>
              <w:jc w:val="right"/>
              <w:rPr>
                <w:lang w:val="fr-FR"/>
              </w:rPr>
            </w:pPr>
            <w:r w:rsidRPr="0018192B">
              <w:rPr>
                <w:lang w:val="fr-FR"/>
              </w:rPr>
              <w:t>32 %</w:t>
            </w:r>
          </w:p>
        </w:tc>
        <w:tc>
          <w:tcPr>
            <w:tcW w:w="903" w:type="dxa"/>
            <w:shd w:val="clear" w:color="auto" w:fill="auto"/>
          </w:tcPr>
          <w:p w14:paraId="445F17BD" w14:textId="77777777" w:rsidR="00D005FA" w:rsidRPr="0018192B" w:rsidRDefault="00D005FA" w:rsidP="00BE51F8">
            <w:pPr>
              <w:widowControl w:val="0"/>
              <w:suppressAutoHyphens w:val="0"/>
              <w:spacing w:before="40" w:after="120"/>
              <w:ind w:right="113"/>
              <w:jc w:val="right"/>
              <w:rPr>
                <w:lang w:val="fr-FR"/>
              </w:rPr>
            </w:pPr>
            <w:r w:rsidRPr="0018192B">
              <w:rPr>
                <w:lang w:val="fr-FR"/>
              </w:rPr>
              <w:t>34 %</w:t>
            </w:r>
          </w:p>
        </w:tc>
        <w:tc>
          <w:tcPr>
            <w:tcW w:w="919" w:type="dxa"/>
            <w:shd w:val="clear" w:color="auto" w:fill="auto"/>
          </w:tcPr>
          <w:p w14:paraId="0F1E97C3" w14:textId="77777777" w:rsidR="00D005FA" w:rsidRPr="0018192B" w:rsidRDefault="00D005FA" w:rsidP="00BE51F8">
            <w:pPr>
              <w:widowControl w:val="0"/>
              <w:suppressAutoHyphens w:val="0"/>
              <w:spacing w:before="40" w:after="120"/>
              <w:ind w:right="113"/>
              <w:jc w:val="right"/>
              <w:rPr>
                <w:lang w:val="fr-FR"/>
              </w:rPr>
            </w:pPr>
            <w:r w:rsidRPr="0018192B">
              <w:rPr>
                <w:lang w:val="fr-FR"/>
              </w:rPr>
              <w:t>31 %</w:t>
            </w:r>
          </w:p>
        </w:tc>
      </w:tr>
      <w:tr w:rsidR="0018192B" w:rsidRPr="0018192B" w14:paraId="74D0C60D" w14:textId="77777777" w:rsidTr="007258D4">
        <w:tc>
          <w:tcPr>
            <w:tcW w:w="2037" w:type="dxa"/>
            <w:vMerge w:val="restart"/>
            <w:shd w:val="clear" w:color="auto" w:fill="auto"/>
            <w:vAlign w:val="center"/>
          </w:tcPr>
          <w:p w14:paraId="510632A6" w14:textId="77777777" w:rsidR="00D005FA" w:rsidRPr="0018192B" w:rsidRDefault="00D005FA" w:rsidP="00993E0C">
            <w:pPr>
              <w:keepNext/>
              <w:widowControl w:val="0"/>
              <w:suppressAutoHyphens w:val="0"/>
              <w:spacing w:before="40" w:after="120"/>
              <w:ind w:right="113"/>
              <w:rPr>
                <w:b/>
                <w:bCs/>
                <w:lang w:val="fr-FR"/>
              </w:rPr>
            </w:pPr>
            <w:r w:rsidRPr="0018192B">
              <w:rPr>
                <w:b/>
                <w:bCs/>
                <w:lang w:val="fr-FR"/>
              </w:rPr>
              <w:lastRenderedPageBreak/>
              <w:t>Tribunaux de première instance agissant en qualité de juridictions du deuxième degré</w:t>
            </w:r>
          </w:p>
        </w:tc>
        <w:tc>
          <w:tcPr>
            <w:tcW w:w="4145" w:type="dxa"/>
            <w:shd w:val="clear" w:color="auto" w:fill="auto"/>
          </w:tcPr>
          <w:p w14:paraId="75D1DD19" w14:textId="168CE4E4" w:rsidR="00D005FA" w:rsidRPr="0018192B" w:rsidRDefault="00D005FA" w:rsidP="00993E0C">
            <w:pPr>
              <w:keepNext/>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 en cours, en matière contentieuse et pénale</w:t>
            </w:r>
          </w:p>
        </w:tc>
        <w:tc>
          <w:tcPr>
            <w:tcW w:w="903" w:type="dxa"/>
            <w:shd w:val="clear" w:color="auto" w:fill="auto"/>
          </w:tcPr>
          <w:p w14:paraId="0F1BFD46" w14:textId="77777777" w:rsidR="00D005FA" w:rsidRPr="0018192B" w:rsidRDefault="00D005FA" w:rsidP="00993E0C">
            <w:pPr>
              <w:keepNext/>
              <w:widowControl w:val="0"/>
              <w:suppressAutoHyphens w:val="0"/>
              <w:spacing w:before="40" w:after="120"/>
              <w:ind w:right="113"/>
              <w:jc w:val="right"/>
              <w:rPr>
                <w:rtl/>
                <w:lang w:val="fr-FR"/>
              </w:rPr>
            </w:pPr>
            <w:r w:rsidRPr="0018192B">
              <w:rPr>
                <w:rtl/>
              </w:rPr>
              <w:t>8</w:t>
            </w:r>
            <w:r w:rsidRPr="0018192B">
              <w:t xml:space="preserve"> </w:t>
            </w:r>
            <w:r w:rsidRPr="0018192B">
              <w:rPr>
                <w:rtl/>
              </w:rPr>
              <w:t>762</w:t>
            </w:r>
          </w:p>
        </w:tc>
        <w:tc>
          <w:tcPr>
            <w:tcW w:w="948" w:type="dxa"/>
            <w:shd w:val="clear" w:color="auto" w:fill="auto"/>
          </w:tcPr>
          <w:p w14:paraId="3FD01D34" w14:textId="77777777" w:rsidR="00D005FA" w:rsidRPr="0018192B" w:rsidRDefault="00D005FA" w:rsidP="00993E0C">
            <w:pPr>
              <w:keepNext/>
              <w:widowControl w:val="0"/>
              <w:suppressAutoHyphens w:val="0"/>
              <w:spacing w:before="40" w:after="120"/>
              <w:ind w:right="113"/>
              <w:jc w:val="right"/>
              <w:rPr>
                <w:rtl/>
                <w:lang w:val="fr-FR"/>
              </w:rPr>
            </w:pPr>
            <w:r w:rsidRPr="0018192B">
              <w:rPr>
                <w:rtl/>
              </w:rPr>
              <w:t>9</w:t>
            </w:r>
            <w:r w:rsidRPr="0018192B">
              <w:t xml:space="preserve"> </w:t>
            </w:r>
            <w:r w:rsidRPr="0018192B">
              <w:rPr>
                <w:rtl/>
              </w:rPr>
              <w:t>173</w:t>
            </w:r>
          </w:p>
        </w:tc>
        <w:tc>
          <w:tcPr>
            <w:tcW w:w="903" w:type="dxa"/>
            <w:shd w:val="clear" w:color="auto" w:fill="auto"/>
          </w:tcPr>
          <w:p w14:paraId="2DFD2544" w14:textId="77777777" w:rsidR="00D005FA" w:rsidRPr="0018192B" w:rsidRDefault="00D005FA" w:rsidP="00993E0C">
            <w:pPr>
              <w:keepNext/>
              <w:widowControl w:val="0"/>
              <w:suppressAutoHyphens w:val="0"/>
              <w:spacing w:before="40" w:after="120"/>
              <w:ind w:right="113"/>
              <w:jc w:val="right"/>
              <w:rPr>
                <w:rtl/>
                <w:lang w:val="fr-FR"/>
              </w:rPr>
            </w:pPr>
            <w:r w:rsidRPr="0018192B">
              <w:rPr>
                <w:rtl/>
              </w:rPr>
              <w:t>9</w:t>
            </w:r>
            <w:r w:rsidRPr="0018192B">
              <w:t xml:space="preserve"> </w:t>
            </w:r>
            <w:r w:rsidRPr="0018192B">
              <w:rPr>
                <w:rtl/>
              </w:rPr>
              <w:t>320</w:t>
            </w:r>
          </w:p>
        </w:tc>
        <w:tc>
          <w:tcPr>
            <w:tcW w:w="919" w:type="dxa"/>
            <w:shd w:val="clear" w:color="auto" w:fill="auto"/>
          </w:tcPr>
          <w:p w14:paraId="638B5F38" w14:textId="77777777" w:rsidR="00D005FA" w:rsidRPr="0018192B" w:rsidRDefault="00D005FA" w:rsidP="00993E0C">
            <w:pPr>
              <w:keepNext/>
              <w:widowControl w:val="0"/>
              <w:suppressAutoHyphens w:val="0"/>
              <w:spacing w:before="40" w:after="120"/>
              <w:ind w:right="113"/>
              <w:jc w:val="right"/>
              <w:rPr>
                <w:rtl/>
                <w:lang w:val="fr-FR"/>
              </w:rPr>
            </w:pPr>
            <w:r w:rsidRPr="0018192B">
              <w:rPr>
                <w:rtl/>
              </w:rPr>
              <w:t>5</w:t>
            </w:r>
            <w:r w:rsidRPr="0018192B">
              <w:t xml:space="preserve"> </w:t>
            </w:r>
            <w:r w:rsidRPr="0018192B">
              <w:rPr>
                <w:rtl/>
              </w:rPr>
              <w:t>984</w:t>
            </w:r>
          </w:p>
        </w:tc>
      </w:tr>
      <w:tr w:rsidR="0018192B" w:rsidRPr="0018192B" w14:paraId="3ED51C0F" w14:textId="77777777" w:rsidTr="0018192B">
        <w:tc>
          <w:tcPr>
            <w:tcW w:w="2037" w:type="dxa"/>
            <w:vMerge/>
            <w:shd w:val="clear" w:color="auto" w:fill="auto"/>
          </w:tcPr>
          <w:p w14:paraId="084AD158" w14:textId="77777777" w:rsidR="00D005FA" w:rsidRPr="0018192B" w:rsidRDefault="00D005FA" w:rsidP="0018192B">
            <w:pPr>
              <w:widowControl w:val="0"/>
              <w:suppressAutoHyphens w:val="0"/>
              <w:spacing w:before="40" w:after="120"/>
              <w:ind w:right="113"/>
              <w:rPr>
                <w:b/>
                <w:bCs/>
                <w:rtl/>
                <w:lang w:val="fr-FR"/>
              </w:rPr>
            </w:pPr>
          </w:p>
        </w:tc>
        <w:tc>
          <w:tcPr>
            <w:tcW w:w="4145" w:type="dxa"/>
            <w:shd w:val="clear" w:color="auto" w:fill="auto"/>
          </w:tcPr>
          <w:p w14:paraId="394DD0BF" w14:textId="787DFDC3" w:rsidR="00D005FA" w:rsidRPr="0018192B" w:rsidRDefault="00D005FA" w:rsidP="0018192B">
            <w:pPr>
              <w:widowControl w:val="0"/>
              <w:suppressAutoHyphens w:val="0"/>
              <w:spacing w:before="40" w:after="120"/>
              <w:ind w:right="113"/>
              <w:rPr>
                <w:lang w:val="fr-FR"/>
              </w:rPr>
            </w:pPr>
            <w:r w:rsidRPr="0018192B">
              <w:rPr>
                <w:lang w:val="fr-FR"/>
              </w:rPr>
              <w:t>Proportion des affaires réglées par rapport au nombre total des affaires en cours en matière contentieuse et pénale «</w:t>
            </w:r>
            <w:r w:rsidR="00993E0C">
              <w:rPr>
                <w:lang w:val="fr-FR"/>
              </w:rPr>
              <w:t> </w:t>
            </w:r>
            <w:r w:rsidRPr="0018192B">
              <w:rPr>
                <w:lang w:val="fr-FR"/>
              </w:rPr>
              <w:t>taux de réponse</w:t>
            </w:r>
            <w:r w:rsidR="00993E0C">
              <w:rPr>
                <w:lang w:val="fr-FR"/>
              </w:rPr>
              <w:t> </w:t>
            </w:r>
            <w:r w:rsidRPr="0018192B">
              <w:rPr>
                <w:lang w:val="fr-FR"/>
              </w:rPr>
              <w:t>»</w:t>
            </w:r>
          </w:p>
        </w:tc>
        <w:tc>
          <w:tcPr>
            <w:tcW w:w="903" w:type="dxa"/>
            <w:shd w:val="clear" w:color="auto" w:fill="auto"/>
          </w:tcPr>
          <w:p w14:paraId="794DF691" w14:textId="77777777" w:rsidR="00D005FA" w:rsidRPr="0018192B" w:rsidRDefault="00D005FA" w:rsidP="00BE51F8">
            <w:pPr>
              <w:widowControl w:val="0"/>
              <w:suppressAutoHyphens w:val="0"/>
              <w:spacing w:before="40" w:after="120"/>
              <w:ind w:right="113"/>
              <w:jc w:val="right"/>
              <w:rPr>
                <w:lang w:val="fr-FR"/>
              </w:rPr>
            </w:pPr>
            <w:r w:rsidRPr="0018192B">
              <w:rPr>
                <w:lang w:val="fr-FR"/>
              </w:rPr>
              <w:t>67 %</w:t>
            </w:r>
          </w:p>
        </w:tc>
        <w:tc>
          <w:tcPr>
            <w:tcW w:w="948" w:type="dxa"/>
            <w:shd w:val="clear" w:color="auto" w:fill="auto"/>
          </w:tcPr>
          <w:p w14:paraId="3EF907F2" w14:textId="77777777" w:rsidR="00D005FA" w:rsidRPr="0018192B" w:rsidRDefault="00D005FA" w:rsidP="00BE51F8">
            <w:pPr>
              <w:widowControl w:val="0"/>
              <w:suppressAutoHyphens w:val="0"/>
              <w:spacing w:before="40" w:after="120"/>
              <w:ind w:right="113"/>
              <w:jc w:val="right"/>
              <w:rPr>
                <w:lang w:val="fr-FR"/>
              </w:rPr>
            </w:pPr>
            <w:r w:rsidRPr="0018192B">
              <w:rPr>
                <w:lang w:val="fr-FR"/>
              </w:rPr>
              <w:t>67 %</w:t>
            </w:r>
          </w:p>
        </w:tc>
        <w:tc>
          <w:tcPr>
            <w:tcW w:w="903" w:type="dxa"/>
            <w:shd w:val="clear" w:color="auto" w:fill="auto"/>
          </w:tcPr>
          <w:p w14:paraId="72B29EB6" w14:textId="77777777" w:rsidR="00D005FA" w:rsidRPr="0018192B" w:rsidRDefault="00D005FA" w:rsidP="00BE51F8">
            <w:pPr>
              <w:widowControl w:val="0"/>
              <w:suppressAutoHyphens w:val="0"/>
              <w:spacing w:before="40" w:after="120"/>
              <w:ind w:right="113"/>
              <w:jc w:val="right"/>
              <w:rPr>
                <w:lang w:val="fr-FR"/>
              </w:rPr>
            </w:pPr>
            <w:r w:rsidRPr="0018192B">
              <w:rPr>
                <w:lang w:val="fr-FR"/>
              </w:rPr>
              <w:t>65 %</w:t>
            </w:r>
          </w:p>
        </w:tc>
        <w:tc>
          <w:tcPr>
            <w:tcW w:w="919" w:type="dxa"/>
            <w:shd w:val="clear" w:color="auto" w:fill="auto"/>
          </w:tcPr>
          <w:p w14:paraId="497F971D" w14:textId="77777777" w:rsidR="00D005FA" w:rsidRPr="0018192B" w:rsidRDefault="00D005FA" w:rsidP="00BE51F8">
            <w:pPr>
              <w:widowControl w:val="0"/>
              <w:suppressAutoHyphens w:val="0"/>
              <w:spacing w:before="40" w:after="120"/>
              <w:ind w:right="113"/>
              <w:jc w:val="right"/>
              <w:rPr>
                <w:lang w:val="fr-FR"/>
              </w:rPr>
            </w:pPr>
            <w:r w:rsidRPr="0018192B">
              <w:rPr>
                <w:lang w:val="fr-FR"/>
              </w:rPr>
              <w:t>52 %</w:t>
            </w:r>
          </w:p>
        </w:tc>
      </w:tr>
      <w:tr w:rsidR="0018192B" w:rsidRPr="0018192B" w14:paraId="488B4B35" w14:textId="77777777" w:rsidTr="007258D4">
        <w:tc>
          <w:tcPr>
            <w:tcW w:w="2037" w:type="dxa"/>
            <w:vMerge w:val="restart"/>
            <w:shd w:val="clear" w:color="auto" w:fill="auto"/>
            <w:vAlign w:val="center"/>
          </w:tcPr>
          <w:p w14:paraId="10A25434" w14:textId="47AC8D7D" w:rsidR="00D005FA" w:rsidRPr="0018192B" w:rsidRDefault="00D005FA" w:rsidP="007258D4">
            <w:pPr>
              <w:widowControl w:val="0"/>
              <w:suppressAutoHyphens w:val="0"/>
              <w:spacing w:before="40" w:after="120"/>
              <w:ind w:right="113"/>
              <w:rPr>
                <w:b/>
                <w:bCs/>
                <w:lang w:val="fr-FR"/>
              </w:rPr>
            </w:pPr>
            <w:r w:rsidRPr="0018192B">
              <w:rPr>
                <w:b/>
                <w:bCs/>
                <w:lang w:val="fr-FR"/>
              </w:rPr>
              <w:t>Cour d</w:t>
            </w:r>
            <w:r w:rsidR="0035332C">
              <w:rPr>
                <w:b/>
                <w:bCs/>
                <w:lang w:val="fr-FR"/>
              </w:rPr>
              <w:t>’</w:t>
            </w:r>
            <w:r w:rsidRPr="0018192B">
              <w:rPr>
                <w:b/>
                <w:bCs/>
                <w:lang w:val="fr-FR"/>
              </w:rPr>
              <w:t>appel de Ramallah</w:t>
            </w:r>
          </w:p>
        </w:tc>
        <w:tc>
          <w:tcPr>
            <w:tcW w:w="4145" w:type="dxa"/>
            <w:shd w:val="clear" w:color="auto" w:fill="auto"/>
          </w:tcPr>
          <w:p w14:paraId="3E84FFD2" w14:textId="012A96FB" w:rsidR="00D005FA" w:rsidRPr="0018192B" w:rsidRDefault="00D005FA" w:rsidP="0018192B">
            <w:pPr>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appels interjetés enregistrés, dont ceux en cours, relatifs à des actions contentieuses, pénales et en exécution</w:t>
            </w:r>
          </w:p>
        </w:tc>
        <w:tc>
          <w:tcPr>
            <w:tcW w:w="903" w:type="dxa"/>
            <w:shd w:val="clear" w:color="auto" w:fill="auto"/>
          </w:tcPr>
          <w:p w14:paraId="0F56E638" w14:textId="77777777" w:rsidR="00D005FA" w:rsidRPr="0018192B" w:rsidRDefault="00D005FA" w:rsidP="00BE51F8">
            <w:pPr>
              <w:widowControl w:val="0"/>
              <w:suppressAutoHyphens w:val="0"/>
              <w:spacing w:before="40" w:after="120"/>
              <w:ind w:right="113"/>
              <w:jc w:val="right"/>
              <w:rPr>
                <w:rtl/>
                <w:lang w:val="fr-FR"/>
              </w:rPr>
            </w:pPr>
            <w:r w:rsidRPr="0018192B">
              <w:rPr>
                <w:rtl/>
              </w:rPr>
              <w:t>7</w:t>
            </w:r>
            <w:r w:rsidRPr="0018192B">
              <w:t xml:space="preserve"> </w:t>
            </w:r>
            <w:r w:rsidRPr="0018192B">
              <w:rPr>
                <w:rtl/>
              </w:rPr>
              <w:t>180</w:t>
            </w:r>
          </w:p>
        </w:tc>
        <w:tc>
          <w:tcPr>
            <w:tcW w:w="948" w:type="dxa"/>
            <w:shd w:val="clear" w:color="auto" w:fill="auto"/>
          </w:tcPr>
          <w:p w14:paraId="13CABE66" w14:textId="77777777" w:rsidR="00D005FA" w:rsidRPr="0018192B" w:rsidRDefault="00D005FA" w:rsidP="00BE51F8">
            <w:pPr>
              <w:widowControl w:val="0"/>
              <w:suppressAutoHyphens w:val="0"/>
              <w:spacing w:before="40" w:after="120"/>
              <w:ind w:right="113"/>
              <w:jc w:val="right"/>
              <w:rPr>
                <w:rtl/>
                <w:lang w:val="fr-FR"/>
              </w:rPr>
            </w:pPr>
            <w:r w:rsidRPr="0018192B">
              <w:rPr>
                <w:rtl/>
              </w:rPr>
              <w:t>6</w:t>
            </w:r>
            <w:r w:rsidRPr="0018192B">
              <w:t xml:space="preserve"> </w:t>
            </w:r>
            <w:r w:rsidRPr="0018192B">
              <w:rPr>
                <w:rtl/>
              </w:rPr>
              <w:t>455</w:t>
            </w:r>
          </w:p>
        </w:tc>
        <w:tc>
          <w:tcPr>
            <w:tcW w:w="903" w:type="dxa"/>
            <w:shd w:val="clear" w:color="auto" w:fill="auto"/>
          </w:tcPr>
          <w:p w14:paraId="63F7108A" w14:textId="77777777" w:rsidR="00D005FA" w:rsidRPr="0018192B" w:rsidRDefault="00D005FA" w:rsidP="00BE51F8">
            <w:pPr>
              <w:widowControl w:val="0"/>
              <w:suppressAutoHyphens w:val="0"/>
              <w:spacing w:before="40" w:after="120"/>
              <w:ind w:right="113"/>
              <w:jc w:val="right"/>
              <w:rPr>
                <w:rtl/>
                <w:lang w:val="fr-FR"/>
              </w:rPr>
            </w:pPr>
            <w:r w:rsidRPr="0018192B">
              <w:rPr>
                <w:rtl/>
              </w:rPr>
              <w:t>7</w:t>
            </w:r>
            <w:r w:rsidRPr="0018192B">
              <w:t xml:space="preserve"> </w:t>
            </w:r>
            <w:r w:rsidRPr="0018192B">
              <w:rPr>
                <w:rtl/>
              </w:rPr>
              <w:t>759</w:t>
            </w:r>
          </w:p>
        </w:tc>
        <w:tc>
          <w:tcPr>
            <w:tcW w:w="919" w:type="dxa"/>
            <w:shd w:val="clear" w:color="auto" w:fill="auto"/>
          </w:tcPr>
          <w:p w14:paraId="184274E6" w14:textId="77777777" w:rsidR="00D005FA" w:rsidRPr="0018192B" w:rsidRDefault="00D005FA" w:rsidP="00BE51F8">
            <w:pPr>
              <w:widowControl w:val="0"/>
              <w:suppressAutoHyphens w:val="0"/>
              <w:spacing w:before="40" w:after="120"/>
              <w:ind w:right="113"/>
              <w:jc w:val="right"/>
              <w:rPr>
                <w:rtl/>
                <w:lang w:val="fr-FR"/>
              </w:rPr>
            </w:pPr>
            <w:r w:rsidRPr="0018192B">
              <w:rPr>
                <w:rtl/>
              </w:rPr>
              <w:t>6</w:t>
            </w:r>
            <w:r w:rsidRPr="0018192B">
              <w:t xml:space="preserve"> </w:t>
            </w:r>
            <w:r w:rsidRPr="0018192B">
              <w:rPr>
                <w:rtl/>
              </w:rPr>
              <w:t>818</w:t>
            </w:r>
          </w:p>
        </w:tc>
      </w:tr>
      <w:tr w:rsidR="0018192B" w:rsidRPr="0018192B" w14:paraId="22A1ADFC" w14:textId="77777777" w:rsidTr="0018192B">
        <w:tc>
          <w:tcPr>
            <w:tcW w:w="2037" w:type="dxa"/>
            <w:vMerge/>
            <w:shd w:val="clear" w:color="auto" w:fill="auto"/>
          </w:tcPr>
          <w:p w14:paraId="22D11E2D" w14:textId="77777777" w:rsidR="00D005FA" w:rsidRPr="0018192B" w:rsidRDefault="00D005FA" w:rsidP="0018192B">
            <w:pPr>
              <w:widowControl w:val="0"/>
              <w:suppressAutoHyphens w:val="0"/>
              <w:spacing w:before="40" w:after="120"/>
              <w:ind w:right="113"/>
              <w:rPr>
                <w:b/>
                <w:bCs/>
                <w:rtl/>
                <w:lang w:val="fr-FR"/>
              </w:rPr>
            </w:pPr>
          </w:p>
        </w:tc>
        <w:tc>
          <w:tcPr>
            <w:tcW w:w="4145" w:type="dxa"/>
            <w:shd w:val="clear" w:color="auto" w:fill="auto"/>
          </w:tcPr>
          <w:p w14:paraId="4B7F69BB" w14:textId="394CFD23" w:rsidR="00D005FA" w:rsidRPr="0018192B" w:rsidRDefault="00D005FA" w:rsidP="0018192B">
            <w:pPr>
              <w:widowControl w:val="0"/>
              <w:suppressAutoHyphens w:val="0"/>
              <w:spacing w:before="40" w:after="120"/>
              <w:ind w:right="113"/>
              <w:rPr>
                <w:lang w:val="fr-FR"/>
              </w:rPr>
            </w:pPr>
            <w:r w:rsidRPr="0018192B">
              <w:rPr>
                <w:lang w:val="fr-FR"/>
              </w:rPr>
              <w:t>Proportion des appels interjetés réglés par rapport au nombre total d</w:t>
            </w:r>
            <w:r w:rsidR="0035332C">
              <w:rPr>
                <w:lang w:val="fr-FR"/>
              </w:rPr>
              <w:t>’</w:t>
            </w:r>
            <w:r w:rsidRPr="0018192B">
              <w:rPr>
                <w:lang w:val="fr-FR"/>
              </w:rPr>
              <w:t>appels interjetés enregistrés, dont ceux en cours, relatifs à des actions contentieuses, pénales et en exécution</w:t>
            </w:r>
          </w:p>
        </w:tc>
        <w:tc>
          <w:tcPr>
            <w:tcW w:w="903" w:type="dxa"/>
            <w:shd w:val="clear" w:color="auto" w:fill="auto"/>
          </w:tcPr>
          <w:p w14:paraId="72080C6A" w14:textId="77777777" w:rsidR="00D005FA" w:rsidRPr="0018192B" w:rsidRDefault="00D005FA" w:rsidP="00BE51F8">
            <w:pPr>
              <w:widowControl w:val="0"/>
              <w:suppressAutoHyphens w:val="0"/>
              <w:spacing w:before="40" w:after="120"/>
              <w:ind w:right="113"/>
              <w:jc w:val="right"/>
              <w:rPr>
                <w:lang w:val="fr-FR"/>
              </w:rPr>
            </w:pPr>
            <w:r w:rsidRPr="0018192B">
              <w:rPr>
                <w:lang w:val="fr-FR"/>
              </w:rPr>
              <w:t>76 %</w:t>
            </w:r>
          </w:p>
        </w:tc>
        <w:tc>
          <w:tcPr>
            <w:tcW w:w="948" w:type="dxa"/>
            <w:shd w:val="clear" w:color="auto" w:fill="auto"/>
          </w:tcPr>
          <w:p w14:paraId="39D12469" w14:textId="77777777" w:rsidR="00D005FA" w:rsidRPr="0018192B" w:rsidRDefault="00D005FA" w:rsidP="00BE51F8">
            <w:pPr>
              <w:widowControl w:val="0"/>
              <w:suppressAutoHyphens w:val="0"/>
              <w:spacing w:before="40" w:after="120"/>
              <w:ind w:right="113"/>
              <w:jc w:val="right"/>
              <w:rPr>
                <w:lang w:val="fr-FR"/>
              </w:rPr>
            </w:pPr>
            <w:r w:rsidRPr="0018192B">
              <w:rPr>
                <w:lang w:val="fr-FR"/>
              </w:rPr>
              <w:t>72 %</w:t>
            </w:r>
          </w:p>
        </w:tc>
        <w:tc>
          <w:tcPr>
            <w:tcW w:w="903" w:type="dxa"/>
            <w:shd w:val="clear" w:color="auto" w:fill="auto"/>
          </w:tcPr>
          <w:p w14:paraId="276EAB2F" w14:textId="77777777" w:rsidR="00D005FA" w:rsidRPr="0018192B" w:rsidRDefault="00D005FA" w:rsidP="00BE51F8">
            <w:pPr>
              <w:widowControl w:val="0"/>
              <w:suppressAutoHyphens w:val="0"/>
              <w:spacing w:before="40" w:after="120"/>
              <w:ind w:right="113"/>
              <w:jc w:val="right"/>
              <w:rPr>
                <w:lang w:val="fr-FR"/>
              </w:rPr>
            </w:pPr>
            <w:r w:rsidRPr="0018192B">
              <w:rPr>
                <w:lang w:val="fr-FR"/>
              </w:rPr>
              <w:t>75 %</w:t>
            </w:r>
          </w:p>
        </w:tc>
        <w:tc>
          <w:tcPr>
            <w:tcW w:w="919" w:type="dxa"/>
            <w:shd w:val="clear" w:color="auto" w:fill="auto"/>
          </w:tcPr>
          <w:p w14:paraId="5BA9F826" w14:textId="77777777" w:rsidR="00D005FA" w:rsidRPr="0018192B" w:rsidRDefault="00D005FA" w:rsidP="00BE51F8">
            <w:pPr>
              <w:widowControl w:val="0"/>
              <w:suppressAutoHyphens w:val="0"/>
              <w:spacing w:before="40" w:after="120"/>
              <w:ind w:right="113"/>
              <w:jc w:val="right"/>
              <w:rPr>
                <w:lang w:val="fr-FR"/>
              </w:rPr>
            </w:pPr>
            <w:r w:rsidRPr="0018192B">
              <w:rPr>
                <w:lang w:val="fr-FR"/>
              </w:rPr>
              <w:t>78 %</w:t>
            </w:r>
          </w:p>
        </w:tc>
      </w:tr>
      <w:tr w:rsidR="0018192B" w:rsidRPr="0018192B" w14:paraId="48A5BC54" w14:textId="77777777" w:rsidTr="007258D4">
        <w:tc>
          <w:tcPr>
            <w:tcW w:w="2037" w:type="dxa"/>
            <w:vMerge w:val="restart"/>
            <w:shd w:val="clear" w:color="auto" w:fill="auto"/>
            <w:vAlign w:val="center"/>
          </w:tcPr>
          <w:p w14:paraId="2F9C70C5" w14:textId="378915DF" w:rsidR="00D005FA" w:rsidRPr="0018192B" w:rsidRDefault="00D005FA" w:rsidP="007258D4">
            <w:pPr>
              <w:widowControl w:val="0"/>
              <w:suppressAutoHyphens w:val="0"/>
              <w:spacing w:before="40" w:after="120"/>
              <w:ind w:right="113"/>
              <w:rPr>
                <w:b/>
                <w:bCs/>
                <w:lang w:val="fr-FR"/>
              </w:rPr>
            </w:pPr>
            <w:r w:rsidRPr="0018192B">
              <w:rPr>
                <w:b/>
                <w:bCs/>
                <w:lang w:val="fr-FR"/>
              </w:rPr>
              <w:t>Cour d</w:t>
            </w:r>
            <w:r w:rsidR="0035332C">
              <w:rPr>
                <w:b/>
                <w:bCs/>
                <w:lang w:val="fr-FR"/>
              </w:rPr>
              <w:t>’</w:t>
            </w:r>
            <w:r w:rsidRPr="0018192B">
              <w:rPr>
                <w:b/>
                <w:bCs/>
                <w:lang w:val="fr-FR"/>
              </w:rPr>
              <w:t>appel de Jérusalem</w:t>
            </w:r>
          </w:p>
        </w:tc>
        <w:tc>
          <w:tcPr>
            <w:tcW w:w="4145" w:type="dxa"/>
            <w:shd w:val="clear" w:color="auto" w:fill="auto"/>
          </w:tcPr>
          <w:p w14:paraId="1F9EEF57" w14:textId="514B23FB" w:rsidR="00D005FA" w:rsidRPr="0018192B" w:rsidRDefault="00D005FA" w:rsidP="0018192B">
            <w:pPr>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appels interjetés enregistrés, dont ceux en cours, relatifs à des actions contentieuses, pénales et en exécution</w:t>
            </w:r>
          </w:p>
        </w:tc>
        <w:tc>
          <w:tcPr>
            <w:tcW w:w="903" w:type="dxa"/>
            <w:shd w:val="clear" w:color="auto" w:fill="auto"/>
          </w:tcPr>
          <w:p w14:paraId="2F5091CE" w14:textId="77777777" w:rsidR="00D005FA" w:rsidRPr="0018192B" w:rsidRDefault="00D005FA" w:rsidP="00BE51F8">
            <w:pPr>
              <w:widowControl w:val="0"/>
              <w:suppressAutoHyphens w:val="0"/>
              <w:spacing w:before="40" w:after="120"/>
              <w:ind w:right="113"/>
              <w:jc w:val="right"/>
              <w:rPr>
                <w:rtl/>
                <w:lang w:val="fr-FR"/>
              </w:rPr>
            </w:pPr>
            <w:r w:rsidRPr="0018192B">
              <w:rPr>
                <w:rtl/>
              </w:rPr>
              <w:t>4</w:t>
            </w:r>
            <w:r w:rsidRPr="0018192B">
              <w:t xml:space="preserve"> </w:t>
            </w:r>
            <w:r w:rsidRPr="0018192B">
              <w:rPr>
                <w:rtl/>
              </w:rPr>
              <w:t>263</w:t>
            </w:r>
          </w:p>
        </w:tc>
        <w:tc>
          <w:tcPr>
            <w:tcW w:w="948" w:type="dxa"/>
            <w:shd w:val="clear" w:color="auto" w:fill="auto"/>
          </w:tcPr>
          <w:p w14:paraId="40F66454" w14:textId="77777777" w:rsidR="00D005FA" w:rsidRPr="0018192B" w:rsidRDefault="00D005FA" w:rsidP="00BE51F8">
            <w:pPr>
              <w:widowControl w:val="0"/>
              <w:suppressAutoHyphens w:val="0"/>
              <w:spacing w:before="40" w:after="120"/>
              <w:ind w:right="113"/>
              <w:jc w:val="right"/>
              <w:rPr>
                <w:rtl/>
                <w:lang w:val="fr-FR"/>
              </w:rPr>
            </w:pPr>
            <w:r w:rsidRPr="0018192B">
              <w:rPr>
                <w:rtl/>
              </w:rPr>
              <w:t>3</w:t>
            </w:r>
            <w:r w:rsidRPr="0018192B">
              <w:t xml:space="preserve"> </w:t>
            </w:r>
            <w:r w:rsidRPr="0018192B">
              <w:rPr>
                <w:rtl/>
              </w:rPr>
              <w:t>687</w:t>
            </w:r>
          </w:p>
        </w:tc>
        <w:tc>
          <w:tcPr>
            <w:tcW w:w="903" w:type="dxa"/>
            <w:shd w:val="clear" w:color="auto" w:fill="auto"/>
          </w:tcPr>
          <w:p w14:paraId="4773B1D9" w14:textId="77777777" w:rsidR="00D005FA" w:rsidRPr="0018192B" w:rsidRDefault="00D005FA" w:rsidP="00BE51F8">
            <w:pPr>
              <w:widowControl w:val="0"/>
              <w:suppressAutoHyphens w:val="0"/>
              <w:spacing w:before="40" w:after="120"/>
              <w:ind w:right="113"/>
              <w:jc w:val="right"/>
              <w:rPr>
                <w:rtl/>
                <w:lang w:val="fr-FR"/>
              </w:rPr>
            </w:pPr>
            <w:r w:rsidRPr="0018192B">
              <w:rPr>
                <w:rtl/>
              </w:rPr>
              <w:t>2</w:t>
            </w:r>
            <w:r w:rsidRPr="0018192B">
              <w:t xml:space="preserve"> </w:t>
            </w:r>
            <w:r w:rsidRPr="0018192B">
              <w:rPr>
                <w:rtl/>
              </w:rPr>
              <w:t>915</w:t>
            </w:r>
          </w:p>
        </w:tc>
        <w:tc>
          <w:tcPr>
            <w:tcW w:w="919" w:type="dxa"/>
            <w:shd w:val="clear" w:color="auto" w:fill="auto"/>
          </w:tcPr>
          <w:p w14:paraId="3C7AA8AD" w14:textId="77777777" w:rsidR="00D005FA" w:rsidRPr="0018192B" w:rsidRDefault="00D005FA" w:rsidP="00BE51F8">
            <w:pPr>
              <w:widowControl w:val="0"/>
              <w:suppressAutoHyphens w:val="0"/>
              <w:spacing w:before="40" w:after="120"/>
              <w:ind w:right="113"/>
              <w:jc w:val="right"/>
              <w:rPr>
                <w:rtl/>
                <w:lang w:val="fr-FR"/>
              </w:rPr>
            </w:pPr>
            <w:r w:rsidRPr="0018192B">
              <w:rPr>
                <w:rtl/>
              </w:rPr>
              <w:t>2</w:t>
            </w:r>
            <w:r w:rsidRPr="0018192B">
              <w:t xml:space="preserve"> </w:t>
            </w:r>
            <w:r w:rsidRPr="0018192B">
              <w:rPr>
                <w:rtl/>
              </w:rPr>
              <w:t>273</w:t>
            </w:r>
          </w:p>
        </w:tc>
      </w:tr>
      <w:tr w:rsidR="0018192B" w:rsidRPr="0018192B" w14:paraId="2C54D38E" w14:textId="77777777" w:rsidTr="0018192B">
        <w:tc>
          <w:tcPr>
            <w:tcW w:w="2037" w:type="dxa"/>
            <w:vMerge/>
            <w:shd w:val="clear" w:color="auto" w:fill="auto"/>
          </w:tcPr>
          <w:p w14:paraId="1936C74C" w14:textId="77777777" w:rsidR="00D005FA" w:rsidRPr="0018192B" w:rsidRDefault="00D005FA" w:rsidP="0018192B">
            <w:pPr>
              <w:widowControl w:val="0"/>
              <w:suppressAutoHyphens w:val="0"/>
              <w:spacing w:before="40" w:after="120"/>
              <w:ind w:right="113"/>
              <w:rPr>
                <w:rtl/>
                <w:lang w:val="fr-FR"/>
              </w:rPr>
            </w:pPr>
          </w:p>
        </w:tc>
        <w:tc>
          <w:tcPr>
            <w:tcW w:w="4145" w:type="dxa"/>
            <w:shd w:val="clear" w:color="auto" w:fill="auto"/>
          </w:tcPr>
          <w:p w14:paraId="65886DD9" w14:textId="65F0762F" w:rsidR="00D005FA" w:rsidRPr="0018192B" w:rsidRDefault="00D005FA" w:rsidP="0018192B">
            <w:pPr>
              <w:widowControl w:val="0"/>
              <w:suppressAutoHyphens w:val="0"/>
              <w:spacing w:before="40" w:after="120"/>
              <w:ind w:right="113"/>
              <w:rPr>
                <w:lang w:val="fr-FR"/>
              </w:rPr>
            </w:pPr>
            <w:r w:rsidRPr="0018192B">
              <w:rPr>
                <w:lang w:val="fr-FR"/>
              </w:rPr>
              <w:t>Proportion des appels interjetés réglés par rapport au nombre total d</w:t>
            </w:r>
            <w:r w:rsidR="0035332C">
              <w:rPr>
                <w:lang w:val="fr-FR"/>
              </w:rPr>
              <w:t>’</w:t>
            </w:r>
            <w:r w:rsidRPr="0018192B">
              <w:rPr>
                <w:lang w:val="fr-FR"/>
              </w:rPr>
              <w:t>appels interjetés enregistrés, dont ceux en cours, relatifs à des actions contentieuses, pénales et en exécution</w:t>
            </w:r>
          </w:p>
        </w:tc>
        <w:tc>
          <w:tcPr>
            <w:tcW w:w="903" w:type="dxa"/>
            <w:shd w:val="clear" w:color="auto" w:fill="auto"/>
          </w:tcPr>
          <w:p w14:paraId="3DEB035C" w14:textId="77777777" w:rsidR="00D005FA" w:rsidRPr="0018192B" w:rsidRDefault="00D005FA" w:rsidP="00BE51F8">
            <w:pPr>
              <w:widowControl w:val="0"/>
              <w:suppressAutoHyphens w:val="0"/>
              <w:spacing w:before="40" w:after="120"/>
              <w:ind w:right="113"/>
              <w:jc w:val="right"/>
              <w:rPr>
                <w:lang w:val="fr-FR"/>
              </w:rPr>
            </w:pPr>
            <w:r w:rsidRPr="0018192B">
              <w:rPr>
                <w:lang w:val="fr-FR"/>
              </w:rPr>
              <w:t>77 %</w:t>
            </w:r>
          </w:p>
        </w:tc>
        <w:tc>
          <w:tcPr>
            <w:tcW w:w="948" w:type="dxa"/>
            <w:shd w:val="clear" w:color="auto" w:fill="auto"/>
          </w:tcPr>
          <w:p w14:paraId="7BECBEFA" w14:textId="77777777" w:rsidR="00D005FA" w:rsidRPr="0018192B" w:rsidRDefault="00D005FA" w:rsidP="00BE51F8">
            <w:pPr>
              <w:widowControl w:val="0"/>
              <w:suppressAutoHyphens w:val="0"/>
              <w:spacing w:before="40" w:after="120"/>
              <w:ind w:right="113"/>
              <w:jc w:val="right"/>
              <w:rPr>
                <w:lang w:val="fr-FR"/>
              </w:rPr>
            </w:pPr>
            <w:r w:rsidRPr="0018192B">
              <w:rPr>
                <w:lang w:val="fr-FR"/>
              </w:rPr>
              <w:t>75 %</w:t>
            </w:r>
          </w:p>
        </w:tc>
        <w:tc>
          <w:tcPr>
            <w:tcW w:w="903" w:type="dxa"/>
            <w:shd w:val="clear" w:color="auto" w:fill="auto"/>
          </w:tcPr>
          <w:p w14:paraId="446785DD" w14:textId="77777777" w:rsidR="00D005FA" w:rsidRPr="0018192B" w:rsidRDefault="00D005FA" w:rsidP="00BE51F8">
            <w:pPr>
              <w:widowControl w:val="0"/>
              <w:suppressAutoHyphens w:val="0"/>
              <w:spacing w:before="40" w:after="120"/>
              <w:ind w:right="113"/>
              <w:jc w:val="right"/>
              <w:rPr>
                <w:lang w:val="fr-FR"/>
              </w:rPr>
            </w:pPr>
            <w:r w:rsidRPr="0018192B">
              <w:rPr>
                <w:lang w:val="fr-FR"/>
              </w:rPr>
              <w:t>80 %</w:t>
            </w:r>
          </w:p>
        </w:tc>
        <w:tc>
          <w:tcPr>
            <w:tcW w:w="919" w:type="dxa"/>
            <w:shd w:val="clear" w:color="auto" w:fill="auto"/>
          </w:tcPr>
          <w:p w14:paraId="528751AA" w14:textId="77777777" w:rsidR="00D005FA" w:rsidRPr="0018192B" w:rsidRDefault="00D005FA" w:rsidP="00BE51F8">
            <w:pPr>
              <w:widowControl w:val="0"/>
              <w:suppressAutoHyphens w:val="0"/>
              <w:spacing w:before="40" w:after="120"/>
              <w:ind w:right="113"/>
              <w:jc w:val="right"/>
              <w:rPr>
                <w:lang w:val="fr-FR"/>
              </w:rPr>
            </w:pPr>
            <w:r w:rsidRPr="0018192B">
              <w:rPr>
                <w:lang w:val="fr-FR"/>
              </w:rPr>
              <w:t>85 %</w:t>
            </w:r>
          </w:p>
        </w:tc>
      </w:tr>
      <w:tr w:rsidR="0018192B" w:rsidRPr="0018192B" w14:paraId="205116A7" w14:textId="77777777" w:rsidTr="007258D4">
        <w:tc>
          <w:tcPr>
            <w:tcW w:w="2037" w:type="dxa"/>
            <w:vMerge w:val="restart"/>
            <w:shd w:val="clear" w:color="auto" w:fill="auto"/>
            <w:vAlign w:val="center"/>
          </w:tcPr>
          <w:p w14:paraId="4D44BE89" w14:textId="77777777" w:rsidR="00D005FA" w:rsidRPr="0018192B" w:rsidRDefault="00D005FA" w:rsidP="007258D4">
            <w:pPr>
              <w:widowControl w:val="0"/>
              <w:suppressAutoHyphens w:val="0"/>
              <w:spacing w:before="40" w:after="120"/>
              <w:ind w:right="113"/>
              <w:rPr>
                <w:lang w:val="fr-FR"/>
              </w:rPr>
            </w:pPr>
            <w:r w:rsidRPr="0018192B">
              <w:rPr>
                <w:lang w:val="fr-FR"/>
              </w:rPr>
              <w:t>Cour de cassation</w:t>
            </w:r>
          </w:p>
        </w:tc>
        <w:tc>
          <w:tcPr>
            <w:tcW w:w="4145" w:type="dxa"/>
            <w:shd w:val="clear" w:color="auto" w:fill="auto"/>
          </w:tcPr>
          <w:p w14:paraId="614E6057" w14:textId="77777777" w:rsidR="00D005FA" w:rsidRPr="0018192B" w:rsidRDefault="00D005FA" w:rsidP="0018192B">
            <w:pPr>
              <w:widowControl w:val="0"/>
              <w:suppressAutoHyphens w:val="0"/>
              <w:spacing w:before="40" w:after="120"/>
              <w:ind w:right="113"/>
              <w:rPr>
                <w:lang w:val="fr-FR"/>
              </w:rPr>
            </w:pPr>
            <w:r w:rsidRPr="0018192B">
              <w:rPr>
                <w:lang w:val="fr-FR"/>
              </w:rPr>
              <w:t>Nombre total de pourvois en cassation enregistrés, dont ceux en cours, en matière contentieuse et pénale</w:t>
            </w:r>
          </w:p>
        </w:tc>
        <w:tc>
          <w:tcPr>
            <w:tcW w:w="903" w:type="dxa"/>
            <w:shd w:val="clear" w:color="auto" w:fill="auto"/>
          </w:tcPr>
          <w:p w14:paraId="16D2C9E4" w14:textId="77777777" w:rsidR="00D005FA" w:rsidRPr="0018192B" w:rsidRDefault="00D005FA" w:rsidP="00BE51F8">
            <w:pPr>
              <w:widowControl w:val="0"/>
              <w:suppressAutoHyphens w:val="0"/>
              <w:spacing w:before="40" w:after="120"/>
              <w:ind w:right="113"/>
              <w:jc w:val="right"/>
              <w:rPr>
                <w:rtl/>
                <w:lang w:val="fr-FR"/>
              </w:rPr>
            </w:pPr>
            <w:r w:rsidRPr="0018192B">
              <w:rPr>
                <w:rtl/>
              </w:rPr>
              <w:t>5</w:t>
            </w:r>
            <w:r w:rsidRPr="0018192B">
              <w:t xml:space="preserve"> </w:t>
            </w:r>
            <w:r w:rsidRPr="0018192B">
              <w:rPr>
                <w:rtl/>
              </w:rPr>
              <w:t>426</w:t>
            </w:r>
          </w:p>
        </w:tc>
        <w:tc>
          <w:tcPr>
            <w:tcW w:w="948" w:type="dxa"/>
            <w:shd w:val="clear" w:color="auto" w:fill="auto"/>
          </w:tcPr>
          <w:p w14:paraId="2F97F2F7" w14:textId="77777777" w:rsidR="00D005FA" w:rsidRPr="0018192B" w:rsidRDefault="00D005FA" w:rsidP="00BE51F8">
            <w:pPr>
              <w:widowControl w:val="0"/>
              <w:suppressAutoHyphens w:val="0"/>
              <w:spacing w:before="40" w:after="120"/>
              <w:ind w:right="113"/>
              <w:jc w:val="right"/>
              <w:rPr>
                <w:rtl/>
                <w:lang w:val="fr-FR"/>
              </w:rPr>
            </w:pPr>
            <w:r w:rsidRPr="0018192B">
              <w:rPr>
                <w:rtl/>
              </w:rPr>
              <w:t>4</w:t>
            </w:r>
            <w:r w:rsidRPr="0018192B">
              <w:t xml:space="preserve"> </w:t>
            </w:r>
            <w:r w:rsidRPr="0018192B">
              <w:rPr>
                <w:rtl/>
              </w:rPr>
              <w:t>405</w:t>
            </w:r>
          </w:p>
        </w:tc>
        <w:tc>
          <w:tcPr>
            <w:tcW w:w="903" w:type="dxa"/>
            <w:shd w:val="clear" w:color="auto" w:fill="auto"/>
          </w:tcPr>
          <w:p w14:paraId="7350BDFA" w14:textId="77777777" w:rsidR="00D005FA" w:rsidRPr="0018192B" w:rsidRDefault="00D005FA" w:rsidP="00BE51F8">
            <w:pPr>
              <w:widowControl w:val="0"/>
              <w:suppressAutoHyphens w:val="0"/>
              <w:spacing w:before="40" w:after="120"/>
              <w:ind w:right="113"/>
              <w:jc w:val="right"/>
              <w:rPr>
                <w:rtl/>
                <w:lang w:val="fr-FR"/>
              </w:rPr>
            </w:pPr>
            <w:r w:rsidRPr="0018192B">
              <w:rPr>
                <w:rtl/>
              </w:rPr>
              <w:t>3</w:t>
            </w:r>
            <w:r w:rsidRPr="0018192B">
              <w:t xml:space="preserve"> </w:t>
            </w:r>
            <w:r w:rsidRPr="0018192B">
              <w:rPr>
                <w:rtl/>
              </w:rPr>
              <w:t>475</w:t>
            </w:r>
          </w:p>
        </w:tc>
        <w:tc>
          <w:tcPr>
            <w:tcW w:w="919" w:type="dxa"/>
            <w:shd w:val="clear" w:color="auto" w:fill="auto"/>
          </w:tcPr>
          <w:p w14:paraId="7B950E43" w14:textId="77777777" w:rsidR="00D005FA" w:rsidRPr="0018192B" w:rsidRDefault="00D005FA" w:rsidP="00BE51F8">
            <w:pPr>
              <w:widowControl w:val="0"/>
              <w:suppressAutoHyphens w:val="0"/>
              <w:spacing w:before="40" w:after="120"/>
              <w:ind w:right="113"/>
              <w:jc w:val="right"/>
              <w:rPr>
                <w:rtl/>
                <w:lang w:val="fr-FR"/>
              </w:rPr>
            </w:pPr>
            <w:r w:rsidRPr="0018192B">
              <w:rPr>
                <w:rtl/>
              </w:rPr>
              <w:t>2</w:t>
            </w:r>
            <w:r w:rsidRPr="0018192B">
              <w:t xml:space="preserve"> </w:t>
            </w:r>
            <w:r w:rsidRPr="0018192B">
              <w:rPr>
                <w:rtl/>
              </w:rPr>
              <w:t>651</w:t>
            </w:r>
          </w:p>
        </w:tc>
      </w:tr>
      <w:tr w:rsidR="0018192B" w:rsidRPr="0018192B" w14:paraId="59225443" w14:textId="77777777" w:rsidTr="0018192B">
        <w:tc>
          <w:tcPr>
            <w:tcW w:w="2037" w:type="dxa"/>
            <w:vMerge/>
            <w:shd w:val="clear" w:color="auto" w:fill="auto"/>
          </w:tcPr>
          <w:p w14:paraId="61DED750" w14:textId="77777777" w:rsidR="00D005FA" w:rsidRPr="0018192B" w:rsidRDefault="00D005FA" w:rsidP="0018192B">
            <w:pPr>
              <w:widowControl w:val="0"/>
              <w:suppressAutoHyphens w:val="0"/>
              <w:spacing w:before="40" w:after="120"/>
              <w:ind w:right="113"/>
              <w:rPr>
                <w:rtl/>
                <w:lang w:val="fr-FR"/>
              </w:rPr>
            </w:pPr>
          </w:p>
        </w:tc>
        <w:tc>
          <w:tcPr>
            <w:tcW w:w="4145" w:type="dxa"/>
            <w:shd w:val="clear" w:color="auto" w:fill="auto"/>
          </w:tcPr>
          <w:p w14:paraId="3CF6FF50" w14:textId="77777777" w:rsidR="00D005FA" w:rsidRPr="0018192B" w:rsidRDefault="00D005FA" w:rsidP="0018192B">
            <w:pPr>
              <w:widowControl w:val="0"/>
              <w:suppressAutoHyphens w:val="0"/>
              <w:spacing w:before="40" w:after="120"/>
              <w:ind w:right="113"/>
              <w:rPr>
                <w:lang w:val="fr-FR"/>
              </w:rPr>
            </w:pPr>
            <w:r w:rsidRPr="0018192B">
              <w:rPr>
                <w:lang w:val="fr-FR"/>
              </w:rPr>
              <w:t>Proportion des pourvois en cassation réglés par rapport au nombre total de pourvois en cassation enregistrés, dont ceux en cours, en matière contentieuse et pénale</w:t>
            </w:r>
          </w:p>
        </w:tc>
        <w:tc>
          <w:tcPr>
            <w:tcW w:w="903" w:type="dxa"/>
            <w:shd w:val="clear" w:color="auto" w:fill="auto"/>
          </w:tcPr>
          <w:p w14:paraId="6AAD8570" w14:textId="77777777" w:rsidR="00D005FA" w:rsidRPr="0018192B" w:rsidRDefault="00D005FA" w:rsidP="00BE51F8">
            <w:pPr>
              <w:widowControl w:val="0"/>
              <w:suppressAutoHyphens w:val="0"/>
              <w:spacing w:before="40" w:after="120"/>
              <w:ind w:right="113"/>
              <w:jc w:val="right"/>
              <w:rPr>
                <w:lang w:val="fr-FR"/>
              </w:rPr>
            </w:pPr>
            <w:r w:rsidRPr="0018192B">
              <w:rPr>
                <w:lang w:val="fr-FR"/>
              </w:rPr>
              <w:t>33 %</w:t>
            </w:r>
          </w:p>
        </w:tc>
        <w:tc>
          <w:tcPr>
            <w:tcW w:w="948" w:type="dxa"/>
            <w:shd w:val="clear" w:color="auto" w:fill="auto"/>
          </w:tcPr>
          <w:p w14:paraId="1DE510AD" w14:textId="77777777" w:rsidR="00D005FA" w:rsidRPr="0018192B" w:rsidRDefault="00D005FA" w:rsidP="00BE51F8">
            <w:pPr>
              <w:widowControl w:val="0"/>
              <w:suppressAutoHyphens w:val="0"/>
              <w:spacing w:before="40" w:after="120"/>
              <w:ind w:right="113"/>
              <w:jc w:val="right"/>
              <w:rPr>
                <w:lang w:val="fr-FR"/>
              </w:rPr>
            </w:pPr>
            <w:r w:rsidRPr="0018192B">
              <w:rPr>
                <w:lang w:val="fr-FR"/>
              </w:rPr>
              <w:t>34 %</w:t>
            </w:r>
          </w:p>
        </w:tc>
        <w:tc>
          <w:tcPr>
            <w:tcW w:w="903" w:type="dxa"/>
            <w:shd w:val="clear" w:color="auto" w:fill="auto"/>
          </w:tcPr>
          <w:p w14:paraId="77BD8167" w14:textId="77777777" w:rsidR="00D005FA" w:rsidRPr="0018192B" w:rsidRDefault="00D005FA" w:rsidP="00BE51F8">
            <w:pPr>
              <w:widowControl w:val="0"/>
              <w:suppressAutoHyphens w:val="0"/>
              <w:spacing w:before="40" w:after="120"/>
              <w:ind w:right="113"/>
              <w:jc w:val="right"/>
              <w:rPr>
                <w:lang w:val="fr-FR"/>
              </w:rPr>
            </w:pPr>
            <w:r w:rsidRPr="0018192B">
              <w:rPr>
                <w:lang w:val="fr-FR"/>
              </w:rPr>
              <w:t>33 %</w:t>
            </w:r>
          </w:p>
        </w:tc>
        <w:tc>
          <w:tcPr>
            <w:tcW w:w="919" w:type="dxa"/>
            <w:shd w:val="clear" w:color="auto" w:fill="auto"/>
          </w:tcPr>
          <w:p w14:paraId="3C1A5457" w14:textId="77777777" w:rsidR="00D005FA" w:rsidRPr="0018192B" w:rsidRDefault="00D005FA" w:rsidP="00BE51F8">
            <w:pPr>
              <w:widowControl w:val="0"/>
              <w:suppressAutoHyphens w:val="0"/>
              <w:spacing w:before="40" w:after="120"/>
              <w:ind w:right="113"/>
              <w:jc w:val="right"/>
              <w:rPr>
                <w:lang w:val="fr-FR"/>
              </w:rPr>
            </w:pPr>
            <w:r w:rsidRPr="0018192B">
              <w:rPr>
                <w:lang w:val="fr-FR"/>
              </w:rPr>
              <w:t>41 %</w:t>
            </w:r>
          </w:p>
        </w:tc>
      </w:tr>
      <w:tr w:rsidR="0018192B" w:rsidRPr="0018192B" w14:paraId="3307AB30" w14:textId="77777777" w:rsidTr="007258D4">
        <w:tc>
          <w:tcPr>
            <w:tcW w:w="2037" w:type="dxa"/>
            <w:vMerge w:val="restart"/>
            <w:shd w:val="clear" w:color="auto" w:fill="auto"/>
            <w:vAlign w:val="center"/>
          </w:tcPr>
          <w:p w14:paraId="15077332" w14:textId="77777777" w:rsidR="00D005FA" w:rsidRPr="0018192B" w:rsidRDefault="00D005FA" w:rsidP="007258D4">
            <w:pPr>
              <w:widowControl w:val="0"/>
              <w:suppressAutoHyphens w:val="0"/>
              <w:spacing w:before="40" w:after="120"/>
              <w:ind w:right="113"/>
              <w:rPr>
                <w:lang w:val="fr-FR"/>
              </w:rPr>
            </w:pPr>
            <w:r w:rsidRPr="0018192B">
              <w:rPr>
                <w:lang w:val="fr-FR"/>
              </w:rPr>
              <w:t>Haute Cour de justice</w:t>
            </w:r>
          </w:p>
        </w:tc>
        <w:tc>
          <w:tcPr>
            <w:tcW w:w="4145" w:type="dxa"/>
            <w:shd w:val="clear" w:color="auto" w:fill="auto"/>
          </w:tcPr>
          <w:p w14:paraId="59DB0B5F" w14:textId="021226D4" w:rsidR="00D005FA" w:rsidRPr="0018192B" w:rsidRDefault="00D005FA" w:rsidP="0018192B">
            <w:pPr>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celles en cours</w:t>
            </w:r>
          </w:p>
        </w:tc>
        <w:tc>
          <w:tcPr>
            <w:tcW w:w="903" w:type="dxa"/>
            <w:shd w:val="clear" w:color="auto" w:fill="auto"/>
          </w:tcPr>
          <w:p w14:paraId="43501CEB" w14:textId="77777777" w:rsidR="00D005FA" w:rsidRPr="0018192B" w:rsidRDefault="00D005FA" w:rsidP="00BE51F8">
            <w:pPr>
              <w:widowControl w:val="0"/>
              <w:suppressAutoHyphens w:val="0"/>
              <w:spacing w:before="40" w:after="120"/>
              <w:ind w:right="113"/>
              <w:jc w:val="right"/>
              <w:rPr>
                <w:rtl/>
                <w:lang w:val="fr-FR"/>
              </w:rPr>
            </w:pPr>
            <w:r w:rsidRPr="0018192B">
              <w:rPr>
                <w:rtl/>
              </w:rPr>
              <w:t>485</w:t>
            </w:r>
          </w:p>
        </w:tc>
        <w:tc>
          <w:tcPr>
            <w:tcW w:w="948" w:type="dxa"/>
            <w:shd w:val="clear" w:color="auto" w:fill="auto"/>
          </w:tcPr>
          <w:p w14:paraId="7372424D" w14:textId="77777777" w:rsidR="00D005FA" w:rsidRPr="0018192B" w:rsidRDefault="00D005FA" w:rsidP="00BE51F8">
            <w:pPr>
              <w:widowControl w:val="0"/>
              <w:suppressAutoHyphens w:val="0"/>
              <w:spacing w:before="40" w:after="120"/>
              <w:ind w:right="113"/>
              <w:jc w:val="right"/>
              <w:rPr>
                <w:rtl/>
                <w:lang w:val="fr-FR"/>
              </w:rPr>
            </w:pPr>
            <w:r w:rsidRPr="0018192B">
              <w:rPr>
                <w:rtl/>
              </w:rPr>
              <w:t>543</w:t>
            </w:r>
          </w:p>
        </w:tc>
        <w:tc>
          <w:tcPr>
            <w:tcW w:w="903" w:type="dxa"/>
            <w:shd w:val="clear" w:color="auto" w:fill="auto"/>
          </w:tcPr>
          <w:p w14:paraId="01668980" w14:textId="77777777" w:rsidR="00D005FA" w:rsidRPr="0018192B" w:rsidRDefault="00D005FA" w:rsidP="00BE51F8">
            <w:pPr>
              <w:widowControl w:val="0"/>
              <w:suppressAutoHyphens w:val="0"/>
              <w:spacing w:before="40" w:after="120"/>
              <w:ind w:right="113"/>
              <w:jc w:val="right"/>
              <w:rPr>
                <w:rtl/>
                <w:lang w:val="fr-FR"/>
              </w:rPr>
            </w:pPr>
            <w:r w:rsidRPr="0018192B">
              <w:rPr>
                <w:rtl/>
              </w:rPr>
              <w:t>524</w:t>
            </w:r>
          </w:p>
        </w:tc>
        <w:tc>
          <w:tcPr>
            <w:tcW w:w="919" w:type="dxa"/>
            <w:shd w:val="clear" w:color="auto" w:fill="auto"/>
          </w:tcPr>
          <w:p w14:paraId="55B59AFC" w14:textId="77777777" w:rsidR="00D005FA" w:rsidRPr="0018192B" w:rsidRDefault="00D005FA" w:rsidP="00BE51F8">
            <w:pPr>
              <w:widowControl w:val="0"/>
              <w:suppressAutoHyphens w:val="0"/>
              <w:spacing w:before="40" w:after="120"/>
              <w:ind w:right="113"/>
              <w:jc w:val="right"/>
              <w:rPr>
                <w:rtl/>
                <w:lang w:val="fr-FR"/>
              </w:rPr>
            </w:pPr>
            <w:r w:rsidRPr="0018192B">
              <w:rPr>
                <w:rtl/>
              </w:rPr>
              <w:t>616</w:t>
            </w:r>
          </w:p>
        </w:tc>
      </w:tr>
      <w:tr w:rsidR="0018192B" w:rsidRPr="0018192B" w14:paraId="426CEFA1" w14:textId="77777777" w:rsidTr="0018192B">
        <w:tc>
          <w:tcPr>
            <w:tcW w:w="2037" w:type="dxa"/>
            <w:vMerge/>
            <w:shd w:val="clear" w:color="auto" w:fill="auto"/>
          </w:tcPr>
          <w:p w14:paraId="483F161F" w14:textId="77777777" w:rsidR="00D005FA" w:rsidRPr="0018192B" w:rsidRDefault="00D005FA" w:rsidP="0018192B">
            <w:pPr>
              <w:widowControl w:val="0"/>
              <w:suppressAutoHyphens w:val="0"/>
              <w:spacing w:before="40" w:after="120"/>
              <w:ind w:right="113"/>
              <w:rPr>
                <w:rtl/>
                <w:lang w:val="fr-FR"/>
              </w:rPr>
            </w:pPr>
          </w:p>
        </w:tc>
        <w:tc>
          <w:tcPr>
            <w:tcW w:w="4145" w:type="dxa"/>
            <w:shd w:val="clear" w:color="auto" w:fill="auto"/>
          </w:tcPr>
          <w:p w14:paraId="37407A41" w14:textId="77777777" w:rsidR="00D005FA" w:rsidRPr="0018192B" w:rsidRDefault="00D005FA" w:rsidP="0018192B">
            <w:pPr>
              <w:widowControl w:val="0"/>
              <w:suppressAutoHyphens w:val="0"/>
              <w:spacing w:before="40" w:after="120"/>
              <w:ind w:right="113"/>
              <w:rPr>
                <w:lang w:val="fr-FR"/>
              </w:rPr>
            </w:pPr>
            <w:r w:rsidRPr="0018192B">
              <w:rPr>
                <w:lang w:val="fr-FR"/>
              </w:rPr>
              <w:t>Proportion des affaires réglées par rapport aux affaires en cours (taux de réponse)</w:t>
            </w:r>
          </w:p>
        </w:tc>
        <w:tc>
          <w:tcPr>
            <w:tcW w:w="903" w:type="dxa"/>
            <w:shd w:val="clear" w:color="auto" w:fill="auto"/>
          </w:tcPr>
          <w:p w14:paraId="3F9EE508" w14:textId="77777777" w:rsidR="00D005FA" w:rsidRPr="0018192B" w:rsidRDefault="00D005FA" w:rsidP="00BE51F8">
            <w:pPr>
              <w:widowControl w:val="0"/>
              <w:suppressAutoHyphens w:val="0"/>
              <w:spacing w:before="40" w:after="120"/>
              <w:ind w:right="113"/>
              <w:jc w:val="right"/>
              <w:rPr>
                <w:lang w:val="fr-FR"/>
              </w:rPr>
            </w:pPr>
            <w:r w:rsidRPr="0018192B">
              <w:rPr>
                <w:lang w:val="fr-FR"/>
              </w:rPr>
              <w:t>58 %</w:t>
            </w:r>
          </w:p>
        </w:tc>
        <w:tc>
          <w:tcPr>
            <w:tcW w:w="948" w:type="dxa"/>
            <w:shd w:val="clear" w:color="auto" w:fill="auto"/>
          </w:tcPr>
          <w:p w14:paraId="4DC54071" w14:textId="77777777" w:rsidR="00D005FA" w:rsidRPr="0018192B" w:rsidRDefault="00D005FA" w:rsidP="00BE51F8">
            <w:pPr>
              <w:widowControl w:val="0"/>
              <w:suppressAutoHyphens w:val="0"/>
              <w:spacing w:before="40" w:after="120"/>
              <w:ind w:right="113"/>
              <w:jc w:val="right"/>
              <w:rPr>
                <w:lang w:val="fr-FR"/>
              </w:rPr>
            </w:pPr>
            <w:r w:rsidRPr="0018192B">
              <w:rPr>
                <w:lang w:val="fr-FR"/>
              </w:rPr>
              <w:t>59 %</w:t>
            </w:r>
          </w:p>
        </w:tc>
        <w:tc>
          <w:tcPr>
            <w:tcW w:w="903" w:type="dxa"/>
            <w:shd w:val="clear" w:color="auto" w:fill="auto"/>
          </w:tcPr>
          <w:p w14:paraId="23461568" w14:textId="77777777" w:rsidR="00D005FA" w:rsidRPr="0018192B" w:rsidRDefault="00D005FA" w:rsidP="00BE51F8">
            <w:pPr>
              <w:widowControl w:val="0"/>
              <w:suppressAutoHyphens w:val="0"/>
              <w:spacing w:before="40" w:after="120"/>
              <w:ind w:right="113"/>
              <w:jc w:val="right"/>
              <w:rPr>
                <w:lang w:val="fr-FR"/>
              </w:rPr>
            </w:pPr>
            <w:r w:rsidRPr="0018192B">
              <w:rPr>
                <w:lang w:val="fr-FR"/>
              </w:rPr>
              <w:t>57 %</w:t>
            </w:r>
          </w:p>
        </w:tc>
        <w:tc>
          <w:tcPr>
            <w:tcW w:w="919" w:type="dxa"/>
            <w:shd w:val="clear" w:color="auto" w:fill="auto"/>
          </w:tcPr>
          <w:p w14:paraId="52AFEEE7" w14:textId="77777777" w:rsidR="00D005FA" w:rsidRPr="0018192B" w:rsidRDefault="00D005FA" w:rsidP="00BE51F8">
            <w:pPr>
              <w:widowControl w:val="0"/>
              <w:suppressAutoHyphens w:val="0"/>
              <w:spacing w:before="40" w:after="120"/>
              <w:ind w:right="113"/>
              <w:jc w:val="right"/>
              <w:rPr>
                <w:lang w:val="fr-FR"/>
              </w:rPr>
            </w:pPr>
            <w:r w:rsidRPr="0018192B">
              <w:rPr>
                <w:lang w:val="fr-FR"/>
              </w:rPr>
              <w:t>55 %</w:t>
            </w:r>
          </w:p>
        </w:tc>
      </w:tr>
      <w:tr w:rsidR="0018192B" w:rsidRPr="0018192B" w14:paraId="31C66F66" w14:textId="77777777" w:rsidTr="007258D4">
        <w:tc>
          <w:tcPr>
            <w:tcW w:w="2037" w:type="dxa"/>
            <w:vMerge w:val="restart"/>
            <w:shd w:val="clear" w:color="auto" w:fill="auto"/>
            <w:vAlign w:val="center"/>
          </w:tcPr>
          <w:p w14:paraId="6831D9EA" w14:textId="77777777" w:rsidR="00D005FA" w:rsidRPr="0018192B" w:rsidRDefault="00D005FA" w:rsidP="007258D4">
            <w:pPr>
              <w:keepNext/>
              <w:widowControl w:val="0"/>
              <w:suppressAutoHyphens w:val="0"/>
              <w:spacing w:before="40" w:after="120"/>
              <w:ind w:right="113"/>
              <w:rPr>
                <w:lang w:val="fr-FR"/>
              </w:rPr>
            </w:pPr>
            <w:r w:rsidRPr="0018192B">
              <w:rPr>
                <w:lang w:val="fr-FR"/>
              </w:rPr>
              <w:t>Cour suprême</w:t>
            </w:r>
          </w:p>
        </w:tc>
        <w:tc>
          <w:tcPr>
            <w:tcW w:w="4145" w:type="dxa"/>
            <w:shd w:val="clear" w:color="auto" w:fill="auto"/>
          </w:tcPr>
          <w:p w14:paraId="5B81CB76" w14:textId="7370CC70" w:rsidR="00D005FA" w:rsidRPr="0018192B" w:rsidRDefault="00D005FA" w:rsidP="0018192B">
            <w:pPr>
              <w:keepNext/>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celles en cours</w:t>
            </w:r>
          </w:p>
        </w:tc>
        <w:tc>
          <w:tcPr>
            <w:tcW w:w="903" w:type="dxa"/>
            <w:shd w:val="clear" w:color="auto" w:fill="auto"/>
          </w:tcPr>
          <w:p w14:paraId="1D674576"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56</w:t>
            </w:r>
          </w:p>
        </w:tc>
        <w:tc>
          <w:tcPr>
            <w:tcW w:w="948" w:type="dxa"/>
            <w:shd w:val="clear" w:color="auto" w:fill="auto"/>
          </w:tcPr>
          <w:p w14:paraId="1DE0804F"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54</w:t>
            </w:r>
          </w:p>
        </w:tc>
        <w:tc>
          <w:tcPr>
            <w:tcW w:w="903" w:type="dxa"/>
            <w:shd w:val="clear" w:color="auto" w:fill="auto"/>
          </w:tcPr>
          <w:p w14:paraId="48A71244"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38</w:t>
            </w:r>
          </w:p>
        </w:tc>
        <w:tc>
          <w:tcPr>
            <w:tcW w:w="919" w:type="dxa"/>
            <w:shd w:val="clear" w:color="auto" w:fill="auto"/>
          </w:tcPr>
          <w:p w14:paraId="4C74A40D" w14:textId="77777777" w:rsidR="00D005FA" w:rsidRPr="0018192B" w:rsidRDefault="00D005FA" w:rsidP="00BE51F8">
            <w:pPr>
              <w:keepNext/>
              <w:widowControl w:val="0"/>
              <w:suppressAutoHyphens w:val="0"/>
              <w:spacing w:before="40" w:after="120"/>
              <w:ind w:right="113"/>
              <w:jc w:val="right"/>
              <w:rPr>
                <w:rtl/>
                <w:lang w:val="fr-FR"/>
              </w:rPr>
            </w:pPr>
            <w:r w:rsidRPr="0018192B">
              <w:rPr>
                <w:rtl/>
              </w:rPr>
              <w:t>40</w:t>
            </w:r>
          </w:p>
        </w:tc>
      </w:tr>
      <w:tr w:rsidR="0018192B" w:rsidRPr="0018192B" w14:paraId="0D2247FF" w14:textId="77777777" w:rsidTr="0018192B">
        <w:tc>
          <w:tcPr>
            <w:tcW w:w="2037" w:type="dxa"/>
            <w:vMerge/>
            <w:shd w:val="clear" w:color="auto" w:fill="auto"/>
          </w:tcPr>
          <w:p w14:paraId="24AC6C61" w14:textId="77777777" w:rsidR="00D005FA" w:rsidRPr="0018192B" w:rsidRDefault="00D005FA" w:rsidP="0018192B">
            <w:pPr>
              <w:keepNext/>
              <w:widowControl w:val="0"/>
              <w:suppressAutoHyphens w:val="0"/>
              <w:spacing w:before="40" w:after="120"/>
              <w:ind w:right="113"/>
              <w:rPr>
                <w:rtl/>
                <w:lang w:val="fr-FR"/>
              </w:rPr>
            </w:pPr>
          </w:p>
        </w:tc>
        <w:tc>
          <w:tcPr>
            <w:tcW w:w="4145" w:type="dxa"/>
            <w:shd w:val="clear" w:color="auto" w:fill="auto"/>
          </w:tcPr>
          <w:p w14:paraId="05C6944B" w14:textId="77777777" w:rsidR="00D005FA" w:rsidRPr="0018192B" w:rsidRDefault="00D005FA" w:rsidP="0018192B">
            <w:pPr>
              <w:keepNext/>
              <w:widowControl w:val="0"/>
              <w:suppressAutoHyphens w:val="0"/>
              <w:spacing w:before="40" w:after="120"/>
              <w:ind w:right="113"/>
              <w:rPr>
                <w:lang w:val="fr-FR"/>
              </w:rPr>
            </w:pPr>
            <w:r w:rsidRPr="0018192B">
              <w:rPr>
                <w:lang w:val="fr-FR"/>
              </w:rPr>
              <w:t>Proportion des affaires réglées par rapport aux affaires en cours (taux de réponse)</w:t>
            </w:r>
          </w:p>
        </w:tc>
        <w:tc>
          <w:tcPr>
            <w:tcW w:w="903" w:type="dxa"/>
            <w:shd w:val="clear" w:color="auto" w:fill="auto"/>
          </w:tcPr>
          <w:p w14:paraId="2E33A690" w14:textId="77777777" w:rsidR="00D005FA" w:rsidRPr="0018192B" w:rsidRDefault="00D005FA" w:rsidP="00BE51F8">
            <w:pPr>
              <w:keepNext/>
              <w:widowControl w:val="0"/>
              <w:suppressAutoHyphens w:val="0"/>
              <w:spacing w:before="40" w:after="120"/>
              <w:ind w:right="113"/>
              <w:jc w:val="right"/>
              <w:rPr>
                <w:lang w:val="fr-FR"/>
              </w:rPr>
            </w:pPr>
            <w:r w:rsidRPr="0018192B">
              <w:rPr>
                <w:lang w:val="fr-FR"/>
              </w:rPr>
              <w:t>25 %</w:t>
            </w:r>
          </w:p>
        </w:tc>
        <w:tc>
          <w:tcPr>
            <w:tcW w:w="948" w:type="dxa"/>
            <w:shd w:val="clear" w:color="auto" w:fill="auto"/>
          </w:tcPr>
          <w:p w14:paraId="0E89A753" w14:textId="77777777" w:rsidR="00D005FA" w:rsidRPr="0018192B" w:rsidRDefault="00D005FA" w:rsidP="00BE51F8">
            <w:pPr>
              <w:keepNext/>
              <w:widowControl w:val="0"/>
              <w:suppressAutoHyphens w:val="0"/>
              <w:spacing w:before="40" w:after="120"/>
              <w:ind w:right="113"/>
              <w:jc w:val="right"/>
              <w:rPr>
                <w:lang w:val="fr-FR"/>
              </w:rPr>
            </w:pPr>
            <w:r w:rsidRPr="0018192B">
              <w:rPr>
                <w:lang w:val="fr-FR"/>
              </w:rPr>
              <w:t>13 %</w:t>
            </w:r>
          </w:p>
        </w:tc>
        <w:tc>
          <w:tcPr>
            <w:tcW w:w="903" w:type="dxa"/>
            <w:shd w:val="clear" w:color="auto" w:fill="auto"/>
          </w:tcPr>
          <w:p w14:paraId="51E4D9CB" w14:textId="77777777" w:rsidR="00D005FA" w:rsidRPr="0018192B" w:rsidRDefault="00D005FA" w:rsidP="00BE51F8">
            <w:pPr>
              <w:keepNext/>
              <w:widowControl w:val="0"/>
              <w:suppressAutoHyphens w:val="0"/>
              <w:spacing w:before="40" w:after="120"/>
              <w:ind w:right="113"/>
              <w:jc w:val="right"/>
              <w:rPr>
                <w:lang w:val="fr-FR"/>
              </w:rPr>
            </w:pPr>
            <w:r w:rsidRPr="0018192B">
              <w:rPr>
                <w:lang w:val="fr-FR"/>
              </w:rPr>
              <w:t>5 %</w:t>
            </w:r>
          </w:p>
        </w:tc>
        <w:tc>
          <w:tcPr>
            <w:tcW w:w="919" w:type="dxa"/>
            <w:shd w:val="clear" w:color="auto" w:fill="auto"/>
          </w:tcPr>
          <w:p w14:paraId="538414E4" w14:textId="77777777" w:rsidR="00D005FA" w:rsidRPr="0018192B" w:rsidRDefault="00D005FA" w:rsidP="00BE51F8">
            <w:pPr>
              <w:keepNext/>
              <w:widowControl w:val="0"/>
              <w:suppressAutoHyphens w:val="0"/>
              <w:spacing w:before="40" w:after="120"/>
              <w:ind w:right="113"/>
              <w:jc w:val="right"/>
              <w:rPr>
                <w:lang w:val="fr-FR"/>
              </w:rPr>
            </w:pPr>
            <w:r w:rsidRPr="0018192B">
              <w:rPr>
                <w:lang w:val="fr-FR"/>
              </w:rPr>
              <w:t>40 %</w:t>
            </w:r>
          </w:p>
        </w:tc>
      </w:tr>
      <w:tr w:rsidR="0018192B" w:rsidRPr="0018192B" w14:paraId="171FD421" w14:textId="77777777" w:rsidTr="007258D4">
        <w:tc>
          <w:tcPr>
            <w:tcW w:w="2037" w:type="dxa"/>
            <w:vMerge w:val="restart"/>
            <w:shd w:val="clear" w:color="auto" w:fill="auto"/>
            <w:vAlign w:val="center"/>
          </w:tcPr>
          <w:p w14:paraId="7730BAF4" w14:textId="77777777" w:rsidR="00D005FA" w:rsidRPr="0018192B" w:rsidRDefault="00D005FA" w:rsidP="007258D4">
            <w:pPr>
              <w:widowControl w:val="0"/>
              <w:suppressAutoHyphens w:val="0"/>
              <w:spacing w:before="40" w:after="120"/>
              <w:ind w:right="113"/>
              <w:rPr>
                <w:lang w:val="fr-FR"/>
              </w:rPr>
            </w:pPr>
            <w:r w:rsidRPr="0018192B">
              <w:rPr>
                <w:lang w:val="fr-FR"/>
              </w:rPr>
              <w:t>Tribunaux pour mineurs</w:t>
            </w:r>
          </w:p>
        </w:tc>
        <w:tc>
          <w:tcPr>
            <w:tcW w:w="4145" w:type="dxa"/>
            <w:shd w:val="clear" w:color="auto" w:fill="auto"/>
          </w:tcPr>
          <w:p w14:paraId="2381211F" w14:textId="7D3EE332" w:rsidR="00D005FA" w:rsidRPr="0018192B" w:rsidRDefault="00D005FA" w:rsidP="0018192B">
            <w:pPr>
              <w:widowControl w:val="0"/>
              <w:suppressAutoHyphens w:val="0"/>
              <w:spacing w:before="40" w:after="120"/>
              <w:ind w:right="113"/>
              <w:rPr>
                <w:lang w:val="fr-FR"/>
              </w:rPr>
            </w:pPr>
            <w:r w:rsidRPr="0018192B">
              <w:rPr>
                <w:lang w:val="fr-FR"/>
              </w:rPr>
              <w:t>Nombre total d</w:t>
            </w:r>
            <w:r w:rsidR="0035332C">
              <w:rPr>
                <w:lang w:val="fr-FR"/>
              </w:rPr>
              <w:t>’</w:t>
            </w:r>
            <w:r w:rsidRPr="0018192B">
              <w:rPr>
                <w:lang w:val="fr-FR"/>
              </w:rPr>
              <w:t>affaires enregistrées, dont celles en cours</w:t>
            </w:r>
          </w:p>
        </w:tc>
        <w:tc>
          <w:tcPr>
            <w:tcW w:w="903" w:type="dxa"/>
            <w:shd w:val="clear" w:color="auto" w:fill="auto"/>
          </w:tcPr>
          <w:p w14:paraId="2BE06D1E" w14:textId="77777777" w:rsidR="00D005FA" w:rsidRPr="0018192B" w:rsidRDefault="00D005FA" w:rsidP="00BE51F8">
            <w:pPr>
              <w:widowControl w:val="0"/>
              <w:suppressAutoHyphens w:val="0"/>
              <w:spacing w:before="40" w:after="120"/>
              <w:ind w:right="113"/>
              <w:jc w:val="right"/>
              <w:rPr>
                <w:rtl/>
                <w:lang w:val="fr-FR"/>
              </w:rPr>
            </w:pPr>
            <w:r w:rsidRPr="0018192B">
              <w:rPr>
                <w:rtl/>
              </w:rPr>
              <w:t>723</w:t>
            </w:r>
          </w:p>
        </w:tc>
        <w:tc>
          <w:tcPr>
            <w:tcW w:w="948" w:type="dxa"/>
            <w:shd w:val="clear" w:color="auto" w:fill="auto"/>
          </w:tcPr>
          <w:p w14:paraId="5BC6DCFB" w14:textId="77777777" w:rsidR="00D005FA" w:rsidRPr="0018192B" w:rsidRDefault="00D005FA" w:rsidP="00BE51F8">
            <w:pPr>
              <w:widowControl w:val="0"/>
              <w:suppressAutoHyphens w:val="0"/>
              <w:spacing w:before="40" w:after="120"/>
              <w:ind w:right="113"/>
              <w:jc w:val="right"/>
              <w:rPr>
                <w:rtl/>
                <w:lang w:val="fr-FR"/>
              </w:rPr>
            </w:pPr>
            <w:r w:rsidRPr="0018192B">
              <w:rPr>
                <w:rtl/>
              </w:rPr>
              <w:t>607</w:t>
            </w:r>
          </w:p>
        </w:tc>
        <w:tc>
          <w:tcPr>
            <w:tcW w:w="903" w:type="dxa"/>
            <w:shd w:val="clear" w:color="auto" w:fill="auto"/>
          </w:tcPr>
          <w:p w14:paraId="77187527" w14:textId="77777777" w:rsidR="00D005FA" w:rsidRPr="0018192B" w:rsidRDefault="00D005FA" w:rsidP="00BE51F8">
            <w:pPr>
              <w:widowControl w:val="0"/>
              <w:suppressAutoHyphens w:val="0"/>
              <w:spacing w:before="40" w:after="120"/>
              <w:ind w:right="113"/>
              <w:jc w:val="right"/>
              <w:rPr>
                <w:rtl/>
                <w:lang w:val="fr-FR"/>
              </w:rPr>
            </w:pPr>
            <w:r w:rsidRPr="0018192B">
              <w:rPr>
                <w:rtl/>
              </w:rPr>
              <w:t>-</w:t>
            </w:r>
          </w:p>
        </w:tc>
        <w:tc>
          <w:tcPr>
            <w:tcW w:w="919" w:type="dxa"/>
            <w:shd w:val="clear" w:color="auto" w:fill="auto"/>
          </w:tcPr>
          <w:p w14:paraId="00534F8F" w14:textId="77777777" w:rsidR="00D005FA" w:rsidRPr="0018192B" w:rsidRDefault="00D005FA" w:rsidP="00BE51F8">
            <w:pPr>
              <w:widowControl w:val="0"/>
              <w:suppressAutoHyphens w:val="0"/>
              <w:spacing w:before="40" w:after="120"/>
              <w:ind w:right="113"/>
              <w:jc w:val="right"/>
              <w:rPr>
                <w:rtl/>
                <w:lang w:val="fr-FR"/>
              </w:rPr>
            </w:pPr>
            <w:r w:rsidRPr="0018192B">
              <w:rPr>
                <w:rtl/>
              </w:rPr>
              <w:t>-</w:t>
            </w:r>
          </w:p>
        </w:tc>
      </w:tr>
      <w:tr w:rsidR="0018192B" w:rsidRPr="0018192B" w14:paraId="4D9C5CCE" w14:textId="77777777" w:rsidTr="0018192B">
        <w:tc>
          <w:tcPr>
            <w:tcW w:w="2037" w:type="dxa"/>
            <w:vMerge/>
            <w:tcBorders>
              <w:bottom w:val="single" w:sz="12" w:space="0" w:color="auto"/>
            </w:tcBorders>
            <w:shd w:val="clear" w:color="auto" w:fill="auto"/>
          </w:tcPr>
          <w:p w14:paraId="3B19ABCA" w14:textId="77777777" w:rsidR="00D005FA" w:rsidRPr="0018192B" w:rsidRDefault="00D005FA" w:rsidP="0018192B">
            <w:pPr>
              <w:widowControl w:val="0"/>
              <w:suppressAutoHyphens w:val="0"/>
              <w:spacing w:before="40" w:after="120"/>
              <w:ind w:right="113"/>
              <w:rPr>
                <w:rtl/>
                <w:lang w:val="fr-FR"/>
              </w:rPr>
            </w:pPr>
          </w:p>
        </w:tc>
        <w:tc>
          <w:tcPr>
            <w:tcW w:w="4145" w:type="dxa"/>
            <w:tcBorders>
              <w:bottom w:val="single" w:sz="12" w:space="0" w:color="auto"/>
            </w:tcBorders>
            <w:shd w:val="clear" w:color="auto" w:fill="auto"/>
          </w:tcPr>
          <w:p w14:paraId="62E03642" w14:textId="77777777" w:rsidR="00D005FA" w:rsidRPr="0018192B" w:rsidRDefault="00D005FA" w:rsidP="0018192B">
            <w:pPr>
              <w:widowControl w:val="0"/>
              <w:suppressAutoHyphens w:val="0"/>
              <w:spacing w:before="40" w:after="120"/>
              <w:ind w:right="113"/>
              <w:rPr>
                <w:lang w:val="fr-FR"/>
              </w:rPr>
            </w:pPr>
            <w:r w:rsidRPr="0018192B">
              <w:rPr>
                <w:lang w:val="fr-FR"/>
              </w:rPr>
              <w:t>Proportion des affaires réglées par rapport aux affaires en cours (taux de réponse)</w:t>
            </w:r>
          </w:p>
        </w:tc>
        <w:tc>
          <w:tcPr>
            <w:tcW w:w="903" w:type="dxa"/>
            <w:tcBorders>
              <w:bottom w:val="single" w:sz="12" w:space="0" w:color="auto"/>
            </w:tcBorders>
            <w:shd w:val="clear" w:color="auto" w:fill="auto"/>
          </w:tcPr>
          <w:p w14:paraId="4E8E7823" w14:textId="77777777" w:rsidR="00D005FA" w:rsidRPr="0018192B" w:rsidRDefault="00D005FA" w:rsidP="00BE51F8">
            <w:pPr>
              <w:widowControl w:val="0"/>
              <w:suppressAutoHyphens w:val="0"/>
              <w:spacing w:before="40" w:after="120"/>
              <w:ind w:right="113"/>
              <w:jc w:val="right"/>
              <w:rPr>
                <w:lang w:val="fr-FR"/>
              </w:rPr>
            </w:pPr>
            <w:r w:rsidRPr="0018192B">
              <w:rPr>
                <w:lang w:val="fr-FR"/>
              </w:rPr>
              <w:t>47 %</w:t>
            </w:r>
          </w:p>
        </w:tc>
        <w:tc>
          <w:tcPr>
            <w:tcW w:w="948" w:type="dxa"/>
            <w:tcBorders>
              <w:bottom w:val="single" w:sz="12" w:space="0" w:color="auto"/>
            </w:tcBorders>
            <w:shd w:val="clear" w:color="auto" w:fill="auto"/>
          </w:tcPr>
          <w:p w14:paraId="4AA3C1B6" w14:textId="77777777" w:rsidR="00D005FA" w:rsidRPr="0018192B" w:rsidRDefault="00D005FA" w:rsidP="00BE51F8">
            <w:pPr>
              <w:widowControl w:val="0"/>
              <w:suppressAutoHyphens w:val="0"/>
              <w:spacing w:before="40" w:after="120"/>
              <w:ind w:right="113"/>
              <w:jc w:val="right"/>
              <w:rPr>
                <w:lang w:val="fr-FR"/>
              </w:rPr>
            </w:pPr>
            <w:r w:rsidRPr="0018192B">
              <w:rPr>
                <w:lang w:val="fr-FR"/>
              </w:rPr>
              <w:t>41 %</w:t>
            </w:r>
          </w:p>
        </w:tc>
        <w:tc>
          <w:tcPr>
            <w:tcW w:w="903" w:type="dxa"/>
            <w:tcBorders>
              <w:bottom w:val="single" w:sz="12" w:space="0" w:color="auto"/>
            </w:tcBorders>
            <w:shd w:val="clear" w:color="auto" w:fill="auto"/>
          </w:tcPr>
          <w:p w14:paraId="074B4BA5" w14:textId="77777777" w:rsidR="00D005FA" w:rsidRPr="0018192B" w:rsidRDefault="00D005FA" w:rsidP="00BE51F8">
            <w:pPr>
              <w:widowControl w:val="0"/>
              <w:suppressAutoHyphens w:val="0"/>
              <w:spacing w:before="40" w:after="120"/>
              <w:ind w:right="113"/>
              <w:jc w:val="right"/>
              <w:rPr>
                <w:rtl/>
                <w:lang w:val="fr-FR"/>
              </w:rPr>
            </w:pPr>
          </w:p>
        </w:tc>
        <w:tc>
          <w:tcPr>
            <w:tcW w:w="919" w:type="dxa"/>
            <w:tcBorders>
              <w:bottom w:val="single" w:sz="12" w:space="0" w:color="auto"/>
            </w:tcBorders>
            <w:shd w:val="clear" w:color="auto" w:fill="auto"/>
          </w:tcPr>
          <w:p w14:paraId="6EA1BB53" w14:textId="77777777" w:rsidR="00D005FA" w:rsidRPr="0018192B" w:rsidRDefault="00D005FA" w:rsidP="00BE51F8">
            <w:pPr>
              <w:widowControl w:val="0"/>
              <w:suppressAutoHyphens w:val="0"/>
              <w:spacing w:before="40" w:after="120"/>
              <w:ind w:right="113"/>
              <w:jc w:val="right"/>
              <w:rPr>
                <w:rtl/>
                <w:lang w:val="fr-FR"/>
              </w:rPr>
            </w:pPr>
          </w:p>
        </w:tc>
      </w:tr>
    </w:tbl>
    <w:p w14:paraId="02A13C35" w14:textId="57DD3493" w:rsidR="00D005FA" w:rsidRPr="00310D49" w:rsidRDefault="00D005FA" w:rsidP="00BE51F8">
      <w:pPr>
        <w:pStyle w:val="H23G"/>
        <w:rPr>
          <w:lang w:val="fr-FR"/>
        </w:rPr>
      </w:pPr>
      <w:r w:rsidRPr="00310D49">
        <w:rPr>
          <w:lang w:val="fr-FR"/>
        </w:rPr>
        <w:tab/>
      </w:r>
      <w:r w:rsidRPr="00310D49">
        <w:rPr>
          <w:lang w:val="fr-FR"/>
        </w:rPr>
        <w:tab/>
        <w:t>Violations du droit d</w:t>
      </w:r>
      <w:r w:rsidR="0035332C">
        <w:rPr>
          <w:lang w:val="fr-FR"/>
        </w:rPr>
        <w:t>’</w:t>
      </w:r>
      <w:r w:rsidRPr="00310D49">
        <w:rPr>
          <w:lang w:val="fr-FR"/>
        </w:rPr>
        <w:t>ester en justice par l</w:t>
      </w:r>
      <w:r w:rsidR="0035332C">
        <w:rPr>
          <w:lang w:val="fr-FR"/>
        </w:rPr>
        <w:t>’</w:t>
      </w:r>
      <w:r w:rsidRPr="00310D49">
        <w:rPr>
          <w:lang w:val="fr-FR"/>
        </w:rPr>
        <w:t>occupant israélien</w:t>
      </w:r>
    </w:p>
    <w:p w14:paraId="7E8F69E8" w14:textId="43BEF175" w:rsidR="00D005FA" w:rsidRPr="00310D49" w:rsidRDefault="00D005FA" w:rsidP="00BE51F8">
      <w:pPr>
        <w:pStyle w:val="SingleTxtG"/>
        <w:spacing w:before="120"/>
        <w:rPr>
          <w:lang w:val="fr-FR"/>
        </w:rPr>
      </w:pPr>
      <w:r w:rsidRPr="00310D49">
        <w:rPr>
          <w:lang w:val="fr-FR"/>
        </w:rPr>
        <w:t>292.</w:t>
      </w:r>
      <w:r w:rsidRPr="00310D49">
        <w:rPr>
          <w:lang w:val="fr-FR"/>
        </w:rPr>
        <w:tab/>
        <w:t>Les lois et décrets militaires promulgués par Israël, puissance occupante, empêchent l</w:t>
      </w:r>
      <w:r w:rsidR="0035332C">
        <w:rPr>
          <w:lang w:val="fr-FR"/>
        </w:rPr>
        <w:t>’</w:t>
      </w:r>
      <w:r w:rsidRPr="00310D49">
        <w:rPr>
          <w:lang w:val="fr-FR"/>
        </w:rPr>
        <w:t>exécution des décisions judiciaires, voire leur prononcement. Ainsi, le décret militaire n</w:t>
      </w:r>
      <w:r w:rsidR="00993E0C">
        <w:rPr>
          <w:vertAlign w:val="superscript"/>
          <w:lang w:val="fr-FR"/>
        </w:rPr>
        <w:t>o</w:t>
      </w:r>
      <w:r w:rsidR="00993E0C" w:rsidRPr="00993E0C">
        <w:rPr>
          <w:lang w:val="fr-FR"/>
        </w:rPr>
        <w:t> </w:t>
      </w:r>
      <w:r w:rsidRPr="00310D49">
        <w:rPr>
          <w:lang w:val="fr-FR"/>
        </w:rPr>
        <w:t>1060 dispose que les tribunaux palestiniens n</w:t>
      </w:r>
      <w:r w:rsidR="0035332C">
        <w:rPr>
          <w:lang w:val="fr-FR"/>
        </w:rPr>
        <w:t>’</w:t>
      </w:r>
      <w:r w:rsidRPr="00310D49">
        <w:rPr>
          <w:lang w:val="fr-FR"/>
        </w:rPr>
        <w:t>ont pas compétence pour connaître des revendications de propriété foncière en relation avec les différends avec les colons israéliens, c</w:t>
      </w:r>
      <w:r w:rsidR="0035332C">
        <w:rPr>
          <w:lang w:val="fr-FR"/>
        </w:rPr>
        <w:t>’</w:t>
      </w:r>
      <w:r w:rsidRPr="00310D49">
        <w:rPr>
          <w:lang w:val="fr-FR"/>
        </w:rPr>
        <w:t>est-à-dire qu</w:t>
      </w:r>
      <w:r w:rsidR="0035332C">
        <w:rPr>
          <w:lang w:val="fr-FR"/>
        </w:rPr>
        <w:t>’</w:t>
      </w:r>
      <w:r w:rsidRPr="00310D49">
        <w:rPr>
          <w:lang w:val="fr-FR"/>
        </w:rPr>
        <w:t>ils n</w:t>
      </w:r>
      <w:r w:rsidR="0035332C">
        <w:rPr>
          <w:lang w:val="fr-FR"/>
        </w:rPr>
        <w:t>’</w:t>
      </w:r>
      <w:r w:rsidRPr="00310D49">
        <w:rPr>
          <w:lang w:val="fr-FR"/>
        </w:rPr>
        <w:t>ont pas compétence pour examiner les contestations des Palestiniens relatives à la propriété foncière lorsque leur terre fait l</w:t>
      </w:r>
      <w:r w:rsidR="0035332C">
        <w:rPr>
          <w:lang w:val="fr-FR"/>
        </w:rPr>
        <w:t>’</w:t>
      </w:r>
      <w:r w:rsidRPr="00310D49">
        <w:rPr>
          <w:lang w:val="fr-FR"/>
        </w:rPr>
        <w:t>objet d</w:t>
      </w:r>
      <w:r w:rsidR="0035332C">
        <w:rPr>
          <w:lang w:val="fr-FR"/>
        </w:rPr>
        <w:t>’</w:t>
      </w:r>
      <w:r w:rsidRPr="00310D49">
        <w:rPr>
          <w:lang w:val="fr-FR"/>
        </w:rPr>
        <w:t>une décision de confiscation. En outre, le contrôle des routes par l</w:t>
      </w:r>
      <w:r w:rsidR="0035332C">
        <w:rPr>
          <w:lang w:val="fr-FR"/>
        </w:rPr>
        <w:t>’</w:t>
      </w:r>
      <w:r w:rsidRPr="00310D49">
        <w:rPr>
          <w:lang w:val="fr-FR"/>
        </w:rPr>
        <w:t>occupant et l</w:t>
      </w:r>
      <w:r w:rsidR="0035332C">
        <w:rPr>
          <w:lang w:val="fr-FR"/>
        </w:rPr>
        <w:t>’</w:t>
      </w:r>
      <w:r w:rsidRPr="00310D49">
        <w:rPr>
          <w:lang w:val="fr-FR"/>
        </w:rPr>
        <w:t>interdiction de déplacement constituent un obstacle à l</w:t>
      </w:r>
      <w:r w:rsidR="0035332C">
        <w:rPr>
          <w:lang w:val="fr-FR"/>
        </w:rPr>
        <w:t>’</w:t>
      </w:r>
      <w:r w:rsidRPr="00310D49">
        <w:rPr>
          <w:lang w:val="fr-FR"/>
        </w:rPr>
        <w:t>accès à la justice et à l</w:t>
      </w:r>
      <w:r w:rsidR="0035332C">
        <w:rPr>
          <w:lang w:val="fr-FR"/>
        </w:rPr>
        <w:t>’</w:t>
      </w:r>
      <w:r w:rsidRPr="00310D49">
        <w:rPr>
          <w:lang w:val="fr-FR"/>
        </w:rPr>
        <w:t>exécution des décisions et arrêts de justice.</w:t>
      </w:r>
    </w:p>
    <w:p w14:paraId="5EDEF360" w14:textId="77777777" w:rsidR="00D005FA" w:rsidRPr="00310D49" w:rsidRDefault="00D005FA" w:rsidP="00BE51F8">
      <w:pPr>
        <w:pStyle w:val="H23G"/>
        <w:rPr>
          <w:lang w:val="fr-FR"/>
        </w:rPr>
      </w:pPr>
      <w:r w:rsidRPr="00310D49">
        <w:rPr>
          <w:lang w:val="fr-FR"/>
        </w:rPr>
        <w:lastRenderedPageBreak/>
        <w:tab/>
      </w:r>
      <w:r w:rsidRPr="00310D49">
        <w:rPr>
          <w:lang w:val="fr-FR"/>
        </w:rPr>
        <w:tab/>
        <w:t>Tribunaux militaires israéliens</w:t>
      </w:r>
    </w:p>
    <w:p w14:paraId="2A2B91A7" w14:textId="3BF4C4E8" w:rsidR="00D005FA" w:rsidRPr="00310D49" w:rsidRDefault="00D005FA" w:rsidP="00BE51F8">
      <w:pPr>
        <w:pStyle w:val="SingleTxtG"/>
        <w:spacing w:before="120"/>
        <w:rPr>
          <w:lang w:val="fr-FR"/>
        </w:rPr>
      </w:pPr>
      <w:r w:rsidRPr="00310D49">
        <w:rPr>
          <w:lang w:val="fr-FR"/>
        </w:rPr>
        <w:t>293.</w:t>
      </w:r>
      <w:r w:rsidRPr="00310D49">
        <w:rPr>
          <w:lang w:val="fr-FR"/>
        </w:rPr>
        <w:tab/>
        <w:t>La justice militaire israélienne fait partie intégrante du système colonial et du régime d</w:t>
      </w:r>
      <w:r w:rsidR="0035332C">
        <w:rPr>
          <w:lang w:val="fr-FR"/>
        </w:rPr>
        <w:t>’</w:t>
      </w:r>
      <w:r w:rsidRPr="00310D49">
        <w:rPr>
          <w:lang w:val="fr-FR"/>
        </w:rPr>
        <w:t>oppression du peuple palestinien. Depuis le début de l</w:t>
      </w:r>
      <w:r w:rsidR="0035332C">
        <w:rPr>
          <w:lang w:val="fr-FR"/>
        </w:rPr>
        <w:t>’</w:t>
      </w:r>
      <w:r w:rsidRPr="00310D49">
        <w:rPr>
          <w:lang w:val="fr-FR"/>
        </w:rPr>
        <w:t>occupation israélienne, des tribunaux militaires israéliens ont été créés en application de décrets militaires israéliens. Les</w:t>
      </w:r>
      <w:r w:rsidR="00993E0C">
        <w:rPr>
          <w:lang w:val="fr-FR"/>
        </w:rPr>
        <w:t> </w:t>
      </w:r>
      <w:r w:rsidRPr="00310D49">
        <w:rPr>
          <w:lang w:val="fr-FR"/>
        </w:rPr>
        <w:t>juges et procureurs de ces tribunaux relèvent du système militaire israélien et ces tribunaux sont illégalement établis dans le pays de l</w:t>
      </w:r>
      <w:r w:rsidR="0035332C">
        <w:rPr>
          <w:lang w:val="fr-FR"/>
        </w:rPr>
        <w:t>’</w:t>
      </w:r>
      <w:r w:rsidRPr="00310D49">
        <w:rPr>
          <w:lang w:val="fr-FR"/>
        </w:rPr>
        <w:t>occupant. Cette situation se poursuit depuis plus de quarante ans, le jugement des civils par des tribunaux militaires qui était censé être l</w:t>
      </w:r>
      <w:r w:rsidR="0035332C">
        <w:rPr>
          <w:lang w:val="fr-FR"/>
        </w:rPr>
        <w:t>’</w:t>
      </w:r>
      <w:r w:rsidRPr="00310D49">
        <w:rPr>
          <w:lang w:val="fr-FR"/>
        </w:rPr>
        <w:t>exception étant devenu la règle. Quant à la proportion d</w:t>
      </w:r>
      <w:r w:rsidR="0035332C">
        <w:rPr>
          <w:lang w:val="fr-FR"/>
        </w:rPr>
        <w:t>’</w:t>
      </w:r>
      <w:r w:rsidRPr="00310D49">
        <w:rPr>
          <w:lang w:val="fr-FR"/>
        </w:rPr>
        <w:t xml:space="preserve">affaires examinées par les tribunaux militaires israéliens en Cisjordanie occupée et qui ont abouti à des condamnations contre des Palestiniens, elle se situe entre 95 et 99 %. </w:t>
      </w:r>
    </w:p>
    <w:p w14:paraId="647F7D19" w14:textId="517BF057" w:rsidR="00D005FA" w:rsidRPr="00310D49" w:rsidRDefault="00D005FA" w:rsidP="00BE51F8">
      <w:pPr>
        <w:pStyle w:val="SingleTxtG"/>
        <w:spacing w:before="120"/>
        <w:rPr>
          <w:lang w:val="fr-FR"/>
        </w:rPr>
      </w:pPr>
      <w:r w:rsidRPr="00310D49">
        <w:rPr>
          <w:lang w:val="fr-FR"/>
        </w:rPr>
        <w:t>294.</w:t>
      </w:r>
      <w:r w:rsidRPr="00310D49">
        <w:rPr>
          <w:lang w:val="fr-FR"/>
        </w:rPr>
        <w:tab/>
      </w:r>
      <w:r w:rsidRPr="000E213C">
        <w:rPr>
          <w:lang w:val="fr-FR"/>
        </w:rPr>
        <w:t xml:space="preserve">Les détenus palestiniens sont </w:t>
      </w:r>
      <w:r w:rsidR="000E213C" w:rsidRPr="000E213C">
        <w:rPr>
          <w:lang w:val="fr-FR"/>
        </w:rPr>
        <w:t>placés</w:t>
      </w:r>
      <w:r w:rsidRPr="000E213C">
        <w:rPr>
          <w:lang w:val="fr-FR"/>
        </w:rPr>
        <w:t xml:space="preserve"> dans</w:t>
      </w:r>
      <w:r w:rsidRPr="00310D49">
        <w:rPr>
          <w:lang w:val="fr-FR"/>
        </w:rPr>
        <w:t xml:space="preserve"> des prisons israéliennes pendant </w:t>
      </w:r>
      <w:r w:rsidR="00993E0C">
        <w:rPr>
          <w:lang w:val="fr-FR"/>
        </w:rPr>
        <w:t>quatre</w:t>
      </w:r>
      <w:r w:rsidR="00993E0C">
        <w:rPr>
          <w:lang w:val="fr-FR"/>
        </w:rPr>
        <w:noBreakHyphen/>
        <w:t>vingt-dix</w:t>
      </w:r>
      <w:r w:rsidRPr="00310D49">
        <w:rPr>
          <w:lang w:val="fr-FR"/>
        </w:rPr>
        <w:t xml:space="preserve"> jours, cette durée pouvant être prolongé</w:t>
      </w:r>
      <w:r w:rsidR="00993E0C">
        <w:rPr>
          <w:lang w:val="fr-FR"/>
        </w:rPr>
        <w:t>e</w:t>
      </w:r>
      <w:r w:rsidRPr="00310D49">
        <w:rPr>
          <w:lang w:val="fr-FR"/>
        </w:rPr>
        <w:t xml:space="preserve"> sans chef d</w:t>
      </w:r>
      <w:r w:rsidR="0035332C">
        <w:rPr>
          <w:lang w:val="fr-FR"/>
        </w:rPr>
        <w:t>’</w:t>
      </w:r>
      <w:r w:rsidRPr="00310D49">
        <w:rPr>
          <w:lang w:val="fr-FR"/>
        </w:rPr>
        <w:t>inculpation. Outre les obstacles auxquels se heurtent les détenus pour rencontrer leurs avocats, la grande majorité d</w:t>
      </w:r>
      <w:r w:rsidR="0035332C">
        <w:rPr>
          <w:lang w:val="fr-FR"/>
        </w:rPr>
        <w:t>’</w:t>
      </w:r>
      <w:r w:rsidRPr="00310D49">
        <w:rPr>
          <w:lang w:val="fr-FR"/>
        </w:rPr>
        <w:t>entre eux est incarcérée dans des prisons situées en dehors du territoire palestinien occupé et sont souvent soumis à la torture et à des traitements dégradants pour leur extorquer des aveux. Les organes judiciaires militaires examinent les charges retenues contre le détenu sans l</w:t>
      </w:r>
      <w:r w:rsidR="0035332C">
        <w:rPr>
          <w:lang w:val="fr-FR"/>
        </w:rPr>
        <w:t>’</w:t>
      </w:r>
      <w:r w:rsidRPr="00310D49">
        <w:rPr>
          <w:lang w:val="fr-FR"/>
        </w:rPr>
        <w:t>informer ou en informer son représentant légal sous prétexte de «</w:t>
      </w:r>
      <w:r w:rsidR="00993E0C">
        <w:rPr>
          <w:lang w:val="fr-FR"/>
        </w:rPr>
        <w:t> </w:t>
      </w:r>
      <w:r w:rsidRPr="00310D49">
        <w:rPr>
          <w:lang w:val="fr-FR"/>
        </w:rPr>
        <w:t xml:space="preserve">dossier </w:t>
      </w:r>
      <w:r w:rsidR="000E213C">
        <w:rPr>
          <w:lang w:val="fr-FR"/>
        </w:rPr>
        <w:t>confidentiel</w:t>
      </w:r>
      <w:r w:rsidR="00993E0C">
        <w:rPr>
          <w:lang w:val="fr-FR"/>
        </w:rPr>
        <w:t> </w:t>
      </w:r>
      <w:r w:rsidRPr="00310D49">
        <w:rPr>
          <w:lang w:val="fr-FR"/>
        </w:rPr>
        <w:t>». Ainsi, le tribunal, après avoir été informé de ce dossier par le parquet militaire, se prononce sur la légalité de la détention, sa prolongation, ou son annulation. Quant aux procédures judiciaires, elles se déroulent en hébreu, une langue que les Palestiniens ne maîtrisent pas, en plus du fait que tous les documents établis par le tribunal sont en hébreu, même ceux que les accusés sont obligés de signer pendant la durée de leur détention. En outre, les décisions des tribunaux militaires ne peuvent faire l</w:t>
      </w:r>
      <w:r w:rsidR="0035332C">
        <w:rPr>
          <w:lang w:val="fr-FR"/>
        </w:rPr>
        <w:t>’</w:t>
      </w:r>
      <w:r w:rsidRPr="00310D49">
        <w:rPr>
          <w:lang w:val="fr-FR"/>
        </w:rPr>
        <w:t>objet d</w:t>
      </w:r>
      <w:r w:rsidR="0035332C">
        <w:rPr>
          <w:lang w:val="fr-FR"/>
        </w:rPr>
        <w:t>’</w:t>
      </w:r>
      <w:r w:rsidRPr="00310D49">
        <w:rPr>
          <w:lang w:val="fr-FR"/>
        </w:rPr>
        <w:t>un appel ou d</w:t>
      </w:r>
      <w:r w:rsidR="0035332C">
        <w:rPr>
          <w:lang w:val="fr-FR"/>
        </w:rPr>
        <w:t>’</w:t>
      </w:r>
      <w:r w:rsidRPr="00310D49">
        <w:rPr>
          <w:lang w:val="fr-FR"/>
        </w:rPr>
        <w:t>un pourvoi en cassation devant d</w:t>
      </w:r>
      <w:r w:rsidR="0035332C">
        <w:rPr>
          <w:lang w:val="fr-FR"/>
        </w:rPr>
        <w:t>’</w:t>
      </w:r>
      <w:r w:rsidRPr="00310D49">
        <w:rPr>
          <w:lang w:val="fr-FR"/>
        </w:rPr>
        <w:t>autres tribunaux en dehors du système militaire de l</w:t>
      </w:r>
      <w:r w:rsidR="0035332C">
        <w:rPr>
          <w:lang w:val="fr-FR"/>
        </w:rPr>
        <w:t>’</w:t>
      </w:r>
      <w:r w:rsidRPr="00310D49">
        <w:rPr>
          <w:lang w:val="fr-FR"/>
        </w:rPr>
        <w:t>occupant.</w:t>
      </w:r>
    </w:p>
    <w:p w14:paraId="09EF0239" w14:textId="4CDC38BD" w:rsidR="00D005FA" w:rsidRPr="00310D49" w:rsidRDefault="00D005FA" w:rsidP="00BE51F8">
      <w:pPr>
        <w:pStyle w:val="H1G"/>
        <w:rPr>
          <w:lang w:val="fr-FR"/>
        </w:rPr>
      </w:pPr>
      <w:r w:rsidRPr="00310D49">
        <w:rPr>
          <w:lang w:val="fr-FR"/>
        </w:rPr>
        <w:tab/>
      </w:r>
      <w:r w:rsidRPr="00310D49">
        <w:rPr>
          <w:lang w:val="fr-FR"/>
        </w:rPr>
        <w:tab/>
        <w:t>Article 15</w:t>
      </w:r>
      <w:bookmarkStart w:id="17" w:name="_Toc80715504"/>
      <w:bookmarkEnd w:id="17"/>
    </w:p>
    <w:p w14:paraId="31350BE4" w14:textId="511F38A2" w:rsidR="00D005FA" w:rsidRPr="00310D49" w:rsidRDefault="00D005FA" w:rsidP="00BE51F8">
      <w:pPr>
        <w:pStyle w:val="SingleTxtG"/>
        <w:spacing w:before="120"/>
        <w:rPr>
          <w:lang w:val="fr-FR"/>
        </w:rPr>
      </w:pPr>
      <w:r w:rsidRPr="00310D49">
        <w:rPr>
          <w:lang w:val="fr-FR"/>
        </w:rPr>
        <w:t>295.</w:t>
      </w:r>
      <w:r w:rsidRPr="00310D49">
        <w:rPr>
          <w:lang w:val="fr-FR"/>
        </w:rPr>
        <w:tab/>
        <w:t>L</w:t>
      </w:r>
      <w:r w:rsidR="0035332C">
        <w:rPr>
          <w:lang w:val="fr-FR"/>
        </w:rPr>
        <w:t>’</w:t>
      </w:r>
      <w:r w:rsidRPr="00310D49">
        <w:rPr>
          <w:lang w:val="fr-FR"/>
        </w:rPr>
        <w:t>article 15 de la Loi fondamentale, telle que modifiée, consacre le principe de non</w:t>
      </w:r>
      <w:r w:rsidR="00993E0C">
        <w:rPr>
          <w:lang w:val="fr-FR"/>
        </w:rPr>
        <w:noBreakHyphen/>
      </w:r>
      <w:r w:rsidRPr="00310D49">
        <w:rPr>
          <w:lang w:val="fr-FR"/>
        </w:rPr>
        <w:t>rétroactivité de la loi en ces termes</w:t>
      </w:r>
      <w:r w:rsidR="00A53B5A">
        <w:rPr>
          <w:lang w:val="fr-FR"/>
        </w:rPr>
        <w:t> </w:t>
      </w:r>
      <w:r w:rsidRPr="00310D49">
        <w:rPr>
          <w:lang w:val="fr-FR"/>
        </w:rPr>
        <w:t>: «</w:t>
      </w:r>
      <w:r w:rsidR="00993E0C">
        <w:rPr>
          <w:lang w:val="fr-FR"/>
        </w:rPr>
        <w:t> </w:t>
      </w:r>
      <w:r w:rsidRPr="00310D49">
        <w:rPr>
          <w:lang w:val="fr-FR"/>
        </w:rPr>
        <w:t>Toute peine est individualisée. Il n</w:t>
      </w:r>
      <w:r w:rsidR="0035332C">
        <w:rPr>
          <w:lang w:val="fr-FR"/>
        </w:rPr>
        <w:t>’</w:t>
      </w:r>
      <w:r w:rsidRPr="00310D49">
        <w:rPr>
          <w:lang w:val="fr-FR"/>
        </w:rPr>
        <w:t>y a d</w:t>
      </w:r>
      <w:r w:rsidR="0035332C">
        <w:rPr>
          <w:lang w:val="fr-FR"/>
        </w:rPr>
        <w:t>’</w:t>
      </w:r>
      <w:r w:rsidRPr="00310D49">
        <w:rPr>
          <w:lang w:val="fr-FR"/>
        </w:rPr>
        <w:t>infraction et de peine qu</w:t>
      </w:r>
      <w:r w:rsidR="0035332C">
        <w:rPr>
          <w:lang w:val="fr-FR"/>
        </w:rPr>
        <w:t>’</w:t>
      </w:r>
      <w:r w:rsidRPr="00310D49">
        <w:rPr>
          <w:lang w:val="fr-FR"/>
        </w:rPr>
        <w:t>en vertu d</w:t>
      </w:r>
      <w:r w:rsidR="0035332C">
        <w:rPr>
          <w:lang w:val="fr-FR"/>
        </w:rPr>
        <w:t>’</w:t>
      </w:r>
      <w:r w:rsidRPr="00310D49">
        <w:rPr>
          <w:lang w:val="fr-FR"/>
        </w:rPr>
        <w:t>une loi. Une peine ne peut être infligée que si elle est prononcée par un tribunal et ne peut s</w:t>
      </w:r>
      <w:r w:rsidR="0035332C">
        <w:rPr>
          <w:lang w:val="fr-FR"/>
        </w:rPr>
        <w:t>’</w:t>
      </w:r>
      <w:r w:rsidRPr="00310D49">
        <w:rPr>
          <w:lang w:val="fr-FR"/>
        </w:rPr>
        <w:t>appliquer qu</w:t>
      </w:r>
      <w:r w:rsidR="0035332C">
        <w:rPr>
          <w:lang w:val="fr-FR"/>
        </w:rPr>
        <w:t>’</w:t>
      </w:r>
      <w:r w:rsidRPr="00310D49">
        <w:rPr>
          <w:lang w:val="fr-FR"/>
        </w:rPr>
        <w:t>à des actes commis postérieurement à la date d</w:t>
      </w:r>
      <w:r w:rsidR="0035332C">
        <w:rPr>
          <w:lang w:val="fr-FR"/>
        </w:rPr>
        <w:t>’</w:t>
      </w:r>
      <w:r w:rsidRPr="00310D49">
        <w:rPr>
          <w:lang w:val="fr-FR"/>
        </w:rPr>
        <w:t>entrée en vigueur de la loi les sanctionnant</w:t>
      </w:r>
      <w:r w:rsidR="00993E0C">
        <w:rPr>
          <w:lang w:val="fr-FR"/>
        </w:rPr>
        <w:t>. </w:t>
      </w:r>
      <w:r w:rsidRPr="00310D49">
        <w:rPr>
          <w:lang w:val="fr-FR"/>
        </w:rPr>
        <w:t>». De même, la législation pénale en vigueur prévoit le principe de non-rétroactivité de la loi en disposant que nul ne peut être puni d</w:t>
      </w:r>
      <w:r w:rsidR="0035332C">
        <w:rPr>
          <w:lang w:val="fr-FR"/>
        </w:rPr>
        <w:t>’</w:t>
      </w:r>
      <w:r w:rsidRPr="00310D49">
        <w:rPr>
          <w:lang w:val="fr-FR"/>
        </w:rPr>
        <w:t>une peine qui n</w:t>
      </w:r>
      <w:r w:rsidR="0035332C">
        <w:rPr>
          <w:lang w:val="fr-FR"/>
        </w:rPr>
        <w:t>’</w:t>
      </w:r>
      <w:r w:rsidRPr="00310D49">
        <w:rPr>
          <w:lang w:val="fr-FR"/>
        </w:rPr>
        <w:t>est pas prévue par la loi au moment où l</w:t>
      </w:r>
      <w:r w:rsidR="0035332C">
        <w:rPr>
          <w:lang w:val="fr-FR"/>
        </w:rPr>
        <w:t>’</w:t>
      </w:r>
      <w:r w:rsidRPr="00310D49">
        <w:rPr>
          <w:lang w:val="fr-FR"/>
        </w:rPr>
        <w:t>infraction est commise et en prévoyant une exception selon laquelle l</w:t>
      </w:r>
      <w:r w:rsidR="0035332C">
        <w:rPr>
          <w:lang w:val="fr-FR"/>
        </w:rPr>
        <w:t>’</w:t>
      </w:r>
      <w:r w:rsidRPr="00310D49">
        <w:rPr>
          <w:lang w:val="fr-FR"/>
        </w:rPr>
        <w:t xml:space="preserve">accusé doit pouvoir bénéficier de la loi qui lui est la plus favorable avant que ne soit rendu un jugement définitif dans son affaire. </w:t>
      </w:r>
    </w:p>
    <w:p w14:paraId="5B15F2BB" w14:textId="770A7334" w:rsidR="00D005FA" w:rsidRPr="00310D49" w:rsidRDefault="00D005FA" w:rsidP="00BE51F8">
      <w:pPr>
        <w:pStyle w:val="H1G"/>
        <w:rPr>
          <w:szCs w:val="24"/>
          <w:lang w:val="fr-FR"/>
        </w:rPr>
      </w:pPr>
      <w:r w:rsidRPr="00310D49">
        <w:rPr>
          <w:lang w:val="fr-FR"/>
        </w:rPr>
        <w:tab/>
      </w:r>
      <w:r w:rsidRPr="00310D49">
        <w:rPr>
          <w:lang w:val="fr-FR"/>
        </w:rPr>
        <w:tab/>
      </w:r>
      <w:r w:rsidRPr="00310D49">
        <w:rPr>
          <w:szCs w:val="24"/>
          <w:lang w:val="fr-FR"/>
        </w:rPr>
        <w:t>Article 16</w:t>
      </w:r>
      <w:bookmarkStart w:id="18" w:name="_Toc80715505"/>
      <w:bookmarkEnd w:id="18"/>
    </w:p>
    <w:p w14:paraId="740DE605" w14:textId="14A68247" w:rsidR="00D005FA" w:rsidRPr="00310D49" w:rsidRDefault="00D005FA" w:rsidP="00BE51F8">
      <w:pPr>
        <w:pStyle w:val="SingleTxtG"/>
        <w:spacing w:before="120"/>
        <w:rPr>
          <w:lang w:val="fr-FR"/>
        </w:rPr>
      </w:pPr>
      <w:r w:rsidRPr="00310D49">
        <w:rPr>
          <w:lang w:val="fr-FR"/>
        </w:rPr>
        <w:t>296.</w:t>
      </w:r>
      <w:r w:rsidRPr="00310D49">
        <w:rPr>
          <w:lang w:val="fr-FR"/>
        </w:rPr>
        <w:tab/>
        <w:t>Tout être humain a droit à la reconnaissance de sa personnalité juridique (capacité de jouissance), qui commence avec le fait d</w:t>
      </w:r>
      <w:r w:rsidR="0035332C">
        <w:rPr>
          <w:lang w:val="fr-FR"/>
        </w:rPr>
        <w:t>’</w:t>
      </w:r>
      <w:r w:rsidRPr="00310D49">
        <w:rPr>
          <w:lang w:val="fr-FR"/>
        </w:rPr>
        <w:t>être un fœtus et se poursuit tout au long de la vie jusqu</w:t>
      </w:r>
      <w:r w:rsidR="0035332C">
        <w:rPr>
          <w:lang w:val="fr-FR"/>
        </w:rPr>
        <w:t>’</w:t>
      </w:r>
      <w:r w:rsidRPr="00310D49">
        <w:rPr>
          <w:lang w:val="fr-FR"/>
        </w:rPr>
        <w:t>à la mort. L</w:t>
      </w:r>
      <w:r w:rsidR="0035332C">
        <w:rPr>
          <w:lang w:val="fr-FR"/>
        </w:rPr>
        <w:t>’</w:t>
      </w:r>
      <w:r w:rsidRPr="00310D49">
        <w:rPr>
          <w:lang w:val="fr-FR"/>
        </w:rPr>
        <w:t>article</w:t>
      </w:r>
      <w:r w:rsidR="00993E0C">
        <w:rPr>
          <w:lang w:val="fr-FR"/>
        </w:rPr>
        <w:t> </w:t>
      </w:r>
      <w:r w:rsidRPr="00310D49">
        <w:rPr>
          <w:lang w:val="fr-FR"/>
        </w:rPr>
        <w:t>17 du Code de l</w:t>
      </w:r>
      <w:r w:rsidR="0035332C">
        <w:rPr>
          <w:lang w:val="fr-FR"/>
        </w:rPr>
        <w:t>’</w:t>
      </w:r>
      <w:r w:rsidRPr="00310D49">
        <w:rPr>
          <w:lang w:val="fr-FR"/>
        </w:rPr>
        <w:t>enfance palestinien, tel que modifié par la loi n</w:t>
      </w:r>
      <w:r w:rsidR="009E2AB8" w:rsidRPr="009E2AB8">
        <w:rPr>
          <w:vertAlign w:val="superscript"/>
          <w:lang w:val="fr-FR"/>
        </w:rPr>
        <w:t>o</w:t>
      </w:r>
      <w:r w:rsidR="009E2AB8">
        <w:rPr>
          <w:lang w:val="fr-FR"/>
        </w:rPr>
        <w:t> </w:t>
      </w:r>
      <w:r w:rsidRPr="00310D49">
        <w:rPr>
          <w:lang w:val="fr-FR"/>
        </w:rPr>
        <w:t>7 de 2004, précise que «</w:t>
      </w:r>
      <w:r w:rsidR="009E2AB8">
        <w:rPr>
          <w:lang w:val="fr-FR"/>
        </w:rPr>
        <w:t> </w:t>
      </w:r>
      <w:r w:rsidRPr="00310D49">
        <w:rPr>
          <w:lang w:val="fr-FR"/>
        </w:rPr>
        <w:t>[t]out enfant a droit à la reconnaissance de sa personnalité juridique</w:t>
      </w:r>
      <w:r w:rsidR="009E2AB8">
        <w:rPr>
          <w:lang w:val="fr-FR"/>
        </w:rPr>
        <w:t> </w:t>
      </w:r>
      <w:r w:rsidRPr="00310D49">
        <w:rPr>
          <w:lang w:val="fr-FR"/>
        </w:rPr>
        <w:t xml:space="preserve">». </w:t>
      </w:r>
    </w:p>
    <w:p w14:paraId="543E31D8" w14:textId="7E40B69C" w:rsidR="00D005FA" w:rsidRPr="00310D49" w:rsidRDefault="00D005FA" w:rsidP="00BE51F8">
      <w:pPr>
        <w:pStyle w:val="SingleTxtG"/>
        <w:spacing w:before="120"/>
        <w:rPr>
          <w:spacing w:val="-4"/>
          <w:lang w:val="fr-FR"/>
        </w:rPr>
      </w:pPr>
      <w:r w:rsidRPr="00310D49">
        <w:rPr>
          <w:lang w:val="fr-FR"/>
        </w:rPr>
        <w:t>297.</w:t>
      </w:r>
      <w:r w:rsidRPr="00310D49">
        <w:rPr>
          <w:lang w:val="fr-FR"/>
        </w:rPr>
        <w:tab/>
        <w:t>En ce qui concerne la capacité d</w:t>
      </w:r>
      <w:r w:rsidR="0035332C">
        <w:rPr>
          <w:lang w:val="fr-FR"/>
        </w:rPr>
        <w:t>’</w:t>
      </w:r>
      <w:r w:rsidRPr="00310D49">
        <w:rPr>
          <w:lang w:val="fr-FR"/>
        </w:rPr>
        <w:t>exercice, l</w:t>
      </w:r>
      <w:r w:rsidR="0035332C">
        <w:rPr>
          <w:lang w:val="fr-FR"/>
        </w:rPr>
        <w:t>’</w:t>
      </w:r>
      <w:r w:rsidRPr="00310D49">
        <w:rPr>
          <w:lang w:val="fr-FR"/>
        </w:rPr>
        <w:t>article 943 de la Majallah el</w:t>
      </w:r>
      <w:r w:rsidR="0083159E">
        <w:rPr>
          <w:lang w:val="fr-FR"/>
        </w:rPr>
        <w:noBreakHyphen/>
      </w:r>
      <w:r w:rsidRPr="00310D49">
        <w:rPr>
          <w:lang w:val="fr-FR"/>
        </w:rPr>
        <w:t>Ahkam</w:t>
      </w:r>
      <w:r w:rsidR="0083159E">
        <w:rPr>
          <w:lang w:val="fr-FR"/>
        </w:rPr>
        <w:noBreakHyphen/>
      </w:r>
      <w:r w:rsidRPr="00310D49">
        <w:rPr>
          <w:lang w:val="fr-FR"/>
        </w:rPr>
        <w:t>i</w:t>
      </w:r>
      <w:r w:rsidR="0083159E">
        <w:rPr>
          <w:lang w:val="fr-FR"/>
        </w:rPr>
        <w:noBreakHyphen/>
      </w:r>
      <w:r w:rsidRPr="00310D49">
        <w:rPr>
          <w:lang w:val="fr-FR"/>
        </w:rPr>
        <w:t>Adliya (faisant office de Code civil) de l</w:t>
      </w:r>
      <w:r w:rsidR="0035332C">
        <w:rPr>
          <w:lang w:val="fr-FR"/>
        </w:rPr>
        <w:t>’</w:t>
      </w:r>
      <w:r w:rsidRPr="00310D49">
        <w:rPr>
          <w:lang w:val="fr-FR"/>
        </w:rPr>
        <w:t>an 1293 de l</w:t>
      </w:r>
      <w:r w:rsidR="0035332C">
        <w:rPr>
          <w:lang w:val="fr-FR"/>
        </w:rPr>
        <w:t>’</w:t>
      </w:r>
      <w:r w:rsidRPr="00310D49">
        <w:rPr>
          <w:lang w:val="fr-FR"/>
        </w:rPr>
        <w:t>hégire dispose que le mineur non doué de discernement « est celui qui ne comprend pas ce que sont la vente et l</w:t>
      </w:r>
      <w:r w:rsidR="0035332C">
        <w:rPr>
          <w:lang w:val="fr-FR"/>
        </w:rPr>
        <w:t>’</w:t>
      </w:r>
      <w:r w:rsidRPr="00310D49">
        <w:rPr>
          <w:lang w:val="fr-FR"/>
        </w:rPr>
        <w:t>achat de biens, c</w:t>
      </w:r>
      <w:r w:rsidR="0035332C">
        <w:rPr>
          <w:lang w:val="fr-FR"/>
        </w:rPr>
        <w:t>’</w:t>
      </w:r>
      <w:r w:rsidRPr="00310D49">
        <w:rPr>
          <w:lang w:val="fr-FR"/>
        </w:rPr>
        <w:t>est-à-dire qu</w:t>
      </w:r>
      <w:r w:rsidR="0035332C">
        <w:rPr>
          <w:lang w:val="fr-FR"/>
        </w:rPr>
        <w:t>’</w:t>
      </w:r>
      <w:r w:rsidRPr="00310D49">
        <w:rPr>
          <w:lang w:val="fr-FR"/>
        </w:rPr>
        <w:t>il ne sait pas que la vente d</w:t>
      </w:r>
      <w:r w:rsidR="0035332C">
        <w:rPr>
          <w:lang w:val="fr-FR"/>
        </w:rPr>
        <w:t>’</w:t>
      </w:r>
      <w:r w:rsidRPr="00310D49">
        <w:rPr>
          <w:lang w:val="fr-FR"/>
        </w:rPr>
        <w:t>un bien implique que l</w:t>
      </w:r>
      <w:r w:rsidR="0035332C">
        <w:rPr>
          <w:lang w:val="fr-FR"/>
        </w:rPr>
        <w:t>’</w:t>
      </w:r>
      <w:r w:rsidRPr="00310D49">
        <w:rPr>
          <w:lang w:val="fr-FR"/>
        </w:rPr>
        <w:t>on perd sa propriété et que l</w:t>
      </w:r>
      <w:r w:rsidR="0035332C">
        <w:rPr>
          <w:lang w:val="fr-FR"/>
        </w:rPr>
        <w:t>’</w:t>
      </w:r>
      <w:r w:rsidRPr="00310D49">
        <w:rPr>
          <w:lang w:val="fr-FR"/>
        </w:rPr>
        <w:t>achat d</w:t>
      </w:r>
      <w:r w:rsidR="0035332C">
        <w:rPr>
          <w:lang w:val="fr-FR"/>
        </w:rPr>
        <w:t>’</w:t>
      </w:r>
      <w:r w:rsidRPr="00310D49">
        <w:rPr>
          <w:lang w:val="fr-FR"/>
        </w:rPr>
        <w:t>un bien veut dire que l</w:t>
      </w:r>
      <w:r w:rsidR="0035332C">
        <w:rPr>
          <w:lang w:val="fr-FR"/>
        </w:rPr>
        <w:t>’</w:t>
      </w:r>
      <w:r w:rsidRPr="00310D49">
        <w:rPr>
          <w:lang w:val="fr-FR"/>
        </w:rPr>
        <w:t>on acquiert sa propriété, et ne distingue pas l</w:t>
      </w:r>
      <w:r w:rsidR="0035332C">
        <w:rPr>
          <w:lang w:val="fr-FR"/>
        </w:rPr>
        <w:t>’</w:t>
      </w:r>
      <w:r w:rsidRPr="00310D49">
        <w:rPr>
          <w:lang w:val="fr-FR"/>
        </w:rPr>
        <w:t>apparente iniquité scandaleuse ». Il convient de souligner que les femmes ont la même capacité juridique que les hommes.</w:t>
      </w:r>
    </w:p>
    <w:p w14:paraId="710B1830" w14:textId="5182D0D1" w:rsidR="00D005FA" w:rsidRPr="00310D49" w:rsidRDefault="00D005FA" w:rsidP="007E3114">
      <w:pPr>
        <w:pStyle w:val="SingleTxtG"/>
        <w:spacing w:before="120"/>
        <w:rPr>
          <w:lang w:val="fr-FR"/>
        </w:rPr>
      </w:pPr>
      <w:r w:rsidRPr="00310D49">
        <w:rPr>
          <w:lang w:val="fr-FR"/>
        </w:rPr>
        <w:t>298.</w:t>
      </w:r>
      <w:r w:rsidRPr="00310D49">
        <w:rPr>
          <w:lang w:val="fr-FR"/>
        </w:rPr>
        <w:tab/>
        <w:t>De plus, les codes civil, pénal et administratif n</w:t>
      </w:r>
      <w:r w:rsidR="0035332C">
        <w:rPr>
          <w:lang w:val="fr-FR"/>
        </w:rPr>
        <w:t>’</w:t>
      </w:r>
      <w:r w:rsidRPr="00310D49">
        <w:rPr>
          <w:lang w:val="fr-FR"/>
        </w:rPr>
        <w:t>établissent aucune distinction entre le témoignage judiciaire de la femme et celui de l</w:t>
      </w:r>
      <w:r w:rsidR="0035332C">
        <w:rPr>
          <w:lang w:val="fr-FR"/>
        </w:rPr>
        <w:t>’</w:t>
      </w:r>
      <w:r w:rsidRPr="00310D49">
        <w:rPr>
          <w:lang w:val="fr-FR"/>
        </w:rPr>
        <w:t>homme et quant à leur importance. Les cas où la personne est habilitée à témoigner ou à être auditionnée pour consultation ou les cas où elle n</w:t>
      </w:r>
      <w:r w:rsidR="0035332C">
        <w:rPr>
          <w:lang w:val="fr-FR"/>
        </w:rPr>
        <w:t>’</w:t>
      </w:r>
      <w:r w:rsidRPr="00310D49">
        <w:rPr>
          <w:lang w:val="fr-FR"/>
        </w:rPr>
        <w:t>est pas habilitée à témoigner ou à être auditionnée devant la justice sont les mêmes pour l</w:t>
      </w:r>
      <w:r w:rsidR="0035332C">
        <w:rPr>
          <w:lang w:val="fr-FR"/>
        </w:rPr>
        <w:t>’</w:t>
      </w:r>
      <w:r w:rsidRPr="00310D49">
        <w:rPr>
          <w:lang w:val="fr-FR"/>
        </w:rPr>
        <w:t xml:space="preserve">homme que pour la femme. Il existe en revanche dans les tribunaux charaïques une </w:t>
      </w:r>
      <w:r w:rsidRPr="00310D49">
        <w:rPr>
          <w:lang w:val="fr-FR"/>
        </w:rPr>
        <w:lastRenderedPageBreak/>
        <w:t xml:space="preserve">distinction entre leur témoignage en matière de contrats de mariage où le témoignage de </w:t>
      </w:r>
      <w:r w:rsidRPr="00760765">
        <w:rPr>
          <w:lang w:val="fr-FR"/>
        </w:rPr>
        <w:t>l</w:t>
      </w:r>
      <w:r w:rsidR="0035332C">
        <w:rPr>
          <w:lang w:val="fr-FR"/>
        </w:rPr>
        <w:t>’</w:t>
      </w:r>
      <w:r w:rsidRPr="00760765">
        <w:rPr>
          <w:lang w:val="fr-FR"/>
        </w:rPr>
        <w:t>homme vaut celui de deux</w:t>
      </w:r>
      <w:r w:rsidRPr="00310D49">
        <w:rPr>
          <w:lang w:val="fr-FR"/>
        </w:rPr>
        <w:t xml:space="preserve"> femmes.</w:t>
      </w:r>
    </w:p>
    <w:p w14:paraId="51ABD8C8" w14:textId="49D9314D" w:rsidR="00D005FA" w:rsidRPr="00310D49" w:rsidRDefault="00D005FA" w:rsidP="00BE51F8">
      <w:pPr>
        <w:pStyle w:val="SingleTxtG"/>
        <w:spacing w:before="120"/>
        <w:rPr>
          <w:lang w:val="fr-FR"/>
        </w:rPr>
      </w:pPr>
      <w:r w:rsidRPr="00310D49">
        <w:rPr>
          <w:lang w:val="fr-FR"/>
        </w:rPr>
        <w:t>299.</w:t>
      </w:r>
      <w:r w:rsidRPr="00310D49">
        <w:rPr>
          <w:lang w:val="fr-FR"/>
        </w:rPr>
        <w:tab/>
        <w:t>Concernant le patrimoine financier des conjoints, le régime en vigueur en Palestine repose sur la séparation des biens. Chaque conjoint conserve ses biens et tous les gains acquis pendant la vie commune. Chacun des deux conjoints a également le droit de posséder, d</w:t>
      </w:r>
      <w:r w:rsidR="0035332C">
        <w:rPr>
          <w:lang w:val="fr-FR"/>
        </w:rPr>
        <w:t>’</w:t>
      </w:r>
      <w:r w:rsidRPr="00310D49">
        <w:rPr>
          <w:lang w:val="fr-FR"/>
        </w:rPr>
        <w:t>administrer et de disposer de ses biens de façon indépendante sans avoir besoin de la tutelle ou de l</w:t>
      </w:r>
      <w:r w:rsidR="0035332C">
        <w:rPr>
          <w:lang w:val="fr-FR"/>
        </w:rPr>
        <w:t>’</w:t>
      </w:r>
      <w:r w:rsidRPr="00310D49">
        <w:rPr>
          <w:lang w:val="fr-FR"/>
        </w:rPr>
        <w:t>autorisation de l</w:t>
      </w:r>
      <w:r w:rsidR="0035332C">
        <w:rPr>
          <w:lang w:val="fr-FR"/>
        </w:rPr>
        <w:t>’</w:t>
      </w:r>
      <w:r w:rsidRPr="00310D49">
        <w:rPr>
          <w:lang w:val="fr-FR"/>
        </w:rPr>
        <w:t>autre conjoint. La femme mariée conserve son nom de jeune fille et l</w:t>
      </w:r>
      <w:r w:rsidR="0035332C">
        <w:rPr>
          <w:lang w:val="fr-FR"/>
        </w:rPr>
        <w:t>’</w:t>
      </w:r>
      <w:r w:rsidRPr="00310D49">
        <w:rPr>
          <w:lang w:val="fr-FR"/>
        </w:rPr>
        <w:t>utilise dans tous les actes officiels.</w:t>
      </w:r>
    </w:p>
    <w:p w14:paraId="48A8477F" w14:textId="54A6C871" w:rsidR="00D005FA" w:rsidRPr="00310D49" w:rsidRDefault="00D005FA" w:rsidP="00BE51F8">
      <w:pPr>
        <w:pStyle w:val="SingleTxtG"/>
        <w:spacing w:before="120"/>
        <w:rPr>
          <w:lang w:val="fr-FR"/>
        </w:rPr>
      </w:pPr>
      <w:r w:rsidRPr="00310D49">
        <w:rPr>
          <w:lang w:val="fr-FR"/>
        </w:rPr>
        <w:t>300.</w:t>
      </w:r>
      <w:r w:rsidRPr="00310D49">
        <w:rPr>
          <w:lang w:val="fr-FR"/>
        </w:rPr>
        <w:tab/>
        <w:t>La loi n</w:t>
      </w:r>
      <w:r w:rsidR="00D32762">
        <w:rPr>
          <w:vertAlign w:val="superscript"/>
          <w:lang w:val="fr-FR"/>
        </w:rPr>
        <w:t>o</w:t>
      </w:r>
      <w:r w:rsidR="00D32762" w:rsidRPr="00D32762">
        <w:rPr>
          <w:lang w:val="fr-FR"/>
        </w:rPr>
        <w:t> </w:t>
      </w:r>
      <w:r w:rsidRPr="00310D49">
        <w:rPr>
          <w:lang w:val="fr-FR"/>
        </w:rPr>
        <w:t>2 de 1999 sur l</w:t>
      </w:r>
      <w:r w:rsidR="0035332C">
        <w:rPr>
          <w:lang w:val="fr-FR"/>
        </w:rPr>
        <w:t>’</w:t>
      </w:r>
      <w:r w:rsidRPr="00310D49">
        <w:rPr>
          <w:lang w:val="fr-FR"/>
        </w:rPr>
        <w:t>état civil prévoit les procédures à suivre et les documents à fournir pour signaler la naissance d</w:t>
      </w:r>
      <w:r w:rsidR="0035332C">
        <w:rPr>
          <w:lang w:val="fr-FR"/>
        </w:rPr>
        <w:t>’</w:t>
      </w:r>
      <w:r w:rsidRPr="00310D49">
        <w:rPr>
          <w:lang w:val="fr-FR"/>
        </w:rPr>
        <w:t>un citoyen, d</w:t>
      </w:r>
      <w:r w:rsidR="0035332C">
        <w:rPr>
          <w:lang w:val="fr-FR"/>
        </w:rPr>
        <w:t>’</w:t>
      </w:r>
      <w:r w:rsidRPr="00310D49">
        <w:rPr>
          <w:lang w:val="fr-FR"/>
        </w:rPr>
        <w:t>un étranger ou d</w:t>
      </w:r>
      <w:r w:rsidR="0035332C">
        <w:rPr>
          <w:lang w:val="fr-FR"/>
        </w:rPr>
        <w:t>’</w:t>
      </w:r>
      <w:r w:rsidRPr="00310D49">
        <w:rPr>
          <w:lang w:val="fr-FR"/>
        </w:rPr>
        <w:t>un enfant né de parents inconnus en vue de l</w:t>
      </w:r>
      <w:r w:rsidR="0035332C">
        <w:rPr>
          <w:lang w:val="fr-FR"/>
        </w:rPr>
        <w:t>’</w:t>
      </w:r>
      <w:r w:rsidRPr="00310D49">
        <w:rPr>
          <w:lang w:val="fr-FR"/>
        </w:rPr>
        <w:t>enregistrer dans les registres officiels. Par ailleurs, le fœtus conserve sa part d</w:t>
      </w:r>
      <w:r w:rsidR="0035332C">
        <w:rPr>
          <w:lang w:val="fr-FR"/>
        </w:rPr>
        <w:t>’</w:t>
      </w:r>
      <w:r w:rsidRPr="00310D49">
        <w:rPr>
          <w:lang w:val="fr-FR"/>
        </w:rPr>
        <w:t>héritage avant même sa naissance. S</w:t>
      </w:r>
      <w:r w:rsidR="0035332C">
        <w:rPr>
          <w:lang w:val="fr-FR"/>
        </w:rPr>
        <w:t>’</w:t>
      </w:r>
      <w:r w:rsidRPr="00310D49">
        <w:rPr>
          <w:lang w:val="fr-FR"/>
        </w:rPr>
        <w:t>il est né vivant, il aura ce à quoi il a droit de l</w:t>
      </w:r>
      <w:r w:rsidR="0035332C">
        <w:rPr>
          <w:lang w:val="fr-FR"/>
        </w:rPr>
        <w:t>’</w:t>
      </w:r>
      <w:r w:rsidRPr="00310D49">
        <w:rPr>
          <w:lang w:val="fr-FR"/>
        </w:rPr>
        <w:t>héritage. Les Palestiniens de la ville occupée de Jérusalem sont confrontés aux abus des autorités d</w:t>
      </w:r>
      <w:r w:rsidR="0035332C">
        <w:rPr>
          <w:lang w:val="fr-FR"/>
        </w:rPr>
        <w:t>’</w:t>
      </w:r>
      <w:r w:rsidRPr="00310D49">
        <w:rPr>
          <w:lang w:val="fr-FR"/>
        </w:rPr>
        <w:t>occupation et à la complexité des procédures permettant de faire enregistrer leurs enfants dans le registre de la population ou de leur établir des extraits d</w:t>
      </w:r>
      <w:r w:rsidR="0035332C">
        <w:rPr>
          <w:lang w:val="fr-FR"/>
        </w:rPr>
        <w:t>’</w:t>
      </w:r>
      <w:r w:rsidRPr="00310D49">
        <w:rPr>
          <w:lang w:val="fr-FR"/>
        </w:rPr>
        <w:t>acte de naissance.</w:t>
      </w:r>
    </w:p>
    <w:p w14:paraId="7ACBC0FA" w14:textId="20D2E9D0" w:rsidR="00D005FA" w:rsidRPr="00310D49" w:rsidRDefault="00D005FA" w:rsidP="00BE51F8">
      <w:pPr>
        <w:pStyle w:val="SingleTxtG"/>
        <w:spacing w:before="120"/>
        <w:rPr>
          <w:lang w:val="fr-FR"/>
        </w:rPr>
      </w:pPr>
      <w:r w:rsidRPr="00310D49">
        <w:rPr>
          <w:lang w:val="fr-FR"/>
        </w:rPr>
        <w:t>301.</w:t>
      </w:r>
      <w:r w:rsidRPr="00310D49">
        <w:rPr>
          <w:lang w:val="fr-FR"/>
        </w:rPr>
        <w:tab/>
        <w:t>Conformément à l</w:t>
      </w:r>
      <w:r w:rsidR="0035332C">
        <w:rPr>
          <w:lang w:val="fr-FR"/>
        </w:rPr>
        <w:t>’</w:t>
      </w:r>
      <w:r w:rsidRPr="00310D49">
        <w:rPr>
          <w:lang w:val="fr-FR"/>
        </w:rPr>
        <w:t>article 43 de la loi sur l</w:t>
      </w:r>
      <w:r w:rsidR="0035332C">
        <w:rPr>
          <w:lang w:val="fr-FR"/>
        </w:rPr>
        <w:t>’</w:t>
      </w:r>
      <w:r w:rsidRPr="00310D49">
        <w:rPr>
          <w:lang w:val="fr-FR"/>
        </w:rPr>
        <w:t>état civil, tout Palestinien qui prouve que l</w:t>
      </w:r>
      <w:r w:rsidR="0035332C">
        <w:rPr>
          <w:lang w:val="fr-FR"/>
        </w:rPr>
        <w:t>’</w:t>
      </w:r>
      <w:r w:rsidRPr="00310D49">
        <w:rPr>
          <w:lang w:val="fr-FR"/>
        </w:rPr>
        <w:t>un de ses parents est palestinien obtient une carte d</w:t>
      </w:r>
      <w:r w:rsidR="0035332C">
        <w:rPr>
          <w:lang w:val="fr-FR"/>
        </w:rPr>
        <w:t>’</w:t>
      </w:r>
      <w:r w:rsidRPr="00310D49">
        <w:rPr>
          <w:lang w:val="fr-FR"/>
        </w:rPr>
        <w:t>identité palestinienne à l</w:t>
      </w:r>
      <w:r w:rsidR="0035332C">
        <w:rPr>
          <w:lang w:val="fr-FR"/>
        </w:rPr>
        <w:t>’</w:t>
      </w:r>
      <w:r w:rsidRPr="00310D49">
        <w:rPr>
          <w:lang w:val="fr-FR"/>
        </w:rPr>
        <w:t>âge de 16</w:t>
      </w:r>
      <w:r w:rsidR="00D32762">
        <w:rPr>
          <w:lang w:val="fr-FR"/>
        </w:rPr>
        <w:t> </w:t>
      </w:r>
      <w:r w:rsidRPr="00310D49">
        <w:rPr>
          <w:lang w:val="fr-FR"/>
        </w:rPr>
        <w:t>ans. Cependant, les autorités d</w:t>
      </w:r>
      <w:r w:rsidR="0035332C">
        <w:rPr>
          <w:lang w:val="fr-FR"/>
        </w:rPr>
        <w:t>’</w:t>
      </w:r>
      <w:r w:rsidRPr="00310D49">
        <w:rPr>
          <w:lang w:val="fr-FR"/>
        </w:rPr>
        <w:t>occupation, qui contrôlent le registre de la population, privent arbitrairement de nombreux Palestiniens de carte d</w:t>
      </w:r>
      <w:r w:rsidR="0035332C">
        <w:rPr>
          <w:lang w:val="fr-FR"/>
        </w:rPr>
        <w:t>’</w:t>
      </w:r>
      <w:r w:rsidRPr="00310D49">
        <w:rPr>
          <w:lang w:val="fr-FR"/>
        </w:rPr>
        <w:t>identité même s</w:t>
      </w:r>
      <w:r w:rsidR="0035332C">
        <w:rPr>
          <w:lang w:val="fr-FR"/>
        </w:rPr>
        <w:t>’</w:t>
      </w:r>
      <w:r w:rsidRPr="00310D49">
        <w:rPr>
          <w:lang w:val="fr-FR"/>
        </w:rPr>
        <w:t xml:space="preserve">ils résident dans le Territoire palestinien occupé. </w:t>
      </w:r>
    </w:p>
    <w:p w14:paraId="75B741F6" w14:textId="1196DE3C" w:rsidR="00D005FA" w:rsidRPr="00310D49" w:rsidRDefault="00D005FA" w:rsidP="00BE51F8">
      <w:pPr>
        <w:pStyle w:val="SingleTxtG"/>
        <w:spacing w:before="120"/>
        <w:rPr>
          <w:lang w:val="fr-FR"/>
        </w:rPr>
      </w:pPr>
      <w:r w:rsidRPr="00310D49">
        <w:rPr>
          <w:lang w:val="fr-FR"/>
        </w:rPr>
        <w:t>302.</w:t>
      </w:r>
      <w:r w:rsidRPr="00310D49">
        <w:rPr>
          <w:lang w:val="fr-FR"/>
        </w:rPr>
        <w:tab/>
        <w:t>Le Ministère de l</w:t>
      </w:r>
      <w:r w:rsidR="0035332C">
        <w:rPr>
          <w:lang w:val="fr-FR"/>
        </w:rPr>
        <w:t>’</w:t>
      </w:r>
      <w:r w:rsidRPr="00310D49">
        <w:rPr>
          <w:lang w:val="fr-FR"/>
        </w:rPr>
        <w:t>intérieur s</w:t>
      </w:r>
      <w:r w:rsidR="0035332C">
        <w:rPr>
          <w:lang w:val="fr-FR"/>
        </w:rPr>
        <w:t>’</w:t>
      </w:r>
      <w:r w:rsidRPr="00310D49">
        <w:rPr>
          <w:lang w:val="fr-FR"/>
        </w:rPr>
        <w:t>emploie à mettre en œuvre un programme de connexion automatique avec le Ministère de la santé afin d</w:t>
      </w:r>
      <w:r w:rsidR="0035332C">
        <w:rPr>
          <w:lang w:val="fr-FR"/>
        </w:rPr>
        <w:t>’</w:t>
      </w:r>
      <w:r w:rsidRPr="00310D49">
        <w:rPr>
          <w:lang w:val="fr-FR"/>
        </w:rPr>
        <w:t>enregistrer les naissances et les décès survenus dans les hôpitaux, lesquels transmettent par voie électronique les faits d</w:t>
      </w:r>
      <w:r w:rsidR="0035332C">
        <w:rPr>
          <w:lang w:val="fr-FR"/>
        </w:rPr>
        <w:t>’</w:t>
      </w:r>
      <w:r w:rsidRPr="00310D49">
        <w:rPr>
          <w:lang w:val="fr-FR"/>
        </w:rPr>
        <w:t>état civil aux services du registre de la population pour qu</w:t>
      </w:r>
      <w:r w:rsidR="0035332C">
        <w:rPr>
          <w:lang w:val="fr-FR"/>
        </w:rPr>
        <w:t>’</w:t>
      </w:r>
      <w:r w:rsidRPr="00310D49">
        <w:rPr>
          <w:lang w:val="fr-FR"/>
        </w:rPr>
        <w:t>ils établissent les actes de naissance et de décès. Une connexion est également établie avec le Bureau du Grand Cadi pour enregistrer les mariages et les divorces par le biais du même programme. Parmi les obstacles à la mise en œuvre du programme de connexion automatique, il convient de signaler que les numéros d</w:t>
      </w:r>
      <w:r w:rsidR="0035332C">
        <w:rPr>
          <w:lang w:val="fr-FR"/>
        </w:rPr>
        <w:t>’</w:t>
      </w:r>
      <w:r w:rsidRPr="00310D49">
        <w:rPr>
          <w:lang w:val="fr-FR"/>
        </w:rPr>
        <w:t>identité, qui diffèrent d</w:t>
      </w:r>
      <w:r w:rsidR="0035332C">
        <w:rPr>
          <w:lang w:val="fr-FR"/>
        </w:rPr>
        <w:t>’</w:t>
      </w:r>
      <w:r w:rsidRPr="00310D49">
        <w:rPr>
          <w:lang w:val="fr-FR"/>
        </w:rPr>
        <w:t>une région à l</w:t>
      </w:r>
      <w:r w:rsidR="0035332C">
        <w:rPr>
          <w:lang w:val="fr-FR"/>
        </w:rPr>
        <w:t>’</w:t>
      </w:r>
      <w:r w:rsidRPr="00310D49">
        <w:rPr>
          <w:lang w:val="fr-FR"/>
        </w:rPr>
        <w:t>autre en Palestine, sont liés au registre de la population contrôlé par l</w:t>
      </w:r>
      <w:r w:rsidR="0035332C">
        <w:rPr>
          <w:lang w:val="fr-FR"/>
        </w:rPr>
        <w:t>’</w:t>
      </w:r>
      <w:r w:rsidRPr="00310D49">
        <w:rPr>
          <w:lang w:val="fr-FR"/>
        </w:rPr>
        <w:t>occupant israélien et ne peuvent être modifiés sans son accord.</w:t>
      </w:r>
    </w:p>
    <w:p w14:paraId="126A600C" w14:textId="1640FA85" w:rsidR="00D005FA" w:rsidRPr="00310D49" w:rsidRDefault="00D005FA" w:rsidP="00BE51F8">
      <w:pPr>
        <w:pStyle w:val="H1G"/>
        <w:rPr>
          <w:lang w:val="fr-FR"/>
        </w:rPr>
      </w:pPr>
      <w:r w:rsidRPr="00310D49">
        <w:rPr>
          <w:lang w:val="fr-FR"/>
        </w:rPr>
        <w:tab/>
      </w:r>
      <w:r w:rsidRPr="00310D49">
        <w:rPr>
          <w:lang w:val="fr-FR"/>
        </w:rPr>
        <w:tab/>
        <w:t>Article 17</w:t>
      </w:r>
      <w:bookmarkStart w:id="19" w:name="_Toc80715506"/>
      <w:bookmarkEnd w:id="19"/>
    </w:p>
    <w:p w14:paraId="15F37292" w14:textId="1B104AA9" w:rsidR="00D005FA" w:rsidRPr="00310D49" w:rsidRDefault="00D005FA" w:rsidP="009E2AB8">
      <w:pPr>
        <w:pStyle w:val="SingleTxtG"/>
        <w:keepNext/>
        <w:keepLines/>
        <w:spacing w:before="120"/>
        <w:rPr>
          <w:lang w:val="fr-FR"/>
        </w:rPr>
      </w:pPr>
      <w:r w:rsidRPr="00310D49">
        <w:rPr>
          <w:lang w:val="fr-FR"/>
        </w:rPr>
        <w:t>303.</w:t>
      </w:r>
      <w:r w:rsidRPr="00310D49">
        <w:rPr>
          <w:lang w:val="fr-FR"/>
        </w:rPr>
        <w:tab/>
        <w:t>L</w:t>
      </w:r>
      <w:r w:rsidR="0035332C">
        <w:rPr>
          <w:lang w:val="fr-FR"/>
        </w:rPr>
        <w:t>’</w:t>
      </w:r>
      <w:r w:rsidRPr="00310D49">
        <w:rPr>
          <w:lang w:val="fr-FR"/>
        </w:rPr>
        <w:t>article 17 de Loi fondamentale, telle que modifiée, dispose que le domicile est inviolable, qu</w:t>
      </w:r>
      <w:r w:rsidR="0035332C">
        <w:rPr>
          <w:lang w:val="fr-FR"/>
        </w:rPr>
        <w:t>’</w:t>
      </w:r>
      <w:r w:rsidRPr="00310D49">
        <w:rPr>
          <w:lang w:val="fr-FR"/>
        </w:rPr>
        <w:t>il est interdit de le surveiller, d</w:t>
      </w:r>
      <w:r w:rsidR="0035332C">
        <w:rPr>
          <w:lang w:val="fr-FR"/>
        </w:rPr>
        <w:t>’</w:t>
      </w:r>
      <w:r w:rsidRPr="00310D49">
        <w:rPr>
          <w:lang w:val="fr-FR"/>
        </w:rPr>
        <w:t>y pénétrer ou d</w:t>
      </w:r>
      <w:r w:rsidR="0035332C">
        <w:rPr>
          <w:lang w:val="fr-FR"/>
        </w:rPr>
        <w:t>’</w:t>
      </w:r>
      <w:r w:rsidRPr="00310D49">
        <w:rPr>
          <w:lang w:val="fr-FR"/>
        </w:rPr>
        <w:t>y effectuer une perquisition sans un mandat judiciaire motivé délivré conformément aux dispositions de la loi, que la violation des dispositions du présent article entraînera la nullité de toute conséquence découlant de celle-ci, et quiconque subit un préjudice à la suite d</w:t>
      </w:r>
      <w:r w:rsidR="0035332C">
        <w:rPr>
          <w:lang w:val="fr-FR"/>
        </w:rPr>
        <w:t>’</w:t>
      </w:r>
      <w:r w:rsidRPr="00310D49">
        <w:rPr>
          <w:lang w:val="fr-FR"/>
        </w:rPr>
        <w:t>une telle violation sera en droit d</w:t>
      </w:r>
      <w:r w:rsidR="0035332C">
        <w:rPr>
          <w:lang w:val="fr-FR"/>
        </w:rPr>
        <w:t>’</w:t>
      </w:r>
      <w:r w:rsidRPr="00310D49">
        <w:rPr>
          <w:lang w:val="fr-FR"/>
        </w:rPr>
        <w:t>être indemnisé équitablement, ce que garantit l</w:t>
      </w:r>
      <w:r w:rsidR="0035332C">
        <w:rPr>
          <w:lang w:val="fr-FR"/>
        </w:rPr>
        <w:t>’</w:t>
      </w:r>
      <w:r w:rsidRPr="00310D49">
        <w:rPr>
          <w:lang w:val="fr-FR"/>
        </w:rPr>
        <w:t xml:space="preserve">Autorité nationale palestinienne. </w:t>
      </w:r>
    </w:p>
    <w:p w14:paraId="377F0615" w14:textId="0DF45349" w:rsidR="00D005FA" w:rsidRPr="00310D49" w:rsidRDefault="00D005FA" w:rsidP="00BE51F8">
      <w:pPr>
        <w:pStyle w:val="SingleTxtG"/>
        <w:spacing w:before="120"/>
        <w:rPr>
          <w:lang w:val="fr-FR"/>
        </w:rPr>
      </w:pPr>
      <w:r w:rsidRPr="00310D49">
        <w:rPr>
          <w:lang w:val="fr-FR"/>
        </w:rPr>
        <w:t>304.</w:t>
      </w:r>
      <w:r w:rsidRPr="00310D49">
        <w:rPr>
          <w:lang w:val="fr-FR"/>
        </w:rPr>
        <w:tab/>
        <w:t>L</w:t>
      </w:r>
      <w:r w:rsidR="0035332C">
        <w:rPr>
          <w:lang w:val="fr-FR"/>
        </w:rPr>
        <w:t>’</w:t>
      </w:r>
      <w:r w:rsidRPr="00310D49">
        <w:rPr>
          <w:lang w:val="fr-FR"/>
        </w:rPr>
        <w:t>article 181 (al</w:t>
      </w:r>
      <w:r w:rsidR="00D32762">
        <w:rPr>
          <w:lang w:val="fr-FR"/>
        </w:rPr>
        <w:t>. </w:t>
      </w:r>
      <w:r w:rsidRPr="00310D49">
        <w:rPr>
          <w:lang w:val="fr-FR"/>
        </w:rPr>
        <w:t>1) du Code pénal de 1960 prévoit que «</w:t>
      </w:r>
      <w:r w:rsidR="00D32762">
        <w:rPr>
          <w:lang w:val="fr-FR"/>
        </w:rPr>
        <w:t> </w:t>
      </w:r>
      <w:r w:rsidRPr="00310D49">
        <w:rPr>
          <w:lang w:val="fr-FR"/>
        </w:rPr>
        <w:t>[l]e fait, pour une personne dépositaire de l</w:t>
      </w:r>
      <w:r w:rsidR="0035332C">
        <w:rPr>
          <w:lang w:val="fr-FR"/>
        </w:rPr>
        <w:t>’</w:t>
      </w:r>
      <w:r w:rsidRPr="00310D49">
        <w:rPr>
          <w:lang w:val="fr-FR"/>
        </w:rPr>
        <w:t>autorité publique, agissant à l</w:t>
      </w:r>
      <w:r w:rsidR="0035332C">
        <w:rPr>
          <w:lang w:val="fr-FR"/>
        </w:rPr>
        <w:t>’</w:t>
      </w:r>
      <w:r w:rsidRPr="00310D49">
        <w:rPr>
          <w:lang w:val="fr-FR"/>
        </w:rPr>
        <w:t>occasion de l</w:t>
      </w:r>
      <w:r w:rsidR="0035332C">
        <w:rPr>
          <w:lang w:val="fr-FR"/>
        </w:rPr>
        <w:t>’</w:t>
      </w:r>
      <w:r w:rsidRPr="00310D49">
        <w:rPr>
          <w:lang w:val="fr-FR"/>
        </w:rPr>
        <w:t>exercice de ses fonctions, de s</w:t>
      </w:r>
      <w:r w:rsidR="0035332C">
        <w:rPr>
          <w:lang w:val="fr-FR"/>
        </w:rPr>
        <w:t>’</w:t>
      </w:r>
      <w:r w:rsidRPr="00310D49">
        <w:rPr>
          <w:lang w:val="fr-FR"/>
        </w:rPr>
        <w:t>introduire au domicile d</w:t>
      </w:r>
      <w:r w:rsidR="0035332C">
        <w:rPr>
          <w:lang w:val="fr-FR"/>
        </w:rPr>
        <w:t>’</w:t>
      </w:r>
      <w:r w:rsidRPr="00310D49">
        <w:rPr>
          <w:lang w:val="fr-FR"/>
        </w:rPr>
        <w:t xml:space="preserve">autrui ou </w:t>
      </w:r>
      <w:r>
        <w:rPr>
          <w:lang w:val="fr-FR"/>
        </w:rPr>
        <w:t xml:space="preserve">dans </w:t>
      </w:r>
      <w:r w:rsidRPr="00310D49">
        <w:rPr>
          <w:lang w:val="fr-FR"/>
        </w:rPr>
        <w:t>ses dépendances, hors les cas prévus par la loi, est puni de trois mois à trois ans d</w:t>
      </w:r>
      <w:r w:rsidR="0035332C">
        <w:rPr>
          <w:lang w:val="fr-FR"/>
        </w:rPr>
        <w:t>’</w:t>
      </w:r>
      <w:r w:rsidRPr="00310D49">
        <w:rPr>
          <w:lang w:val="fr-FR"/>
        </w:rPr>
        <w:t>emprisonnement et de 20 à 100 dinars d</w:t>
      </w:r>
      <w:r w:rsidR="0035332C">
        <w:rPr>
          <w:lang w:val="fr-FR"/>
        </w:rPr>
        <w:t>’</w:t>
      </w:r>
      <w:r w:rsidRPr="00310D49">
        <w:rPr>
          <w:lang w:val="fr-FR"/>
        </w:rPr>
        <w:t>amende ».</w:t>
      </w:r>
    </w:p>
    <w:p w14:paraId="1F193291" w14:textId="0119E982" w:rsidR="00D005FA" w:rsidRPr="00310D49" w:rsidRDefault="00D005FA" w:rsidP="00BE51F8">
      <w:pPr>
        <w:pStyle w:val="SingleTxtG"/>
        <w:spacing w:before="120"/>
        <w:rPr>
          <w:lang w:val="fr-FR"/>
        </w:rPr>
      </w:pPr>
      <w:r w:rsidRPr="00310D49">
        <w:rPr>
          <w:lang w:val="fr-FR"/>
        </w:rPr>
        <w:t>305.</w:t>
      </w:r>
      <w:r w:rsidRPr="00310D49">
        <w:rPr>
          <w:lang w:val="fr-FR"/>
        </w:rPr>
        <w:tab/>
        <w:t>D</w:t>
      </w:r>
      <w:r w:rsidR="0035332C">
        <w:rPr>
          <w:lang w:val="fr-FR"/>
        </w:rPr>
        <w:t>’</w:t>
      </w:r>
      <w:r w:rsidRPr="00310D49">
        <w:rPr>
          <w:lang w:val="fr-FR"/>
        </w:rPr>
        <w:t>après les articles</w:t>
      </w:r>
      <w:r w:rsidR="00D32762">
        <w:rPr>
          <w:lang w:val="fr-FR"/>
        </w:rPr>
        <w:t> </w:t>
      </w:r>
      <w:r w:rsidRPr="00310D49">
        <w:rPr>
          <w:lang w:val="fr-FR"/>
        </w:rPr>
        <w:t>39 à 52 du Code de procédure pénale relatifs à la procédure de perquisition, la perquisition d</w:t>
      </w:r>
      <w:r w:rsidR="0035332C">
        <w:rPr>
          <w:lang w:val="fr-FR"/>
        </w:rPr>
        <w:t>’</w:t>
      </w:r>
      <w:r w:rsidRPr="00310D49">
        <w:rPr>
          <w:lang w:val="fr-FR"/>
        </w:rPr>
        <w:t>un domicile ne peut se faire que sur un mandat décerné par un procureur ou en sa présence, à la suite d</w:t>
      </w:r>
      <w:r w:rsidR="0035332C">
        <w:rPr>
          <w:lang w:val="fr-FR"/>
        </w:rPr>
        <w:t>’</w:t>
      </w:r>
      <w:r w:rsidRPr="00310D49">
        <w:rPr>
          <w:lang w:val="fr-FR"/>
        </w:rPr>
        <w:t>une allégation portée contre l</w:t>
      </w:r>
      <w:r w:rsidR="0035332C">
        <w:rPr>
          <w:lang w:val="fr-FR"/>
        </w:rPr>
        <w:t>’</w:t>
      </w:r>
      <w:r w:rsidRPr="00310D49">
        <w:rPr>
          <w:lang w:val="fr-FR"/>
        </w:rPr>
        <w:t>habitant du domicile selon laquelle il a commis une infraction ou un délit, ou a participé à sa commission, ou s</w:t>
      </w:r>
      <w:r w:rsidR="0035332C">
        <w:rPr>
          <w:lang w:val="fr-FR"/>
        </w:rPr>
        <w:t>’</w:t>
      </w:r>
      <w:r w:rsidRPr="00310D49">
        <w:rPr>
          <w:lang w:val="fr-FR"/>
        </w:rPr>
        <w:t>il existe de fortes présomptions selon lesquelles il dissimule des éléments liés à l</w:t>
      </w:r>
      <w:r w:rsidR="0035332C">
        <w:rPr>
          <w:lang w:val="fr-FR"/>
        </w:rPr>
        <w:t>’</w:t>
      </w:r>
      <w:r w:rsidRPr="00310D49">
        <w:rPr>
          <w:lang w:val="fr-FR"/>
        </w:rPr>
        <w:t>infraction. L</w:t>
      </w:r>
      <w:r w:rsidR="0035332C">
        <w:rPr>
          <w:lang w:val="fr-FR"/>
        </w:rPr>
        <w:t>’</w:t>
      </w:r>
      <w:r w:rsidRPr="00310D49">
        <w:rPr>
          <w:lang w:val="fr-FR"/>
        </w:rPr>
        <w:t>article confirme qu</w:t>
      </w:r>
      <w:r w:rsidR="0035332C">
        <w:rPr>
          <w:lang w:val="fr-FR"/>
        </w:rPr>
        <w:t>’</w:t>
      </w:r>
      <w:r w:rsidRPr="00310D49">
        <w:rPr>
          <w:lang w:val="fr-FR"/>
        </w:rPr>
        <w:t>il importe que le mandat de perquisition soit motivé et comporte le nom d</w:t>
      </w:r>
      <w:r w:rsidR="0035332C">
        <w:rPr>
          <w:lang w:val="fr-FR"/>
        </w:rPr>
        <w:t>’</w:t>
      </w:r>
      <w:r w:rsidRPr="00310D49">
        <w:rPr>
          <w:lang w:val="fr-FR"/>
        </w:rPr>
        <w:t>un ou de plusieurs agents de la police judiciaire.</w:t>
      </w:r>
    </w:p>
    <w:p w14:paraId="24B59D79" w14:textId="7F3DB35E" w:rsidR="00D005FA" w:rsidRPr="00310D49" w:rsidRDefault="00D005FA" w:rsidP="00BE51F8">
      <w:pPr>
        <w:pStyle w:val="SingleTxtG"/>
        <w:spacing w:before="120"/>
        <w:rPr>
          <w:lang w:val="fr-FR"/>
        </w:rPr>
      </w:pPr>
      <w:r w:rsidRPr="00310D49">
        <w:rPr>
          <w:lang w:val="fr-FR"/>
        </w:rPr>
        <w:t>306.</w:t>
      </w:r>
      <w:r w:rsidRPr="00310D49">
        <w:rPr>
          <w:lang w:val="fr-FR"/>
        </w:rPr>
        <w:tab/>
        <w:t xml:space="preserve">Selon les articles susmentionnés du Code de procédure pénale, </w:t>
      </w:r>
      <w:r w:rsidR="00634C45">
        <w:rPr>
          <w:lang w:val="fr-FR"/>
        </w:rPr>
        <w:t>l</w:t>
      </w:r>
      <w:r w:rsidR="0035332C">
        <w:rPr>
          <w:lang w:val="fr-FR"/>
        </w:rPr>
        <w:t>’</w:t>
      </w:r>
      <w:r w:rsidR="00634C45" w:rsidRPr="00634C45">
        <w:rPr>
          <w:lang w:val="fr-FR"/>
        </w:rPr>
        <w:t>introduction dans le domicile d</w:t>
      </w:r>
      <w:r w:rsidR="0035332C">
        <w:rPr>
          <w:lang w:val="fr-FR"/>
        </w:rPr>
        <w:t>’</w:t>
      </w:r>
      <w:r w:rsidR="00634C45" w:rsidRPr="00634C45">
        <w:rPr>
          <w:lang w:val="fr-FR"/>
        </w:rPr>
        <w:t>autrui ne peut intervenir que dans les cas suivants</w:t>
      </w:r>
      <w:r w:rsidR="00A53B5A">
        <w:rPr>
          <w:lang w:val="fr-FR"/>
        </w:rPr>
        <w:t> </w:t>
      </w:r>
      <w:r w:rsidRPr="00310D49">
        <w:rPr>
          <w:lang w:val="fr-FR"/>
        </w:rPr>
        <w:t>: une demande d</w:t>
      </w:r>
      <w:r w:rsidR="0035332C">
        <w:rPr>
          <w:lang w:val="fr-FR"/>
        </w:rPr>
        <w:t>’</w:t>
      </w:r>
      <w:r w:rsidRPr="00310D49">
        <w:rPr>
          <w:lang w:val="fr-FR"/>
        </w:rPr>
        <w:t>aide adressée depuis l</w:t>
      </w:r>
      <w:r w:rsidR="0035332C">
        <w:rPr>
          <w:lang w:val="fr-FR"/>
        </w:rPr>
        <w:t>’</w:t>
      </w:r>
      <w:r w:rsidRPr="00310D49">
        <w:rPr>
          <w:lang w:val="fr-FR"/>
        </w:rPr>
        <w:t>intérieur de ce domicile</w:t>
      </w:r>
      <w:r w:rsidR="00B02693">
        <w:rPr>
          <w:lang w:val="fr-FR"/>
        </w:rPr>
        <w:t> </w:t>
      </w:r>
      <w:r w:rsidRPr="00310D49">
        <w:rPr>
          <w:lang w:val="fr-FR"/>
        </w:rPr>
        <w:t>; un incendie ou une noyade</w:t>
      </w:r>
      <w:r w:rsidR="00B02693">
        <w:rPr>
          <w:lang w:val="fr-FR"/>
        </w:rPr>
        <w:t> </w:t>
      </w:r>
      <w:r w:rsidRPr="00310D49">
        <w:rPr>
          <w:lang w:val="fr-FR"/>
        </w:rPr>
        <w:t>; un flagrant délit</w:t>
      </w:r>
      <w:r w:rsidR="00B02693">
        <w:rPr>
          <w:lang w:val="fr-FR"/>
        </w:rPr>
        <w:t> </w:t>
      </w:r>
      <w:r w:rsidRPr="00310D49">
        <w:rPr>
          <w:lang w:val="fr-FR"/>
        </w:rPr>
        <w:t>; un individu ayant fait l</w:t>
      </w:r>
      <w:r w:rsidR="0035332C">
        <w:rPr>
          <w:lang w:val="fr-FR"/>
        </w:rPr>
        <w:t>’</w:t>
      </w:r>
      <w:r w:rsidRPr="00310D49">
        <w:rPr>
          <w:lang w:val="fr-FR"/>
        </w:rPr>
        <w:t>objet d</w:t>
      </w:r>
      <w:r w:rsidR="0035332C">
        <w:rPr>
          <w:lang w:val="fr-FR"/>
        </w:rPr>
        <w:t>’</w:t>
      </w:r>
      <w:r w:rsidRPr="00310D49">
        <w:rPr>
          <w:lang w:val="fr-FR"/>
        </w:rPr>
        <w:t>un mandat d</w:t>
      </w:r>
      <w:r w:rsidR="0035332C">
        <w:rPr>
          <w:lang w:val="fr-FR"/>
        </w:rPr>
        <w:t>’</w:t>
      </w:r>
      <w:r w:rsidRPr="00310D49">
        <w:rPr>
          <w:lang w:val="fr-FR"/>
        </w:rPr>
        <w:t>arrêt s</w:t>
      </w:r>
      <w:r w:rsidR="0035332C">
        <w:rPr>
          <w:lang w:val="fr-FR"/>
        </w:rPr>
        <w:t>’</w:t>
      </w:r>
      <w:r w:rsidRPr="00310D49">
        <w:rPr>
          <w:lang w:val="fr-FR"/>
        </w:rPr>
        <w:t>est réfugié dans ce domicile.</w:t>
      </w:r>
    </w:p>
    <w:p w14:paraId="6666F8A8" w14:textId="62CFD628" w:rsidR="00D005FA" w:rsidRPr="00310D49" w:rsidRDefault="00D005FA" w:rsidP="00E95C74">
      <w:pPr>
        <w:pStyle w:val="SingleTxtG"/>
        <w:spacing w:before="120" w:line="230" w:lineRule="atLeast"/>
        <w:rPr>
          <w:lang w:val="fr-FR"/>
        </w:rPr>
      </w:pPr>
      <w:r w:rsidRPr="00310D49">
        <w:rPr>
          <w:lang w:val="fr-FR"/>
        </w:rPr>
        <w:lastRenderedPageBreak/>
        <w:t>307.</w:t>
      </w:r>
      <w:r w:rsidRPr="00310D49">
        <w:rPr>
          <w:lang w:val="fr-FR"/>
        </w:rPr>
        <w:tab/>
        <w:t>En ce qui concerne le secret et la confidentialité de la correspondance, des communications et des renseignements personnels, l</w:t>
      </w:r>
      <w:r w:rsidR="0035332C">
        <w:rPr>
          <w:lang w:val="fr-FR"/>
        </w:rPr>
        <w:t>’</w:t>
      </w:r>
      <w:r w:rsidRPr="00310D49">
        <w:rPr>
          <w:lang w:val="fr-FR"/>
        </w:rPr>
        <w:t>article 4 de la loi n</w:t>
      </w:r>
      <w:r w:rsidR="00D32762" w:rsidRPr="00D32762">
        <w:rPr>
          <w:vertAlign w:val="superscript"/>
          <w:lang w:val="fr-FR"/>
        </w:rPr>
        <w:t>o</w:t>
      </w:r>
      <w:r w:rsidR="00D32762">
        <w:rPr>
          <w:lang w:val="fr-FR"/>
        </w:rPr>
        <w:t> </w:t>
      </w:r>
      <w:r w:rsidRPr="00310D49">
        <w:rPr>
          <w:lang w:val="fr-FR"/>
        </w:rPr>
        <w:t>3 de 1996 relative aux télécommunications souligne la nécessité de protéger le secret et la confidentialité des communications sur le territoire palestinien, qui ne peuvent être levés que par l</w:t>
      </w:r>
      <w:r w:rsidR="0035332C">
        <w:rPr>
          <w:lang w:val="fr-FR"/>
        </w:rPr>
        <w:t>’</w:t>
      </w:r>
      <w:r w:rsidRPr="00310D49">
        <w:rPr>
          <w:lang w:val="fr-FR"/>
        </w:rPr>
        <w:t>autorité publique dans des cas exceptionnels et dans les limites prévues par la loi.</w:t>
      </w:r>
    </w:p>
    <w:p w14:paraId="175E2CBC" w14:textId="5C3ECCE1" w:rsidR="00D005FA" w:rsidRPr="00310D49" w:rsidRDefault="00D005FA" w:rsidP="00E95C74">
      <w:pPr>
        <w:pStyle w:val="SingleTxtG"/>
        <w:spacing w:before="120" w:line="230" w:lineRule="atLeast"/>
        <w:rPr>
          <w:spacing w:val="-4"/>
          <w:lang w:val="fr-FR"/>
        </w:rPr>
      </w:pPr>
      <w:r w:rsidRPr="00310D49">
        <w:rPr>
          <w:lang w:val="fr-FR"/>
        </w:rPr>
        <w:t>308.</w:t>
      </w:r>
      <w:r w:rsidRPr="00310D49">
        <w:rPr>
          <w:lang w:val="fr-FR"/>
        </w:rPr>
        <w:tab/>
        <w:t>L</w:t>
      </w:r>
      <w:r w:rsidR="0035332C">
        <w:rPr>
          <w:lang w:val="fr-FR"/>
        </w:rPr>
        <w:t>’</w:t>
      </w:r>
      <w:r w:rsidRPr="00310D49">
        <w:rPr>
          <w:lang w:val="fr-FR"/>
        </w:rPr>
        <w:t>article 356 du Code pénal de 1960 érige en infraction le fait pour des employés des services postaux ou des services de télécommunication d</w:t>
      </w:r>
      <w:r w:rsidR="0035332C">
        <w:rPr>
          <w:lang w:val="fr-FR"/>
        </w:rPr>
        <w:t>’</w:t>
      </w:r>
      <w:r w:rsidRPr="00310D49">
        <w:rPr>
          <w:lang w:val="fr-FR"/>
        </w:rPr>
        <w:t>abuser de leurs fonctions, notamment en visionnant des lettres scellées, en détruisant ou détournant une lettre ou en révélant son contenu à une autre personne que le destinataire. De tels actes sont punis d</w:t>
      </w:r>
      <w:r w:rsidR="0035332C">
        <w:rPr>
          <w:lang w:val="fr-FR"/>
        </w:rPr>
        <w:t>’</w:t>
      </w:r>
      <w:r w:rsidRPr="00310D49">
        <w:rPr>
          <w:lang w:val="fr-FR"/>
        </w:rPr>
        <w:t>une peine d</w:t>
      </w:r>
      <w:r w:rsidR="0035332C">
        <w:rPr>
          <w:lang w:val="fr-FR"/>
        </w:rPr>
        <w:t>’</w:t>
      </w:r>
      <w:r w:rsidRPr="00310D49">
        <w:rPr>
          <w:lang w:val="fr-FR"/>
        </w:rPr>
        <w:t>emprisonnement ou d</w:t>
      </w:r>
      <w:r w:rsidR="0035332C">
        <w:rPr>
          <w:lang w:val="fr-FR"/>
        </w:rPr>
        <w:t>’</w:t>
      </w:r>
      <w:r w:rsidRPr="00310D49">
        <w:rPr>
          <w:lang w:val="fr-FR"/>
        </w:rPr>
        <w:t>une amende. Cependant, l</w:t>
      </w:r>
      <w:r w:rsidR="0035332C">
        <w:rPr>
          <w:lang w:val="fr-FR"/>
        </w:rPr>
        <w:t>’</w:t>
      </w:r>
      <w:r w:rsidRPr="00310D49">
        <w:rPr>
          <w:lang w:val="fr-FR"/>
        </w:rPr>
        <w:t>article 51 du Code de procédure pénale prévoit une exception à cette règle en permettant au Procureur général ou à l</w:t>
      </w:r>
      <w:r w:rsidR="0035332C">
        <w:rPr>
          <w:lang w:val="fr-FR"/>
        </w:rPr>
        <w:t>’</w:t>
      </w:r>
      <w:r w:rsidRPr="00310D49">
        <w:rPr>
          <w:lang w:val="fr-FR"/>
        </w:rPr>
        <w:t>un de ses adjoints de saisir les lettres, les colis et les articles qui y sont assimilés lorsqu</w:t>
      </w:r>
      <w:r w:rsidR="0035332C">
        <w:rPr>
          <w:lang w:val="fr-FR"/>
        </w:rPr>
        <w:t>’</w:t>
      </w:r>
      <w:r w:rsidRPr="00310D49">
        <w:rPr>
          <w:lang w:val="fr-FR"/>
        </w:rPr>
        <w:t>ils se rapportent à l</w:t>
      </w:r>
      <w:r w:rsidR="0035332C">
        <w:rPr>
          <w:lang w:val="fr-FR"/>
        </w:rPr>
        <w:t>’</w:t>
      </w:r>
      <w:r w:rsidRPr="00310D49">
        <w:rPr>
          <w:lang w:val="fr-FR"/>
        </w:rPr>
        <w:t>infraction et à son auteur. Il est également permis de mettre sur écoute les communications téléphoniques et radioélectriques et d</w:t>
      </w:r>
      <w:r w:rsidR="0035332C">
        <w:rPr>
          <w:lang w:val="fr-FR"/>
        </w:rPr>
        <w:t>’</w:t>
      </w:r>
      <w:r w:rsidRPr="00310D49">
        <w:rPr>
          <w:lang w:val="fr-FR"/>
        </w:rPr>
        <w:t>enregistrer les conversations dans les lieux privés sur autorisation du juge de paix lorsque cela est utile pour la manifestation de la vérité dans un crime ou un délit puni.</w:t>
      </w:r>
    </w:p>
    <w:p w14:paraId="12E6EAC3" w14:textId="14ABB4B1" w:rsidR="00D005FA" w:rsidRPr="00310D49" w:rsidRDefault="00D005FA" w:rsidP="00E95C74">
      <w:pPr>
        <w:pStyle w:val="SingleTxtG"/>
        <w:spacing w:before="120" w:line="230" w:lineRule="atLeast"/>
        <w:rPr>
          <w:lang w:val="fr-FR"/>
        </w:rPr>
      </w:pPr>
      <w:r w:rsidRPr="00310D49">
        <w:rPr>
          <w:lang w:val="fr-FR"/>
        </w:rPr>
        <w:t>309.</w:t>
      </w:r>
      <w:r w:rsidRPr="00310D49">
        <w:rPr>
          <w:lang w:val="fr-FR"/>
        </w:rPr>
        <w:tab/>
        <w:t>Le 6 mai 2019, le Conseil des ministres a pris le décret n</w:t>
      </w:r>
      <w:r w:rsidR="00D32762" w:rsidRPr="00D32762">
        <w:rPr>
          <w:vertAlign w:val="superscript"/>
          <w:lang w:val="fr-FR"/>
        </w:rPr>
        <w:t>o</w:t>
      </w:r>
      <w:r w:rsidR="00D32762">
        <w:rPr>
          <w:lang w:val="fr-FR"/>
        </w:rPr>
        <w:t> </w:t>
      </w:r>
      <w:r w:rsidRPr="00310D49">
        <w:rPr>
          <w:lang w:val="fr-FR"/>
        </w:rPr>
        <w:t>3 sur les données personnelles des citoyens en vertu duquel il est interdit au fournisseur de services (Internet et télécommunications) d</w:t>
      </w:r>
      <w:r w:rsidR="0035332C">
        <w:rPr>
          <w:lang w:val="fr-FR"/>
        </w:rPr>
        <w:t>’</w:t>
      </w:r>
      <w:r w:rsidRPr="00310D49">
        <w:rPr>
          <w:lang w:val="fr-FR"/>
        </w:rPr>
        <w:t>utiliser, directement ou indirectement, les données personnelles des abonnés à des fins commerciales sans l</w:t>
      </w:r>
      <w:r w:rsidR="0035332C">
        <w:rPr>
          <w:lang w:val="fr-FR"/>
        </w:rPr>
        <w:t>’</w:t>
      </w:r>
      <w:r w:rsidRPr="00310D49">
        <w:rPr>
          <w:lang w:val="fr-FR"/>
        </w:rPr>
        <w:t>autorisation préalable des personnes concernées.</w:t>
      </w:r>
    </w:p>
    <w:p w14:paraId="3FC8F2BD" w14:textId="16AE604B" w:rsidR="00D005FA" w:rsidRPr="00310D49" w:rsidRDefault="00D005FA" w:rsidP="00E95C74">
      <w:pPr>
        <w:pStyle w:val="SingleTxtG"/>
        <w:spacing w:before="120" w:line="230" w:lineRule="atLeast"/>
        <w:rPr>
          <w:lang w:val="fr-FR"/>
        </w:rPr>
      </w:pPr>
      <w:r w:rsidRPr="00310D49">
        <w:rPr>
          <w:lang w:val="fr-FR"/>
        </w:rPr>
        <w:t>310.</w:t>
      </w:r>
      <w:r w:rsidRPr="00310D49">
        <w:rPr>
          <w:lang w:val="fr-FR"/>
        </w:rPr>
        <w:tab/>
        <w:t>Israël, Puissance occupante, saisit arbitrairement la correspondance et les colis en provenance et à destination de l</w:t>
      </w:r>
      <w:r w:rsidR="0035332C">
        <w:rPr>
          <w:lang w:val="fr-FR"/>
        </w:rPr>
        <w:t>’</w:t>
      </w:r>
      <w:r w:rsidRPr="00310D49">
        <w:rPr>
          <w:lang w:val="fr-FR"/>
        </w:rPr>
        <w:t xml:space="preserve">État de Palestine, retardant ainsi leur expédition et leur réception. En outre, Israël viole le droit des Palestiniens à la vie privée en ouvrant le courrier et </w:t>
      </w:r>
      <w:r w:rsidR="00D32762">
        <w:rPr>
          <w:lang w:val="fr-FR"/>
        </w:rPr>
        <w:t xml:space="preserve">les </w:t>
      </w:r>
      <w:r w:rsidRPr="00310D49">
        <w:rPr>
          <w:lang w:val="fr-FR"/>
        </w:rPr>
        <w:t>colis privés et en consultant leur contenu. En 2010, Israël, Puissance occupante, a arbitrairement saisi plus de 10</w:t>
      </w:r>
      <w:r w:rsidR="00D32762">
        <w:rPr>
          <w:lang w:val="fr-FR"/>
        </w:rPr>
        <w:t> </w:t>
      </w:r>
      <w:r w:rsidRPr="00310D49">
        <w:rPr>
          <w:lang w:val="fr-FR"/>
        </w:rPr>
        <w:t>tonnes de courrier et de colis, dont la plupart ont été vidés de leur contenu ou détruits arbitrairement en 2018, soit huit ans après leur saisie.</w:t>
      </w:r>
    </w:p>
    <w:p w14:paraId="1B150378" w14:textId="2EEA7C5C" w:rsidR="00D005FA" w:rsidRPr="00310D49" w:rsidRDefault="00D005FA" w:rsidP="00E95C74">
      <w:pPr>
        <w:pStyle w:val="SingleTxtG"/>
        <w:spacing w:before="120" w:line="230" w:lineRule="atLeast"/>
        <w:rPr>
          <w:lang w:val="fr-FR"/>
        </w:rPr>
      </w:pPr>
      <w:r w:rsidRPr="00310D49">
        <w:rPr>
          <w:lang w:val="fr-FR"/>
        </w:rPr>
        <w:t>311.</w:t>
      </w:r>
      <w:r w:rsidRPr="00310D49">
        <w:rPr>
          <w:lang w:val="fr-FR"/>
        </w:rPr>
        <w:tab/>
        <w:t>Selon les rapports annuels établis par le Conseil des ministres concernant les plaintes pour violation du droit à la vie privée, 105 plaintes ont été enregistrées en 2014, alors qu</w:t>
      </w:r>
      <w:r w:rsidR="0035332C">
        <w:rPr>
          <w:lang w:val="fr-FR"/>
        </w:rPr>
        <w:t>’</w:t>
      </w:r>
      <w:r w:rsidRPr="00310D49">
        <w:rPr>
          <w:lang w:val="fr-FR"/>
        </w:rPr>
        <w:t>en 2015, leur nombre a atteint 89, dont 85 ont été réglées. En 2016, le nombre de plaintes examinées est passé à 312, dont 256 ont été réglées, tandis que le nombre de plaintes examinées en 2017 a atteint 123.</w:t>
      </w:r>
    </w:p>
    <w:p w14:paraId="1032DF06" w14:textId="6ACDCD6F" w:rsidR="00D005FA" w:rsidRPr="00310D49" w:rsidRDefault="00D005FA" w:rsidP="00E95C74">
      <w:pPr>
        <w:pStyle w:val="SingleTxtG"/>
        <w:spacing w:before="120" w:line="230" w:lineRule="atLeast"/>
        <w:rPr>
          <w:spacing w:val="-4"/>
          <w:lang w:val="fr-FR"/>
        </w:rPr>
      </w:pPr>
      <w:r w:rsidRPr="00310D49">
        <w:rPr>
          <w:lang w:val="fr-FR"/>
        </w:rPr>
        <w:t>312.</w:t>
      </w:r>
      <w:r w:rsidRPr="00310D49">
        <w:rPr>
          <w:lang w:val="fr-FR"/>
        </w:rPr>
        <w:tab/>
        <w:t>En ce qui concerne la conservation des renseignements personnels, la Direction de l</w:t>
      </w:r>
      <w:r w:rsidR="0035332C">
        <w:rPr>
          <w:lang w:val="fr-FR"/>
        </w:rPr>
        <w:t>’</w:t>
      </w:r>
      <w:r w:rsidRPr="00310D49">
        <w:rPr>
          <w:lang w:val="fr-FR"/>
        </w:rPr>
        <w:t>état civil est chargée de saisir les entrées relatives aux personnes morales ou physiques et les données familiales, tout en préservant la confidentialité des registres, qui ne peuvent être consultés que par les personnes concernées, sauf dérogation accordée par décision de justice. Toute rectification ou modification des registres de l</w:t>
      </w:r>
      <w:r w:rsidR="0035332C">
        <w:rPr>
          <w:lang w:val="fr-FR"/>
        </w:rPr>
        <w:t>’</w:t>
      </w:r>
      <w:r w:rsidRPr="00310D49">
        <w:rPr>
          <w:lang w:val="fr-FR"/>
        </w:rPr>
        <w:t>état civil ne peut être effectuée que par décision définitive du tribunal compétent. Sont exclues de toute rectification ou modification les données relatives à la nationalité, à la religion, à la profession ou à certains faits d</w:t>
      </w:r>
      <w:r w:rsidR="0035332C">
        <w:rPr>
          <w:lang w:val="fr-FR"/>
        </w:rPr>
        <w:t>’</w:t>
      </w:r>
      <w:r w:rsidRPr="00310D49">
        <w:rPr>
          <w:lang w:val="fr-FR"/>
        </w:rPr>
        <w:t>état civil, tels que le mariage ou le divorce.</w:t>
      </w:r>
    </w:p>
    <w:p w14:paraId="0AA2A726" w14:textId="1339E7FF" w:rsidR="00D005FA" w:rsidRPr="00310D49" w:rsidRDefault="00D005FA" w:rsidP="00E95C74">
      <w:pPr>
        <w:pStyle w:val="SingleTxtG"/>
        <w:spacing w:before="120" w:line="230" w:lineRule="atLeast"/>
        <w:rPr>
          <w:lang w:val="fr-FR"/>
        </w:rPr>
      </w:pPr>
      <w:r w:rsidRPr="00310D49">
        <w:rPr>
          <w:lang w:val="fr-FR"/>
        </w:rPr>
        <w:t>313.</w:t>
      </w:r>
      <w:r w:rsidRPr="00310D49">
        <w:rPr>
          <w:lang w:val="fr-FR"/>
        </w:rPr>
        <w:tab/>
        <w:t>Les articles 358 à 367 du Code pénal de 1960 traitent des délits de diffamation, de calomnie et d</w:t>
      </w:r>
      <w:r w:rsidR="0035332C">
        <w:rPr>
          <w:lang w:val="fr-FR"/>
        </w:rPr>
        <w:t>’</w:t>
      </w:r>
      <w:r w:rsidRPr="00310D49">
        <w:rPr>
          <w:lang w:val="fr-FR"/>
        </w:rPr>
        <w:t>outrage. Conformément à ces articles, l</w:t>
      </w:r>
      <w:r w:rsidR="0035332C">
        <w:rPr>
          <w:lang w:val="fr-FR"/>
        </w:rPr>
        <w:t>’</w:t>
      </w:r>
      <w:r w:rsidRPr="00310D49">
        <w:rPr>
          <w:lang w:val="fr-FR"/>
        </w:rPr>
        <w:t>action pénale contre l</w:t>
      </w:r>
      <w:r w:rsidR="0035332C">
        <w:rPr>
          <w:lang w:val="fr-FR"/>
        </w:rPr>
        <w:t>’</w:t>
      </w:r>
      <w:r w:rsidRPr="00310D49">
        <w:rPr>
          <w:lang w:val="fr-FR"/>
        </w:rPr>
        <w:t>auteur du délit de diffamation, de calomnie ou d</w:t>
      </w:r>
      <w:r w:rsidR="0035332C">
        <w:rPr>
          <w:lang w:val="fr-FR"/>
        </w:rPr>
        <w:t>’</w:t>
      </w:r>
      <w:r w:rsidRPr="00310D49">
        <w:rPr>
          <w:lang w:val="fr-FR"/>
        </w:rPr>
        <w:t>outrage ne peut être engagée que sur la base d</w:t>
      </w:r>
      <w:r w:rsidR="0035332C">
        <w:rPr>
          <w:lang w:val="fr-FR"/>
        </w:rPr>
        <w:t>’</w:t>
      </w:r>
      <w:r w:rsidRPr="00310D49">
        <w:rPr>
          <w:lang w:val="fr-FR"/>
        </w:rPr>
        <w:t>une plainte déposée par la victime ou ses ayants droit. En outre, la victime a le droit de faire accompagner sa plainte d</w:t>
      </w:r>
      <w:r w:rsidR="0035332C">
        <w:rPr>
          <w:lang w:val="fr-FR"/>
        </w:rPr>
        <w:t>’</w:t>
      </w:r>
      <w:r w:rsidRPr="00310D49">
        <w:rPr>
          <w:lang w:val="fr-FR"/>
        </w:rPr>
        <w:t>une demande de dommages-intérêts pour le préjudice matériel et moral qu</w:t>
      </w:r>
      <w:r w:rsidR="0035332C">
        <w:rPr>
          <w:lang w:val="fr-FR"/>
        </w:rPr>
        <w:t>’</w:t>
      </w:r>
      <w:r w:rsidRPr="00310D49">
        <w:rPr>
          <w:lang w:val="fr-FR"/>
        </w:rPr>
        <w:t xml:space="preserve">elle a subi. Il convient de préciser que les délits susmentionnés sont également traités dans les articles 201 à 209 du Code Pénal du mandat </w:t>
      </w:r>
      <w:r w:rsidRPr="00D93C9E">
        <w:rPr>
          <w:lang w:val="fr-FR"/>
        </w:rPr>
        <w:t>britannique.</w:t>
      </w:r>
    </w:p>
    <w:p w14:paraId="1CF3189A" w14:textId="250FD29C" w:rsidR="00D005FA" w:rsidRPr="00310D49" w:rsidRDefault="00D005FA" w:rsidP="00E95C74">
      <w:pPr>
        <w:pStyle w:val="SingleTxtG"/>
        <w:spacing w:before="120" w:line="230" w:lineRule="atLeast"/>
        <w:rPr>
          <w:lang w:val="fr-FR"/>
        </w:rPr>
      </w:pPr>
      <w:r w:rsidRPr="00310D49">
        <w:rPr>
          <w:lang w:val="fr-FR"/>
        </w:rPr>
        <w:t>314.</w:t>
      </w:r>
      <w:r w:rsidRPr="00310D49">
        <w:rPr>
          <w:lang w:val="fr-FR"/>
        </w:rPr>
        <w:tab/>
        <w:t>Le décret-loi n</w:t>
      </w:r>
      <w:r w:rsidR="00D32762" w:rsidRPr="00D32762">
        <w:rPr>
          <w:vertAlign w:val="superscript"/>
          <w:lang w:val="fr-FR"/>
        </w:rPr>
        <w:t>o</w:t>
      </w:r>
      <w:r w:rsidR="00D32762">
        <w:rPr>
          <w:lang w:val="fr-FR"/>
        </w:rPr>
        <w:t> </w:t>
      </w:r>
      <w:r w:rsidRPr="00310D49">
        <w:rPr>
          <w:lang w:val="fr-FR"/>
        </w:rPr>
        <w:t>16 sur la cybercriminalité, promulgué en 2017, a suscité de nombreuses protestations et critiques, ce qui a eu pour effet de le soumettre à un débat public auquel ont participé les représentants de la société civile. À la suite de ces consultations publiques, il a été remplacé par le décret-loi n</w:t>
      </w:r>
      <w:r w:rsidR="00983E9D" w:rsidRPr="00983E9D">
        <w:rPr>
          <w:vertAlign w:val="superscript"/>
          <w:lang w:val="fr-FR"/>
        </w:rPr>
        <w:t>o</w:t>
      </w:r>
      <w:r w:rsidR="00983E9D">
        <w:rPr>
          <w:lang w:val="fr-FR"/>
        </w:rPr>
        <w:t> </w:t>
      </w:r>
      <w:r w:rsidRPr="00310D49">
        <w:rPr>
          <w:lang w:val="fr-FR"/>
        </w:rPr>
        <w:t>10 de 2018 relatif à la cybercriminalité, qui a tenu compte du droit des individus à la confidentialité de leurs données électroniques. En</w:t>
      </w:r>
      <w:r w:rsidR="00045195">
        <w:rPr>
          <w:lang w:val="fr-FR"/>
        </w:rPr>
        <w:t> </w:t>
      </w:r>
      <w:r w:rsidRPr="00310D49">
        <w:rPr>
          <w:lang w:val="fr-FR"/>
        </w:rPr>
        <w:t>effet, l</w:t>
      </w:r>
      <w:r w:rsidR="0035332C">
        <w:rPr>
          <w:lang w:val="fr-FR"/>
        </w:rPr>
        <w:t>’</w:t>
      </w:r>
      <w:r w:rsidRPr="00310D49">
        <w:rPr>
          <w:lang w:val="fr-FR"/>
        </w:rPr>
        <w:t>article 22 de ce dernier décret-loi interdit toute immixtion arbitraire ou illégale dans la vie privée de toute personne, sa famille, son domicile ou sa correspondance. Le</w:t>
      </w:r>
      <w:r w:rsidR="00045195">
        <w:rPr>
          <w:lang w:val="fr-FR"/>
        </w:rPr>
        <w:t> </w:t>
      </w:r>
      <w:r w:rsidRPr="00310D49">
        <w:rPr>
          <w:lang w:val="fr-FR"/>
        </w:rPr>
        <w:t>décret-loi accorde, aux fins d</w:t>
      </w:r>
      <w:r w:rsidR="0035332C">
        <w:rPr>
          <w:lang w:val="fr-FR"/>
        </w:rPr>
        <w:t>’</w:t>
      </w:r>
      <w:r w:rsidRPr="00310D49">
        <w:rPr>
          <w:lang w:val="fr-FR"/>
        </w:rPr>
        <w:t>établir la vérité et de rendre justice, une dérogation au ministère public ou à la juridiction compétente pour obtenir les données électroniques d</w:t>
      </w:r>
      <w:r w:rsidR="0035332C">
        <w:rPr>
          <w:lang w:val="fr-FR"/>
        </w:rPr>
        <w:t>’</w:t>
      </w:r>
      <w:r w:rsidRPr="00310D49">
        <w:rPr>
          <w:lang w:val="fr-FR"/>
        </w:rPr>
        <w:t>un abonné auprès des fournisseurs de services Internet, la procédure étant régie par les règles de sécurité juridique prévues par le Code de procédure pénale.</w:t>
      </w:r>
    </w:p>
    <w:p w14:paraId="35037D79" w14:textId="55D78E77" w:rsidR="00D005FA" w:rsidRPr="00310D49" w:rsidRDefault="00D005FA" w:rsidP="00BE51F8">
      <w:pPr>
        <w:pStyle w:val="H1G"/>
        <w:rPr>
          <w:lang w:val="fr-FR"/>
        </w:rPr>
      </w:pPr>
      <w:r w:rsidRPr="00310D49">
        <w:rPr>
          <w:lang w:val="fr-FR"/>
        </w:rPr>
        <w:lastRenderedPageBreak/>
        <w:tab/>
      </w:r>
      <w:r w:rsidRPr="00310D49">
        <w:rPr>
          <w:lang w:val="fr-FR"/>
        </w:rPr>
        <w:tab/>
        <w:t>Article 18</w:t>
      </w:r>
      <w:bookmarkStart w:id="20" w:name="_Toc80715507"/>
      <w:bookmarkEnd w:id="20"/>
    </w:p>
    <w:p w14:paraId="61F16744" w14:textId="60419728" w:rsidR="00D005FA" w:rsidRPr="00310D49" w:rsidRDefault="00D005FA" w:rsidP="00BE51F8">
      <w:pPr>
        <w:pStyle w:val="SingleTxtG"/>
        <w:spacing w:before="120"/>
        <w:rPr>
          <w:lang w:val="fr-FR"/>
        </w:rPr>
      </w:pPr>
      <w:r w:rsidRPr="00310D49">
        <w:rPr>
          <w:lang w:val="fr-FR"/>
        </w:rPr>
        <w:t>315.</w:t>
      </w:r>
      <w:r w:rsidRPr="00310D49">
        <w:rPr>
          <w:lang w:val="fr-FR"/>
        </w:rPr>
        <w:tab/>
        <w:t>La Palestine est le berceau des trois grandes religions monothéistes et abrite les lieux saints de ces trois religions. La Déclaration d</w:t>
      </w:r>
      <w:r w:rsidR="0035332C">
        <w:rPr>
          <w:lang w:val="fr-FR"/>
        </w:rPr>
        <w:t>’</w:t>
      </w:r>
      <w:r w:rsidRPr="00310D49">
        <w:rPr>
          <w:lang w:val="fr-FR"/>
        </w:rPr>
        <w:t>indépendance prévoit la préservation des croyances religieuses, ainsi que l</w:t>
      </w:r>
      <w:r w:rsidR="0035332C">
        <w:rPr>
          <w:lang w:val="fr-FR"/>
        </w:rPr>
        <w:t>’</w:t>
      </w:r>
      <w:r w:rsidRPr="00310D49">
        <w:rPr>
          <w:lang w:val="fr-FR"/>
        </w:rPr>
        <w:t>égalité sans discrimination fondée sur la religion en ce qui concerne les droits publics, conformément à l</w:t>
      </w:r>
      <w:r w:rsidR="0035332C">
        <w:rPr>
          <w:lang w:val="fr-FR"/>
        </w:rPr>
        <w:t>’</w:t>
      </w:r>
      <w:r w:rsidRPr="00310D49">
        <w:rPr>
          <w:lang w:val="fr-FR"/>
        </w:rPr>
        <w:t>esprit des traditions séculaires de la civilisation palestinienne en termes de tolérance et de coexistence pacifique entre communautés religieuses.</w:t>
      </w:r>
    </w:p>
    <w:p w14:paraId="05139384" w14:textId="09754C82" w:rsidR="00D005FA" w:rsidRPr="00310D49" w:rsidRDefault="00D005FA" w:rsidP="00BE51F8">
      <w:pPr>
        <w:pStyle w:val="SingleTxtG"/>
        <w:spacing w:before="120"/>
        <w:rPr>
          <w:lang w:val="fr-FR"/>
        </w:rPr>
      </w:pPr>
      <w:r w:rsidRPr="00310D49">
        <w:rPr>
          <w:lang w:val="fr-FR"/>
        </w:rPr>
        <w:t>316.</w:t>
      </w:r>
      <w:r w:rsidRPr="00310D49">
        <w:rPr>
          <w:lang w:val="fr-FR"/>
        </w:rPr>
        <w:tab/>
        <w:t>L</w:t>
      </w:r>
      <w:r w:rsidR="0035332C">
        <w:rPr>
          <w:lang w:val="fr-FR"/>
        </w:rPr>
        <w:t>’</w:t>
      </w:r>
      <w:r w:rsidRPr="00310D49">
        <w:rPr>
          <w:lang w:val="fr-FR"/>
        </w:rPr>
        <w:t>article de la Loi fondamentale, telle que modifiée, dispose que «</w:t>
      </w:r>
      <w:r w:rsidR="00045195">
        <w:rPr>
          <w:lang w:val="fr-FR"/>
        </w:rPr>
        <w:t> </w:t>
      </w:r>
      <w:r w:rsidRPr="00310D49">
        <w:rPr>
          <w:lang w:val="fr-FR"/>
        </w:rPr>
        <w:t>[l]a liberté de foi, de culte et d</w:t>
      </w:r>
      <w:r w:rsidR="0035332C">
        <w:rPr>
          <w:lang w:val="fr-FR"/>
        </w:rPr>
        <w:t>’</w:t>
      </w:r>
      <w:r w:rsidRPr="00310D49">
        <w:rPr>
          <w:lang w:val="fr-FR"/>
        </w:rPr>
        <w:t xml:space="preserve">exercice des cultes est </w:t>
      </w:r>
      <w:r w:rsidRPr="00D93C9E">
        <w:rPr>
          <w:lang w:val="fr-FR"/>
        </w:rPr>
        <w:t>garantie,</w:t>
      </w:r>
      <w:r w:rsidRPr="00310D49">
        <w:rPr>
          <w:lang w:val="fr-FR"/>
        </w:rPr>
        <w:t xml:space="preserve"> sous réserve du respect </w:t>
      </w:r>
      <w:r w:rsidR="00045195">
        <w:rPr>
          <w:lang w:val="fr-FR"/>
        </w:rPr>
        <w:t xml:space="preserve">de </w:t>
      </w:r>
      <w:r w:rsidRPr="00310D49">
        <w:rPr>
          <w:lang w:val="fr-FR"/>
        </w:rPr>
        <w:t>l</w:t>
      </w:r>
      <w:r w:rsidR="0035332C">
        <w:rPr>
          <w:lang w:val="fr-FR"/>
        </w:rPr>
        <w:t>’</w:t>
      </w:r>
      <w:r w:rsidRPr="00310D49">
        <w:rPr>
          <w:lang w:val="fr-FR"/>
        </w:rPr>
        <w:t>ordre public et des bonnes mœurs</w:t>
      </w:r>
      <w:r w:rsidR="00045195">
        <w:rPr>
          <w:lang w:val="fr-FR"/>
        </w:rPr>
        <w:t> </w:t>
      </w:r>
      <w:r w:rsidRPr="00310D49">
        <w:rPr>
          <w:lang w:val="fr-FR"/>
        </w:rPr>
        <w:t>», tandis que l</w:t>
      </w:r>
      <w:r w:rsidR="0035332C">
        <w:rPr>
          <w:lang w:val="fr-FR"/>
        </w:rPr>
        <w:t>’</w:t>
      </w:r>
      <w:r w:rsidRPr="00310D49">
        <w:rPr>
          <w:lang w:val="fr-FR"/>
        </w:rPr>
        <w:t>article</w:t>
      </w:r>
      <w:r w:rsidR="00045195">
        <w:rPr>
          <w:lang w:val="fr-FR"/>
        </w:rPr>
        <w:t> </w:t>
      </w:r>
      <w:r w:rsidRPr="00310D49">
        <w:rPr>
          <w:lang w:val="fr-FR"/>
        </w:rPr>
        <w:t>4 (al</w:t>
      </w:r>
      <w:r w:rsidR="00045195">
        <w:rPr>
          <w:lang w:val="fr-FR"/>
        </w:rPr>
        <w:t>. </w:t>
      </w:r>
      <w:r w:rsidRPr="00310D49">
        <w:rPr>
          <w:lang w:val="fr-FR"/>
        </w:rPr>
        <w:t>1) prévoit que «</w:t>
      </w:r>
      <w:r w:rsidR="00045195">
        <w:rPr>
          <w:lang w:val="fr-FR"/>
        </w:rPr>
        <w:t> </w:t>
      </w:r>
      <w:r w:rsidRPr="00310D49">
        <w:rPr>
          <w:lang w:val="fr-FR"/>
        </w:rPr>
        <w:t>[l]</w:t>
      </w:r>
      <w:r w:rsidR="0035332C">
        <w:rPr>
          <w:lang w:val="fr-FR"/>
        </w:rPr>
        <w:t>’</w:t>
      </w:r>
      <w:r w:rsidRPr="00310D49">
        <w:rPr>
          <w:lang w:val="fr-FR"/>
        </w:rPr>
        <w:t>islam est la religion officielle de l</w:t>
      </w:r>
      <w:r w:rsidR="0035332C">
        <w:rPr>
          <w:lang w:val="fr-FR"/>
        </w:rPr>
        <w:t>’</w:t>
      </w:r>
      <w:r w:rsidRPr="00310D49">
        <w:rPr>
          <w:lang w:val="fr-FR"/>
        </w:rPr>
        <w:t>État de Palestine. Le respect et le caractère sacré de toutes les autres religions monothéistes sont garantis</w:t>
      </w:r>
      <w:r w:rsidR="00045195">
        <w:rPr>
          <w:lang w:val="fr-FR"/>
        </w:rPr>
        <w:t>. </w:t>
      </w:r>
      <w:r w:rsidRPr="00310D49">
        <w:rPr>
          <w:lang w:val="fr-FR"/>
        </w:rPr>
        <w:t>».</w:t>
      </w:r>
    </w:p>
    <w:p w14:paraId="5B0EF370" w14:textId="597CF73D" w:rsidR="00D005FA" w:rsidRPr="00310D49" w:rsidRDefault="00D005FA" w:rsidP="00BE51F8">
      <w:pPr>
        <w:pStyle w:val="SingleTxtG"/>
        <w:spacing w:before="120"/>
        <w:rPr>
          <w:lang w:val="fr-FR"/>
        </w:rPr>
      </w:pPr>
      <w:r w:rsidRPr="00310D49">
        <w:rPr>
          <w:lang w:val="fr-FR"/>
        </w:rPr>
        <w:t>317.</w:t>
      </w:r>
      <w:r w:rsidRPr="00310D49">
        <w:rPr>
          <w:lang w:val="fr-FR"/>
        </w:rPr>
        <w:tab/>
        <w:t>Le Code pénal (loi n</w:t>
      </w:r>
      <w:r w:rsidR="00045195" w:rsidRPr="00045195">
        <w:rPr>
          <w:vertAlign w:val="superscript"/>
          <w:lang w:val="fr-FR"/>
        </w:rPr>
        <w:t>o</w:t>
      </w:r>
      <w:r w:rsidR="00045195">
        <w:rPr>
          <w:lang w:val="fr-FR"/>
        </w:rPr>
        <w:t> </w:t>
      </w:r>
      <w:r w:rsidRPr="00310D49">
        <w:rPr>
          <w:lang w:val="fr-FR"/>
        </w:rPr>
        <w:t>16 de 1960), dans ses articles 273 à 278 figurant au chapitre intitulé «</w:t>
      </w:r>
      <w:r w:rsidR="00045195">
        <w:rPr>
          <w:lang w:val="fr-FR"/>
        </w:rPr>
        <w:t> </w:t>
      </w:r>
      <w:r w:rsidRPr="00310D49">
        <w:rPr>
          <w:lang w:val="fr-FR"/>
        </w:rPr>
        <w:t>Des infractions liées à la religion et à la profanation des morts</w:t>
      </w:r>
      <w:r w:rsidR="00045195">
        <w:rPr>
          <w:lang w:val="fr-FR"/>
        </w:rPr>
        <w:t> </w:t>
      </w:r>
      <w:r w:rsidRPr="00310D49">
        <w:rPr>
          <w:lang w:val="fr-FR"/>
        </w:rPr>
        <w:t>», prévoit un</w:t>
      </w:r>
      <w:r w:rsidR="00045195">
        <w:rPr>
          <w:lang w:val="fr-FR"/>
        </w:rPr>
        <w:t>e</w:t>
      </w:r>
      <w:r w:rsidRPr="00310D49">
        <w:rPr>
          <w:lang w:val="fr-FR"/>
        </w:rPr>
        <w:t xml:space="preserve"> peine d</w:t>
      </w:r>
      <w:r w:rsidR="0035332C">
        <w:rPr>
          <w:lang w:val="fr-FR"/>
        </w:rPr>
        <w:t>’</w:t>
      </w:r>
      <w:r w:rsidRPr="00310D49">
        <w:rPr>
          <w:lang w:val="fr-FR"/>
        </w:rPr>
        <w:t>emprisonnement ou une amende pour quiconque ose proférer en public des propos malveillants à l</w:t>
      </w:r>
      <w:r w:rsidR="0035332C">
        <w:rPr>
          <w:lang w:val="fr-FR"/>
        </w:rPr>
        <w:t>’</w:t>
      </w:r>
      <w:r w:rsidRPr="00310D49">
        <w:rPr>
          <w:lang w:val="fr-FR"/>
        </w:rPr>
        <w:t>encontre des prophètes, détruit ou profane un lieu de culte, un emblème ou tout objet qui est considéré comme sacré par un groupe de personnes avec l</w:t>
      </w:r>
      <w:r w:rsidR="0035332C">
        <w:rPr>
          <w:lang w:val="fr-FR"/>
        </w:rPr>
        <w:t>’</w:t>
      </w:r>
      <w:r w:rsidRPr="00310D49">
        <w:rPr>
          <w:lang w:val="fr-FR"/>
        </w:rPr>
        <w:t>intention d</w:t>
      </w:r>
      <w:r w:rsidR="0035332C">
        <w:rPr>
          <w:lang w:val="fr-FR"/>
        </w:rPr>
        <w:t>’</w:t>
      </w:r>
      <w:r w:rsidRPr="00310D49">
        <w:rPr>
          <w:lang w:val="fr-FR"/>
        </w:rPr>
        <w:t>insulter la religion de tout groupe de personnes, perturbe l</w:t>
      </w:r>
      <w:r w:rsidR="0035332C">
        <w:rPr>
          <w:lang w:val="fr-FR"/>
        </w:rPr>
        <w:t>’</w:t>
      </w:r>
      <w:r w:rsidRPr="00310D49">
        <w:rPr>
          <w:lang w:val="fr-FR"/>
        </w:rPr>
        <w:t>exercice des cultes sans motif ou excuse légitime, ou tient des propos propres à blesser les sentiments ou les convictions religieuses d</w:t>
      </w:r>
      <w:r w:rsidR="0035332C">
        <w:rPr>
          <w:lang w:val="fr-FR"/>
        </w:rPr>
        <w:t>’</w:t>
      </w:r>
      <w:r w:rsidRPr="00310D49">
        <w:rPr>
          <w:lang w:val="fr-FR"/>
        </w:rPr>
        <w:t>autrui.</w:t>
      </w:r>
    </w:p>
    <w:p w14:paraId="679DEA46" w14:textId="53E2F423" w:rsidR="00D005FA" w:rsidRPr="00310D49" w:rsidRDefault="00D005FA" w:rsidP="00BE51F8">
      <w:pPr>
        <w:pStyle w:val="SingleTxtG"/>
        <w:spacing w:before="120"/>
        <w:rPr>
          <w:lang w:val="fr-FR"/>
        </w:rPr>
      </w:pPr>
      <w:r w:rsidRPr="00310D49">
        <w:rPr>
          <w:lang w:val="fr-FR"/>
        </w:rPr>
        <w:t>318.</w:t>
      </w:r>
      <w:r w:rsidRPr="00310D49">
        <w:rPr>
          <w:lang w:val="fr-FR"/>
        </w:rPr>
        <w:tab/>
        <w:t>Le Code pénal du mandat britannique (ordonnance n</w:t>
      </w:r>
      <w:r w:rsidR="00045195" w:rsidRPr="00045195">
        <w:rPr>
          <w:vertAlign w:val="superscript"/>
          <w:lang w:val="fr-FR"/>
        </w:rPr>
        <w:t>o</w:t>
      </w:r>
      <w:r w:rsidR="00045195">
        <w:rPr>
          <w:lang w:val="fr-FR"/>
        </w:rPr>
        <w:t> </w:t>
      </w:r>
      <w:r w:rsidRPr="00310D49">
        <w:rPr>
          <w:lang w:val="fr-FR"/>
        </w:rPr>
        <w:t>74 de 1936) traite également des «</w:t>
      </w:r>
      <w:r w:rsidR="00045195">
        <w:rPr>
          <w:lang w:val="fr-FR"/>
        </w:rPr>
        <w:t> </w:t>
      </w:r>
      <w:r w:rsidRPr="00310D49">
        <w:rPr>
          <w:lang w:val="fr-FR"/>
        </w:rPr>
        <w:t>infractions liées aux religions et aux lieux publics ayant un caractère sacré</w:t>
      </w:r>
      <w:r w:rsidR="00045195">
        <w:rPr>
          <w:lang w:val="fr-FR"/>
        </w:rPr>
        <w:t> </w:t>
      </w:r>
      <w:r w:rsidRPr="00310D49">
        <w:rPr>
          <w:lang w:val="fr-FR"/>
        </w:rPr>
        <w:t>». Ainsi, selon les articles</w:t>
      </w:r>
      <w:r w:rsidR="00045195">
        <w:rPr>
          <w:lang w:val="fr-FR"/>
        </w:rPr>
        <w:t> </w:t>
      </w:r>
      <w:r w:rsidRPr="00310D49">
        <w:rPr>
          <w:lang w:val="fr-FR"/>
        </w:rPr>
        <w:t>146 à 150 dudit Code, quiconque vandalise, détruit ou profane un lieu de culte ou un objet vénéré par un groupe de personnes, dérange intentionnellement des personnes assemblées légalement pour célébrer un culte, s</w:t>
      </w:r>
      <w:r w:rsidR="0035332C">
        <w:rPr>
          <w:lang w:val="fr-FR"/>
        </w:rPr>
        <w:t>’</w:t>
      </w:r>
      <w:r w:rsidRPr="00310D49">
        <w:rPr>
          <w:lang w:val="fr-FR"/>
        </w:rPr>
        <w:t>en prend à un lieu de culte, outrage les sentiments religieux d</w:t>
      </w:r>
      <w:r w:rsidR="0035332C">
        <w:rPr>
          <w:lang w:val="fr-FR"/>
        </w:rPr>
        <w:t>’</w:t>
      </w:r>
      <w:r w:rsidRPr="00310D49">
        <w:rPr>
          <w:lang w:val="fr-FR"/>
        </w:rPr>
        <w:t>autrui ou vandalise des lieux ayant un caractère sacré, est réputé avoir commis un délit.</w:t>
      </w:r>
    </w:p>
    <w:p w14:paraId="3031706C" w14:textId="1B5A7A11" w:rsidR="00D005FA" w:rsidRPr="00310D49" w:rsidRDefault="00D005FA" w:rsidP="00BE51F8">
      <w:pPr>
        <w:pStyle w:val="SingleTxtG"/>
        <w:spacing w:before="120"/>
        <w:rPr>
          <w:lang w:val="fr-FR"/>
        </w:rPr>
      </w:pPr>
      <w:r w:rsidRPr="00310D49">
        <w:rPr>
          <w:lang w:val="fr-FR"/>
        </w:rPr>
        <w:t>319.</w:t>
      </w:r>
      <w:r w:rsidRPr="00310D49">
        <w:rPr>
          <w:lang w:val="fr-FR"/>
        </w:rPr>
        <w:tab/>
        <w:t>Les différentes communautés religieuses agissent de façon indépendante quant à l</w:t>
      </w:r>
      <w:r w:rsidR="0035332C">
        <w:rPr>
          <w:lang w:val="fr-FR"/>
        </w:rPr>
        <w:t>’</w:t>
      </w:r>
      <w:r w:rsidRPr="00310D49">
        <w:rPr>
          <w:lang w:val="fr-FR"/>
        </w:rPr>
        <w:t>organisation des affaires spirituelles de leurs sujets et à la pratique des rites et rituels religieux. Quant aux affaires liées au statut personnel, chaque communauté religieuse applique ses propres lois en vigueur en la matière.</w:t>
      </w:r>
    </w:p>
    <w:p w14:paraId="73B2B5C6" w14:textId="23F0FD8A" w:rsidR="00D005FA" w:rsidRPr="00310D49" w:rsidRDefault="00D005FA" w:rsidP="00BE51F8">
      <w:pPr>
        <w:pStyle w:val="SingleTxtG"/>
        <w:spacing w:before="120"/>
        <w:rPr>
          <w:lang w:val="fr-FR"/>
        </w:rPr>
      </w:pPr>
      <w:r w:rsidRPr="00310D49">
        <w:rPr>
          <w:lang w:val="fr-FR"/>
        </w:rPr>
        <w:t>320.</w:t>
      </w:r>
      <w:r w:rsidRPr="00310D49">
        <w:rPr>
          <w:lang w:val="fr-FR"/>
        </w:rPr>
        <w:tab/>
        <w:t>La communauté samaritaine vit sur les hauteurs du mont Gerizim, à Naplouse, où elle possède des synagogues pour pratiquer leurs rites et croyances religieuses. L</w:t>
      </w:r>
      <w:r w:rsidR="0035332C">
        <w:rPr>
          <w:lang w:val="fr-FR"/>
        </w:rPr>
        <w:t>’</w:t>
      </w:r>
      <w:r w:rsidRPr="00310D49">
        <w:rPr>
          <w:lang w:val="fr-FR"/>
        </w:rPr>
        <w:t>une de ces synagogues se trouve dans l</w:t>
      </w:r>
      <w:r w:rsidR="0035332C">
        <w:rPr>
          <w:lang w:val="fr-FR"/>
        </w:rPr>
        <w:t>’</w:t>
      </w:r>
      <w:r w:rsidRPr="00310D49">
        <w:rPr>
          <w:lang w:val="fr-FR"/>
        </w:rPr>
        <w:t>ancien quartier samaritain de Naplouse, tandis qu</w:t>
      </w:r>
      <w:r w:rsidR="0035332C">
        <w:rPr>
          <w:lang w:val="fr-FR"/>
        </w:rPr>
        <w:t>’</w:t>
      </w:r>
      <w:r w:rsidRPr="00310D49">
        <w:rPr>
          <w:lang w:val="fr-FR"/>
        </w:rPr>
        <w:t>une autre est située au cœur du quartier samaritain sur le mont Gerizim.</w:t>
      </w:r>
    </w:p>
    <w:p w14:paraId="29F46544" w14:textId="25C9A523" w:rsidR="00D005FA" w:rsidRPr="00310D49" w:rsidRDefault="00D005FA" w:rsidP="00BE51F8">
      <w:pPr>
        <w:pStyle w:val="SingleTxtG"/>
        <w:spacing w:before="120"/>
        <w:rPr>
          <w:spacing w:val="-2"/>
          <w:lang w:val="fr-FR"/>
        </w:rPr>
      </w:pPr>
      <w:r w:rsidRPr="00310D49">
        <w:rPr>
          <w:lang w:val="fr-FR"/>
        </w:rPr>
        <w:t>321.</w:t>
      </w:r>
      <w:r w:rsidRPr="00310D49">
        <w:rPr>
          <w:lang w:val="fr-FR"/>
        </w:rPr>
        <w:tab/>
        <w:t>Les Églises accréditées auprès de l</w:t>
      </w:r>
      <w:r w:rsidR="0035332C">
        <w:rPr>
          <w:lang w:val="fr-FR"/>
        </w:rPr>
        <w:t>’</w:t>
      </w:r>
      <w:r w:rsidRPr="00310D49">
        <w:rPr>
          <w:lang w:val="fr-FR"/>
        </w:rPr>
        <w:t>État de Palestine ont été officiellement reconnues par le décret pris par le Président en 2008. Il s</w:t>
      </w:r>
      <w:r w:rsidR="0035332C">
        <w:rPr>
          <w:lang w:val="fr-FR"/>
        </w:rPr>
        <w:t>’</w:t>
      </w:r>
      <w:r w:rsidRPr="00310D49">
        <w:rPr>
          <w:lang w:val="fr-FR"/>
        </w:rPr>
        <w:t>agit des Églises appartenant aux communautés religieuses suivantes</w:t>
      </w:r>
      <w:r w:rsidR="00A53B5A">
        <w:rPr>
          <w:lang w:val="fr-FR"/>
        </w:rPr>
        <w:t> </w:t>
      </w:r>
      <w:r w:rsidRPr="00310D49">
        <w:rPr>
          <w:lang w:val="fr-FR"/>
        </w:rPr>
        <w:t>: le patriarcat grec-orthodoxe, le patriarcat latin, le patriarcat arménien, le patriarcat arménien orthodoxe, la Custodie franciscaine de Terre sainte, le patriarcat copte orthodoxe à Jérusalem, le patriarcat syriaque orthodoxe, le patriarcat éthiopien orthodoxe, le vicariat patriarcal maronite à Jérusalem et dans les Territoires palestiniens, le patriarcat grec melkite catholique, l</w:t>
      </w:r>
      <w:r w:rsidR="0035332C">
        <w:rPr>
          <w:lang w:val="fr-FR"/>
        </w:rPr>
        <w:t>’</w:t>
      </w:r>
      <w:r w:rsidRPr="00310D49">
        <w:rPr>
          <w:lang w:val="fr-FR"/>
        </w:rPr>
        <w:t>Église évangélique luthérienne de Jordanie et de Terre Sainte, l</w:t>
      </w:r>
      <w:r w:rsidR="0035332C">
        <w:rPr>
          <w:lang w:val="fr-FR"/>
        </w:rPr>
        <w:t>’</w:t>
      </w:r>
      <w:r w:rsidRPr="00310D49">
        <w:rPr>
          <w:lang w:val="fr-FR"/>
        </w:rPr>
        <w:t>Église épiscopale de Jérusalem et du Moyen-Orient, le vicariat patriarcal syriaque catholique, le</w:t>
      </w:r>
      <w:r w:rsidR="00045195">
        <w:rPr>
          <w:lang w:val="fr-FR"/>
        </w:rPr>
        <w:t> </w:t>
      </w:r>
      <w:r w:rsidRPr="00310D49">
        <w:rPr>
          <w:lang w:val="fr-FR"/>
        </w:rPr>
        <w:t>vicariat patriarcal arménien catholique.</w:t>
      </w:r>
    </w:p>
    <w:p w14:paraId="1FDDB0C1" w14:textId="0F8B7D55" w:rsidR="00D005FA" w:rsidRPr="00310D49" w:rsidRDefault="00D005FA" w:rsidP="00BE51F8">
      <w:pPr>
        <w:pStyle w:val="SingleTxtG"/>
        <w:spacing w:before="120"/>
        <w:rPr>
          <w:lang w:val="fr-FR"/>
        </w:rPr>
      </w:pPr>
      <w:r w:rsidRPr="00310D49">
        <w:rPr>
          <w:lang w:val="fr-FR"/>
        </w:rPr>
        <w:t>322.</w:t>
      </w:r>
      <w:r w:rsidRPr="00310D49">
        <w:rPr>
          <w:lang w:val="fr-FR"/>
        </w:rPr>
        <w:tab/>
        <w:t>En outre, le décret-loi n</w:t>
      </w:r>
      <w:r w:rsidR="00045195" w:rsidRPr="00045195">
        <w:rPr>
          <w:vertAlign w:val="superscript"/>
          <w:lang w:val="fr-FR"/>
        </w:rPr>
        <w:t>o</w:t>
      </w:r>
      <w:r w:rsidR="00045195">
        <w:rPr>
          <w:lang w:val="fr-FR"/>
        </w:rPr>
        <w:t> </w:t>
      </w:r>
      <w:r w:rsidRPr="00310D49">
        <w:rPr>
          <w:lang w:val="fr-FR"/>
        </w:rPr>
        <w:t>9 de 2014 portant exonération des impôts et taxes de toutes sortes en faveur des confessions chrétiennes reconnues a été pris pour réduire les charges financières qui pèsent sur les églises et sur l</w:t>
      </w:r>
      <w:r w:rsidR="0035332C">
        <w:rPr>
          <w:lang w:val="fr-FR"/>
        </w:rPr>
        <w:t>’</w:t>
      </w:r>
      <w:r w:rsidRPr="00310D49">
        <w:rPr>
          <w:lang w:val="fr-FR"/>
        </w:rPr>
        <w:t>exploitation de leurs biens. Ainsi, l</w:t>
      </w:r>
      <w:r w:rsidR="0035332C">
        <w:rPr>
          <w:lang w:val="fr-FR"/>
        </w:rPr>
        <w:t>’</w:t>
      </w:r>
      <w:r w:rsidRPr="00310D49">
        <w:rPr>
          <w:lang w:val="fr-FR"/>
        </w:rPr>
        <w:t>article</w:t>
      </w:r>
      <w:r w:rsidR="00045195">
        <w:rPr>
          <w:lang w:val="fr-FR"/>
        </w:rPr>
        <w:t> </w:t>
      </w:r>
      <w:r w:rsidRPr="00310D49">
        <w:rPr>
          <w:lang w:val="fr-FR"/>
        </w:rPr>
        <w:t xml:space="preserve">2 dudit décret-loi exonère des impôts et des taxes de toutes sortes les transactions et opérations effectuées par les confessions chrétiennes concernées, ainsi que </w:t>
      </w:r>
      <w:r w:rsidRPr="00D93C9E">
        <w:rPr>
          <w:lang w:val="fr-FR"/>
        </w:rPr>
        <w:t>les biens directement exploités</w:t>
      </w:r>
      <w:r w:rsidRPr="00310D49">
        <w:rPr>
          <w:lang w:val="fr-FR"/>
        </w:rPr>
        <w:t xml:space="preserve"> par elles. </w:t>
      </w:r>
    </w:p>
    <w:p w14:paraId="16D2A7CB" w14:textId="2B33DBD6" w:rsidR="00D005FA" w:rsidRPr="00310D49" w:rsidRDefault="00D005FA" w:rsidP="00BE51F8">
      <w:pPr>
        <w:pStyle w:val="SingleTxtG"/>
        <w:spacing w:before="120"/>
        <w:rPr>
          <w:lang w:val="fr-FR"/>
        </w:rPr>
      </w:pPr>
      <w:r w:rsidRPr="00310D49">
        <w:rPr>
          <w:lang w:val="fr-FR"/>
        </w:rPr>
        <w:t>323.</w:t>
      </w:r>
      <w:r w:rsidRPr="00310D49">
        <w:rPr>
          <w:lang w:val="fr-FR"/>
        </w:rPr>
        <w:tab/>
        <w:t>La Haute Commission présidentielle pour le suivi des affaires des Églises de Palestine, formée par décret présidentiel en 2012, est chargée de suivre auprès des églises locales les affaires ecclésiastiques, y compris les questions juridiques, immobilières et institutionnelles. Elle est également chargée d</w:t>
      </w:r>
      <w:r w:rsidR="0035332C">
        <w:rPr>
          <w:lang w:val="fr-FR"/>
        </w:rPr>
        <w:t>’</w:t>
      </w:r>
      <w:r w:rsidRPr="00310D49">
        <w:rPr>
          <w:lang w:val="fr-FR"/>
        </w:rPr>
        <w:t xml:space="preserve">assurer la coordination avec les organismes locaux, régionaux </w:t>
      </w:r>
      <w:r w:rsidRPr="00310D49">
        <w:rPr>
          <w:lang w:val="fr-FR"/>
        </w:rPr>
        <w:lastRenderedPageBreak/>
        <w:t xml:space="preserve">et internationaux en ce qui concerne les affaires ecclésiastiques, ainsi que le suivi des activités et événements liés au dialogue interreligieux aux niveaux local, régional et international. </w:t>
      </w:r>
    </w:p>
    <w:p w14:paraId="2A7BDBC2" w14:textId="69FE8B35" w:rsidR="00D005FA" w:rsidRPr="00310D49" w:rsidRDefault="00D005FA" w:rsidP="00BE51F8">
      <w:pPr>
        <w:pStyle w:val="SingleTxtG"/>
        <w:spacing w:before="120"/>
        <w:rPr>
          <w:lang w:val="fr-FR"/>
        </w:rPr>
      </w:pPr>
      <w:r w:rsidRPr="00310D49">
        <w:rPr>
          <w:lang w:val="fr-FR"/>
        </w:rPr>
        <w:t>324.</w:t>
      </w:r>
      <w:r w:rsidRPr="00310D49">
        <w:rPr>
          <w:lang w:val="fr-FR"/>
        </w:rPr>
        <w:tab/>
        <w:t>En outre, dans le cadre des efforts visant à garantir le respect du libre exercice des cultes et des droits ecclésiastiques, l</w:t>
      </w:r>
      <w:r w:rsidR="0035332C">
        <w:rPr>
          <w:lang w:val="fr-FR"/>
        </w:rPr>
        <w:t>’</w:t>
      </w:r>
      <w:r w:rsidRPr="00310D49">
        <w:rPr>
          <w:lang w:val="fr-FR"/>
        </w:rPr>
        <w:t>État de Palestine a signé en juin 2015 l</w:t>
      </w:r>
      <w:r w:rsidR="0035332C">
        <w:rPr>
          <w:lang w:val="fr-FR"/>
        </w:rPr>
        <w:t>’</w:t>
      </w:r>
      <w:r w:rsidRPr="00310D49">
        <w:rPr>
          <w:lang w:val="fr-FR"/>
        </w:rPr>
        <w:t>Accord global entre l</w:t>
      </w:r>
      <w:r w:rsidR="0035332C">
        <w:rPr>
          <w:lang w:val="fr-FR"/>
        </w:rPr>
        <w:t>’</w:t>
      </w:r>
      <w:r w:rsidRPr="00310D49">
        <w:rPr>
          <w:lang w:val="fr-FR"/>
        </w:rPr>
        <w:t>État de Palestine et le Saint-Siège pour protéger et réglementer les droits des citoyens palestiniens fidèles de l</w:t>
      </w:r>
      <w:r w:rsidR="0035332C">
        <w:rPr>
          <w:lang w:val="fr-FR"/>
        </w:rPr>
        <w:t>’</w:t>
      </w:r>
      <w:r w:rsidRPr="00310D49">
        <w:rPr>
          <w:lang w:val="fr-FR"/>
        </w:rPr>
        <w:t>Église catholique.</w:t>
      </w:r>
    </w:p>
    <w:p w14:paraId="6CAA601D" w14:textId="59619A62" w:rsidR="00D005FA" w:rsidRPr="00310D49" w:rsidRDefault="00D005FA" w:rsidP="00BE51F8">
      <w:pPr>
        <w:pStyle w:val="SingleTxtG"/>
        <w:spacing w:before="120"/>
        <w:rPr>
          <w:lang w:val="fr-FR"/>
        </w:rPr>
      </w:pPr>
      <w:r w:rsidRPr="00310D49">
        <w:rPr>
          <w:lang w:val="fr-FR"/>
        </w:rPr>
        <w:t>325.</w:t>
      </w:r>
      <w:r w:rsidRPr="00310D49">
        <w:rPr>
          <w:lang w:val="fr-FR"/>
        </w:rPr>
        <w:tab/>
        <w:t>L</w:t>
      </w:r>
      <w:r w:rsidR="0035332C">
        <w:rPr>
          <w:lang w:val="fr-FR"/>
        </w:rPr>
        <w:t>’</w:t>
      </w:r>
      <w:r w:rsidRPr="00310D49">
        <w:rPr>
          <w:lang w:val="fr-FR"/>
        </w:rPr>
        <w:t>État de Palestine garantit le droit à un congé religieux à tous les Palestiniens. Ainsi, outre les dispositions du Code du travail et du Code de la fonction publique, le décret du Conseil des ministres n</w:t>
      </w:r>
      <w:r w:rsidR="00045195" w:rsidRPr="00045195">
        <w:rPr>
          <w:vertAlign w:val="superscript"/>
          <w:lang w:val="fr-FR"/>
        </w:rPr>
        <w:t>o</w:t>
      </w:r>
      <w:r w:rsidR="00045195">
        <w:rPr>
          <w:lang w:val="fr-FR"/>
        </w:rPr>
        <w:t> </w:t>
      </w:r>
      <w:r w:rsidRPr="00310D49">
        <w:rPr>
          <w:lang w:val="fr-FR"/>
        </w:rPr>
        <w:t>217 de 2004 accorde le droit à un congé à l</w:t>
      </w:r>
      <w:r w:rsidR="0035332C">
        <w:rPr>
          <w:lang w:val="fr-FR"/>
        </w:rPr>
        <w:t>’</w:t>
      </w:r>
      <w:r w:rsidRPr="00310D49">
        <w:rPr>
          <w:lang w:val="fr-FR"/>
        </w:rPr>
        <w:t>occasion des fêtes religieuses chrétiennes orientales et occidentales et le décret du Conseil des ministres n</w:t>
      </w:r>
      <w:r w:rsidR="00045195" w:rsidRPr="00045195">
        <w:rPr>
          <w:vertAlign w:val="superscript"/>
          <w:lang w:val="fr-FR"/>
        </w:rPr>
        <w:t>o</w:t>
      </w:r>
      <w:r w:rsidR="00045195">
        <w:rPr>
          <w:lang w:val="fr-FR"/>
        </w:rPr>
        <w:t> </w:t>
      </w:r>
      <w:r w:rsidRPr="00310D49">
        <w:rPr>
          <w:lang w:val="fr-FR"/>
        </w:rPr>
        <w:t>6 de 2016 reconnaît aux Samaritains le droit à un congé à l</w:t>
      </w:r>
      <w:r w:rsidR="0035332C">
        <w:rPr>
          <w:lang w:val="fr-FR"/>
        </w:rPr>
        <w:t>’</w:t>
      </w:r>
      <w:r w:rsidRPr="00310D49">
        <w:rPr>
          <w:lang w:val="fr-FR"/>
        </w:rPr>
        <w:t>occasion des fêtes religieuses samaritaines.</w:t>
      </w:r>
    </w:p>
    <w:p w14:paraId="5F36330B" w14:textId="1DA92070" w:rsidR="00D005FA" w:rsidRPr="00310D49" w:rsidRDefault="00D005FA" w:rsidP="00BE51F8">
      <w:pPr>
        <w:pStyle w:val="SingleTxtG"/>
        <w:spacing w:before="120"/>
        <w:rPr>
          <w:lang w:val="fr-FR"/>
        </w:rPr>
      </w:pPr>
      <w:r w:rsidRPr="00310D49">
        <w:rPr>
          <w:lang w:val="fr-FR"/>
        </w:rPr>
        <w:t>326.</w:t>
      </w:r>
      <w:r w:rsidRPr="00310D49">
        <w:rPr>
          <w:lang w:val="fr-FR"/>
        </w:rPr>
        <w:tab/>
        <w:t xml:space="preserve">Selon les statistiques de 2017 établies par le Bureau central palestinien de statistique concernant la répartition de la population palestinienne dans le Territoire palestinien par religion, il y </w:t>
      </w:r>
      <w:r w:rsidRPr="00C308F4">
        <w:rPr>
          <w:lang w:val="fr-FR"/>
        </w:rPr>
        <w:t>a 4</w:t>
      </w:r>
      <w:r w:rsidR="007B17AA" w:rsidRPr="00C308F4">
        <w:rPr>
          <w:lang w:val="fr-FR"/>
        </w:rPr>
        <w:t> </w:t>
      </w:r>
      <w:r w:rsidRPr="00C308F4">
        <w:rPr>
          <w:lang w:val="fr-FR"/>
        </w:rPr>
        <w:t>615</w:t>
      </w:r>
      <w:r w:rsidR="007B17AA" w:rsidRPr="00C308F4">
        <w:rPr>
          <w:lang w:val="fr-FR"/>
        </w:rPr>
        <w:t> </w:t>
      </w:r>
      <w:r w:rsidRPr="00C308F4">
        <w:rPr>
          <w:lang w:val="fr-FR"/>
        </w:rPr>
        <w:t>683</w:t>
      </w:r>
      <w:r w:rsidR="007B17AA" w:rsidRPr="00C308F4">
        <w:rPr>
          <w:lang w:val="fr-FR"/>
        </w:rPr>
        <w:t> </w:t>
      </w:r>
      <w:r w:rsidRPr="00C308F4">
        <w:rPr>
          <w:lang w:val="fr-FR"/>
        </w:rPr>
        <w:t>musulmans, 46</w:t>
      </w:r>
      <w:r w:rsidR="007B17AA" w:rsidRPr="00C308F4">
        <w:rPr>
          <w:lang w:val="fr-FR"/>
        </w:rPr>
        <w:t> </w:t>
      </w:r>
      <w:r w:rsidRPr="00C308F4">
        <w:rPr>
          <w:lang w:val="fr-FR"/>
        </w:rPr>
        <w:t>850</w:t>
      </w:r>
      <w:r w:rsidR="007B17AA" w:rsidRPr="00C308F4">
        <w:rPr>
          <w:lang w:val="fr-FR"/>
        </w:rPr>
        <w:t> </w:t>
      </w:r>
      <w:r w:rsidRPr="00C308F4">
        <w:rPr>
          <w:lang w:val="fr-FR"/>
        </w:rPr>
        <w:t>chrétiens, 1</w:t>
      </w:r>
      <w:r w:rsidR="007B17AA" w:rsidRPr="00C308F4">
        <w:rPr>
          <w:lang w:val="fr-FR"/>
        </w:rPr>
        <w:t> </w:t>
      </w:r>
      <w:r w:rsidRPr="00C308F4">
        <w:rPr>
          <w:lang w:val="fr-FR"/>
        </w:rPr>
        <w:t>384</w:t>
      </w:r>
      <w:r w:rsidR="007B17AA" w:rsidRPr="00C308F4">
        <w:rPr>
          <w:lang w:val="fr-FR"/>
        </w:rPr>
        <w:t> </w:t>
      </w:r>
      <w:r w:rsidRPr="00C308F4">
        <w:rPr>
          <w:lang w:val="fr-FR"/>
        </w:rPr>
        <w:t>personnes ayant d</w:t>
      </w:r>
      <w:r w:rsidR="0035332C">
        <w:rPr>
          <w:lang w:val="fr-FR"/>
        </w:rPr>
        <w:t>’</w:t>
      </w:r>
      <w:r w:rsidRPr="00C308F4">
        <w:rPr>
          <w:lang w:val="fr-FR"/>
        </w:rPr>
        <w:t>autres religions et 1</w:t>
      </w:r>
      <w:r w:rsidR="007B17AA" w:rsidRPr="00C308F4">
        <w:rPr>
          <w:lang w:val="fr-FR"/>
        </w:rPr>
        <w:t> </w:t>
      </w:r>
      <w:r w:rsidRPr="00C308F4">
        <w:rPr>
          <w:lang w:val="fr-FR"/>
        </w:rPr>
        <w:t>509</w:t>
      </w:r>
      <w:r w:rsidR="007B17AA" w:rsidRPr="00C308F4">
        <w:rPr>
          <w:lang w:val="fr-FR"/>
        </w:rPr>
        <w:t> </w:t>
      </w:r>
      <w:r w:rsidRPr="00C308F4">
        <w:rPr>
          <w:lang w:val="fr-FR"/>
        </w:rPr>
        <w:t>personnes dont l</w:t>
      </w:r>
      <w:r w:rsidR="0035332C">
        <w:rPr>
          <w:lang w:val="fr-FR"/>
        </w:rPr>
        <w:t>’</w:t>
      </w:r>
      <w:r w:rsidRPr="00C308F4">
        <w:rPr>
          <w:lang w:val="fr-FR"/>
        </w:rPr>
        <w:t>affiliation n</w:t>
      </w:r>
      <w:r w:rsidR="0035332C">
        <w:rPr>
          <w:lang w:val="fr-FR"/>
        </w:rPr>
        <w:t>’</w:t>
      </w:r>
      <w:r w:rsidRPr="00C308F4">
        <w:rPr>
          <w:lang w:val="fr-FR"/>
        </w:rPr>
        <w:t>est pas indiquée sur une population totale de 4</w:t>
      </w:r>
      <w:r w:rsidR="007B17AA" w:rsidRPr="00C308F4">
        <w:rPr>
          <w:lang w:val="fr-FR"/>
        </w:rPr>
        <w:t> </w:t>
      </w:r>
      <w:r w:rsidRPr="00C308F4">
        <w:rPr>
          <w:lang w:val="fr-FR"/>
        </w:rPr>
        <w:t>665</w:t>
      </w:r>
      <w:r w:rsidR="007B17AA" w:rsidRPr="00C308F4">
        <w:rPr>
          <w:lang w:val="fr-FR"/>
        </w:rPr>
        <w:t> </w:t>
      </w:r>
      <w:r w:rsidRPr="00C308F4">
        <w:rPr>
          <w:lang w:val="fr-FR"/>
        </w:rPr>
        <w:t>426</w:t>
      </w:r>
      <w:r w:rsidR="007B17AA" w:rsidRPr="00C308F4">
        <w:rPr>
          <w:lang w:val="fr-FR"/>
        </w:rPr>
        <w:t> </w:t>
      </w:r>
      <w:r w:rsidRPr="00C308F4">
        <w:rPr>
          <w:lang w:val="fr-FR"/>
        </w:rPr>
        <w:t>habitants.</w:t>
      </w:r>
    </w:p>
    <w:p w14:paraId="3D51063C" w14:textId="77777777" w:rsidR="00D005FA" w:rsidRPr="00310D49" w:rsidRDefault="00D005FA" w:rsidP="00BE51F8">
      <w:pPr>
        <w:pStyle w:val="H23G"/>
        <w:rPr>
          <w:bCs/>
          <w:lang w:val="fr-FR"/>
        </w:rPr>
      </w:pPr>
      <w:r w:rsidRPr="00310D49">
        <w:rPr>
          <w:lang w:val="fr-FR"/>
        </w:rPr>
        <w:tab/>
      </w:r>
      <w:r w:rsidRPr="00310D49">
        <w:rPr>
          <w:lang w:val="fr-FR"/>
        </w:rPr>
        <w:tab/>
        <w:t>Enseignement religieux</w:t>
      </w:r>
    </w:p>
    <w:p w14:paraId="68691272" w14:textId="40F913BD" w:rsidR="00D005FA" w:rsidRPr="00310D49" w:rsidRDefault="00D005FA" w:rsidP="00BE51F8">
      <w:pPr>
        <w:pStyle w:val="SingleTxtG"/>
        <w:spacing w:before="120"/>
        <w:rPr>
          <w:spacing w:val="-4"/>
          <w:lang w:val="fr-FR"/>
        </w:rPr>
      </w:pPr>
      <w:r w:rsidRPr="00310D49">
        <w:rPr>
          <w:lang w:val="fr-FR"/>
        </w:rPr>
        <w:t>327.</w:t>
      </w:r>
      <w:r w:rsidRPr="00310D49">
        <w:rPr>
          <w:lang w:val="fr-FR"/>
        </w:rPr>
        <w:tab/>
        <w:t xml:space="preserve"> Les cours d</w:t>
      </w:r>
      <w:r w:rsidR="0035332C">
        <w:rPr>
          <w:lang w:val="fr-FR"/>
        </w:rPr>
        <w:t>’</w:t>
      </w:r>
      <w:r w:rsidRPr="00310D49">
        <w:rPr>
          <w:lang w:val="fr-FR"/>
        </w:rPr>
        <w:t>éducation islamique et d</w:t>
      </w:r>
      <w:r w:rsidR="0035332C">
        <w:rPr>
          <w:lang w:val="fr-FR"/>
        </w:rPr>
        <w:t>’</w:t>
      </w:r>
      <w:r w:rsidRPr="00310D49">
        <w:rPr>
          <w:lang w:val="fr-FR"/>
        </w:rPr>
        <w:t>éducation chrétienne ont été intégrés aux programmes scolaires des écoles palestiniennes en tant que matières principales. De plus, conformément à l</w:t>
      </w:r>
      <w:r w:rsidR="0035332C">
        <w:rPr>
          <w:lang w:val="fr-FR"/>
        </w:rPr>
        <w:t>’</w:t>
      </w:r>
      <w:r w:rsidRPr="00310D49">
        <w:rPr>
          <w:lang w:val="fr-FR"/>
        </w:rPr>
        <w:t>arrêté du Ministre de l</w:t>
      </w:r>
      <w:r w:rsidR="0035332C">
        <w:rPr>
          <w:lang w:val="fr-FR"/>
        </w:rPr>
        <w:t>’</w:t>
      </w:r>
      <w:r w:rsidRPr="00310D49">
        <w:rPr>
          <w:lang w:val="fr-FR"/>
        </w:rPr>
        <w:t>éducation du 9 août 2018, le cours d</w:t>
      </w:r>
      <w:r w:rsidR="0035332C">
        <w:rPr>
          <w:lang w:val="fr-FR"/>
        </w:rPr>
        <w:t>’</w:t>
      </w:r>
      <w:r w:rsidRPr="00310D49">
        <w:rPr>
          <w:lang w:val="fr-FR"/>
        </w:rPr>
        <w:t>éducation chrétienne dispensé aux élèves de douzième année a été intégrée aux épreuves de l</w:t>
      </w:r>
      <w:r w:rsidR="0035332C">
        <w:rPr>
          <w:lang w:val="fr-FR"/>
        </w:rPr>
        <w:t>’</w:t>
      </w:r>
      <w:r w:rsidRPr="00310D49">
        <w:rPr>
          <w:lang w:val="fr-FR"/>
        </w:rPr>
        <w:t>examen de fin d</w:t>
      </w:r>
      <w:r w:rsidR="0035332C">
        <w:rPr>
          <w:lang w:val="fr-FR"/>
        </w:rPr>
        <w:t>’</w:t>
      </w:r>
      <w:r w:rsidRPr="00310D49">
        <w:rPr>
          <w:lang w:val="fr-FR"/>
        </w:rPr>
        <w:t>études secondaires (aptitude) pour les élèves chrétiens.</w:t>
      </w:r>
    </w:p>
    <w:p w14:paraId="21F599C6" w14:textId="43324C11" w:rsidR="00D005FA" w:rsidRPr="00310D49" w:rsidRDefault="00D005FA" w:rsidP="00BE51F8">
      <w:pPr>
        <w:pStyle w:val="SingleTxtG"/>
        <w:spacing w:before="120"/>
        <w:rPr>
          <w:spacing w:val="-4"/>
          <w:lang w:val="fr-FR"/>
        </w:rPr>
      </w:pPr>
      <w:r w:rsidRPr="00310D49">
        <w:rPr>
          <w:lang w:val="fr-FR"/>
        </w:rPr>
        <w:t>328.</w:t>
      </w:r>
      <w:r w:rsidRPr="00310D49">
        <w:rPr>
          <w:lang w:val="fr-FR"/>
        </w:rPr>
        <w:tab/>
        <w:t>Les enfants de la communauté samaritaine vivant autour du mont Gerizim reçoivent leur éducation dans des écoles palestiniennes. Toutefois, la communauté samaritaine possède une école rattachée au Ministère de l</w:t>
      </w:r>
      <w:r w:rsidR="0035332C">
        <w:rPr>
          <w:lang w:val="fr-FR"/>
        </w:rPr>
        <w:t>’</w:t>
      </w:r>
      <w:r w:rsidRPr="00310D49">
        <w:rPr>
          <w:lang w:val="fr-FR"/>
        </w:rPr>
        <w:t>éducation accueillant, outre des Samaritains, des élèves de la ville de Naplouse résidant aux alentours du quartier samaritain, étant précisé que cet établissement applique les programmes scolaires enseignés dans les autres écoles palestiniennes et organise l</w:t>
      </w:r>
      <w:r w:rsidR="0035332C">
        <w:rPr>
          <w:lang w:val="fr-FR"/>
        </w:rPr>
        <w:t>’</w:t>
      </w:r>
      <w:r w:rsidRPr="00310D49">
        <w:rPr>
          <w:lang w:val="fr-FR"/>
        </w:rPr>
        <w:t>enseignement de cours du soir de langue hébraïque et de théologie, dispensés par un membre de la communauté.</w:t>
      </w:r>
    </w:p>
    <w:p w14:paraId="66190C28" w14:textId="535D0E5D" w:rsidR="00D005FA" w:rsidRPr="00310D49" w:rsidRDefault="00D005FA" w:rsidP="00BE51F8">
      <w:pPr>
        <w:pStyle w:val="H23G"/>
        <w:rPr>
          <w:bCs/>
        </w:rPr>
      </w:pPr>
      <w:r w:rsidRPr="00310D49">
        <w:tab/>
      </w:r>
      <w:r w:rsidRPr="00310D49">
        <w:tab/>
        <w:t>Violations et attaques contre les lieux saints par l</w:t>
      </w:r>
      <w:r w:rsidR="0035332C">
        <w:t>’</w:t>
      </w:r>
      <w:r w:rsidRPr="00310D49">
        <w:t>occupant israélien</w:t>
      </w:r>
    </w:p>
    <w:p w14:paraId="69F44274" w14:textId="1B416954" w:rsidR="00D005FA" w:rsidRPr="00310D49" w:rsidRDefault="00D005FA" w:rsidP="00BE51F8">
      <w:pPr>
        <w:pStyle w:val="SingleTxtG"/>
        <w:spacing w:before="120"/>
        <w:rPr>
          <w:lang w:val="fr-FR"/>
        </w:rPr>
      </w:pPr>
      <w:r w:rsidRPr="00310D49">
        <w:rPr>
          <w:lang w:val="fr-FR"/>
        </w:rPr>
        <w:t>329.</w:t>
      </w:r>
      <w:r w:rsidRPr="00310D49">
        <w:rPr>
          <w:lang w:val="fr-FR"/>
        </w:rPr>
        <w:tab/>
        <w:t>Israël, puissance occupante, contrôle les lieux saints, y compris la mosquée Al-Aqsa, le Dôme du Rocher, l</w:t>
      </w:r>
      <w:r w:rsidR="0035332C">
        <w:rPr>
          <w:lang w:val="fr-FR"/>
        </w:rPr>
        <w:t>’</w:t>
      </w:r>
      <w:r w:rsidRPr="00310D49">
        <w:rPr>
          <w:lang w:val="fr-FR"/>
        </w:rPr>
        <w:t>Église du Saint-Sépulcre et d</w:t>
      </w:r>
      <w:r w:rsidR="0035332C">
        <w:rPr>
          <w:lang w:val="fr-FR"/>
        </w:rPr>
        <w:t>’</w:t>
      </w:r>
      <w:r w:rsidRPr="00310D49">
        <w:rPr>
          <w:lang w:val="fr-FR"/>
        </w:rPr>
        <w:t>autres lieux religieux. Les autorités d</w:t>
      </w:r>
      <w:r w:rsidR="0035332C">
        <w:rPr>
          <w:lang w:val="fr-FR"/>
        </w:rPr>
        <w:t>’</w:t>
      </w:r>
      <w:r w:rsidRPr="00310D49">
        <w:rPr>
          <w:lang w:val="fr-FR"/>
        </w:rPr>
        <w:t>occupation israéliennes imposent aux musulmans et aux chrétiens des restrictions en matière de liberté d</w:t>
      </w:r>
      <w:r w:rsidR="0035332C">
        <w:rPr>
          <w:lang w:val="fr-FR"/>
        </w:rPr>
        <w:t>’</w:t>
      </w:r>
      <w:r w:rsidRPr="00310D49">
        <w:rPr>
          <w:lang w:val="fr-FR"/>
        </w:rPr>
        <w:t>accès aux lieux saints, en violation du droit à la liberté de croyance, et ce au moyen d</w:t>
      </w:r>
      <w:r w:rsidR="0035332C">
        <w:rPr>
          <w:lang w:val="fr-FR"/>
        </w:rPr>
        <w:t>’</w:t>
      </w:r>
      <w:r w:rsidRPr="00310D49">
        <w:rPr>
          <w:lang w:val="fr-FR"/>
        </w:rPr>
        <w:t>un système de barrières et de bouclage draconien, complété par un régime inique et discriminatoire de permis empêchant la grande majorité des fidèles d</w:t>
      </w:r>
      <w:r w:rsidR="0035332C">
        <w:rPr>
          <w:lang w:val="fr-FR"/>
        </w:rPr>
        <w:t>’</w:t>
      </w:r>
      <w:r w:rsidRPr="00310D49">
        <w:rPr>
          <w:lang w:val="fr-FR"/>
        </w:rPr>
        <w:t>exercer leur culte.</w:t>
      </w:r>
    </w:p>
    <w:p w14:paraId="5AA659DE" w14:textId="78AD921A" w:rsidR="00D005FA" w:rsidRPr="00310D49" w:rsidRDefault="00D005FA" w:rsidP="00BE51F8">
      <w:pPr>
        <w:pStyle w:val="SingleTxtG"/>
        <w:spacing w:before="120"/>
        <w:rPr>
          <w:lang w:val="fr-FR"/>
        </w:rPr>
      </w:pPr>
      <w:r w:rsidRPr="00310D49">
        <w:rPr>
          <w:lang w:val="fr-FR"/>
        </w:rPr>
        <w:t>330.</w:t>
      </w:r>
      <w:r w:rsidRPr="00310D49">
        <w:rPr>
          <w:lang w:val="fr-FR"/>
        </w:rPr>
        <w:tab/>
        <w:t>Alors qu</w:t>
      </w:r>
      <w:r w:rsidR="0035332C">
        <w:rPr>
          <w:lang w:val="fr-FR"/>
        </w:rPr>
        <w:t>’</w:t>
      </w:r>
      <w:r w:rsidRPr="00310D49">
        <w:rPr>
          <w:lang w:val="fr-FR"/>
        </w:rPr>
        <w:t>Israël poursuit sa politique incendiaire et discriminatoire qui va de pair avec le discours haineux et raciste tenu par les autorités d</w:t>
      </w:r>
      <w:r w:rsidR="0035332C">
        <w:rPr>
          <w:lang w:val="fr-FR"/>
        </w:rPr>
        <w:t>’</w:t>
      </w:r>
      <w:r w:rsidRPr="00310D49">
        <w:rPr>
          <w:lang w:val="fr-FR"/>
        </w:rPr>
        <w:t>occupation, la mosquée Al-Aqsa subit quotidiennement des agressions de la part du Gouvernement israélien et des colons. Israël, Puissance occupante, s</w:t>
      </w:r>
      <w:r w:rsidR="0035332C">
        <w:rPr>
          <w:lang w:val="fr-FR"/>
        </w:rPr>
        <w:t>’</w:t>
      </w:r>
      <w:r w:rsidRPr="00310D49">
        <w:rPr>
          <w:lang w:val="fr-FR"/>
        </w:rPr>
        <w:t>emploie à mettre en œuvre son plan de division spatiale et temporelle de la mosquée Al-Aqsa. Dans ce contexte, de graves violations, dont l</w:t>
      </w:r>
      <w:r w:rsidR="0035332C">
        <w:rPr>
          <w:lang w:val="fr-FR"/>
        </w:rPr>
        <w:t>’</w:t>
      </w:r>
      <w:r w:rsidRPr="00310D49">
        <w:rPr>
          <w:lang w:val="fr-FR"/>
        </w:rPr>
        <w:t>interdiction des prières à la mosquée Al-Aqsa, l</w:t>
      </w:r>
      <w:r w:rsidR="0035332C">
        <w:rPr>
          <w:lang w:val="fr-FR"/>
        </w:rPr>
        <w:t>’</w:t>
      </w:r>
      <w:r w:rsidRPr="00310D49">
        <w:rPr>
          <w:lang w:val="fr-FR"/>
        </w:rPr>
        <w:t>installation de caméras et de portails électroniques et les intrusions systématiques et répétées dans la mosquée, ont été commises en juillet 2017. En 2018, les autorités d</w:t>
      </w:r>
      <w:r w:rsidR="0035332C">
        <w:rPr>
          <w:lang w:val="fr-FR"/>
        </w:rPr>
        <w:t>’</w:t>
      </w:r>
      <w:r w:rsidRPr="00310D49">
        <w:rPr>
          <w:lang w:val="fr-FR"/>
        </w:rPr>
        <w:t>occupation israéliennes ont pris 176 arrêtés d</w:t>
      </w:r>
      <w:r w:rsidR="0035332C">
        <w:rPr>
          <w:lang w:val="fr-FR"/>
        </w:rPr>
        <w:t>’</w:t>
      </w:r>
      <w:r w:rsidRPr="00310D49">
        <w:rPr>
          <w:lang w:val="fr-FR"/>
        </w:rPr>
        <w:t>expulsion de la mosquée Al-Aqsa visant des Palestiniens, notamment des religieux et des employés de la mosquée. Israël, Puissance occupante, a promulgué des lois racistes et discriminatoires à l</w:t>
      </w:r>
      <w:r w:rsidR="0035332C">
        <w:rPr>
          <w:lang w:val="fr-FR"/>
        </w:rPr>
        <w:t>’</w:t>
      </w:r>
      <w:r w:rsidRPr="00310D49">
        <w:rPr>
          <w:lang w:val="fr-FR"/>
        </w:rPr>
        <w:t>égard des religions, comme la loi interdisant l</w:t>
      </w:r>
      <w:r w:rsidR="0035332C">
        <w:rPr>
          <w:lang w:val="fr-FR"/>
        </w:rPr>
        <w:t>’</w:t>
      </w:r>
      <w:r w:rsidRPr="00310D49">
        <w:rPr>
          <w:lang w:val="fr-FR"/>
        </w:rPr>
        <w:t xml:space="preserve">appel à la prière. </w:t>
      </w:r>
    </w:p>
    <w:p w14:paraId="3AD291E9" w14:textId="052599E2" w:rsidR="00D005FA" w:rsidRPr="00310D49" w:rsidRDefault="00D005FA" w:rsidP="00BE51F8">
      <w:pPr>
        <w:pStyle w:val="SingleTxtG"/>
        <w:spacing w:before="120"/>
        <w:rPr>
          <w:lang w:val="fr-FR"/>
        </w:rPr>
      </w:pPr>
      <w:r w:rsidRPr="00310D49">
        <w:rPr>
          <w:lang w:val="fr-FR"/>
        </w:rPr>
        <w:t>331.</w:t>
      </w:r>
      <w:r w:rsidRPr="00310D49">
        <w:rPr>
          <w:lang w:val="fr-FR"/>
        </w:rPr>
        <w:tab/>
        <w:t>À la mosquée d</w:t>
      </w:r>
      <w:r w:rsidR="0035332C">
        <w:rPr>
          <w:lang w:val="fr-FR"/>
        </w:rPr>
        <w:t>’</w:t>
      </w:r>
      <w:r w:rsidRPr="00310D49">
        <w:rPr>
          <w:lang w:val="fr-FR"/>
        </w:rPr>
        <w:t>Ibrahim, les forces d</w:t>
      </w:r>
      <w:r w:rsidR="0035332C">
        <w:rPr>
          <w:lang w:val="fr-FR"/>
        </w:rPr>
        <w:t>’</w:t>
      </w:r>
      <w:r w:rsidRPr="00310D49">
        <w:rPr>
          <w:lang w:val="fr-FR"/>
        </w:rPr>
        <w:t>occupation israéliennes permettent aux colons israéliens de poursuivre et d</w:t>
      </w:r>
      <w:r w:rsidR="0035332C">
        <w:rPr>
          <w:lang w:val="fr-FR"/>
        </w:rPr>
        <w:t>’</w:t>
      </w:r>
      <w:r w:rsidRPr="00310D49">
        <w:rPr>
          <w:lang w:val="fr-FR"/>
        </w:rPr>
        <w:t>intensifier les agressions contre les fidèles de la mosquée. L</w:t>
      </w:r>
      <w:r w:rsidR="0035332C">
        <w:rPr>
          <w:lang w:val="fr-FR"/>
        </w:rPr>
        <w:t>’</w:t>
      </w:r>
      <w:r w:rsidRPr="00310D49">
        <w:rPr>
          <w:lang w:val="fr-FR"/>
        </w:rPr>
        <w:t>occupant y brutalise les fidèles et érige des barrières. Dans ce contexte, l</w:t>
      </w:r>
      <w:r w:rsidR="0035332C">
        <w:rPr>
          <w:lang w:val="fr-FR"/>
        </w:rPr>
        <w:t>’</w:t>
      </w:r>
      <w:r w:rsidRPr="00310D49">
        <w:rPr>
          <w:lang w:val="fr-FR"/>
        </w:rPr>
        <w:t>amplification de l</w:t>
      </w:r>
      <w:r w:rsidR="0035332C">
        <w:rPr>
          <w:lang w:val="fr-FR"/>
        </w:rPr>
        <w:t>’</w:t>
      </w:r>
      <w:r w:rsidRPr="00310D49">
        <w:rPr>
          <w:lang w:val="fr-FR"/>
        </w:rPr>
        <w:t>appel à la prière dans la mosquée a été interdite en 2014 (624 fois), en 2015 (590 fois), en 2016 (644 fois) et en 2018 (631 fois).</w:t>
      </w:r>
    </w:p>
    <w:p w14:paraId="3B345F94" w14:textId="53CEC427" w:rsidR="00D005FA" w:rsidRPr="00310D49" w:rsidRDefault="00D005FA" w:rsidP="00BE51F8">
      <w:pPr>
        <w:pStyle w:val="SingleTxtG"/>
        <w:spacing w:before="120"/>
        <w:rPr>
          <w:lang w:val="fr-FR"/>
        </w:rPr>
      </w:pPr>
      <w:r w:rsidRPr="00310D49">
        <w:rPr>
          <w:lang w:val="fr-FR"/>
        </w:rPr>
        <w:lastRenderedPageBreak/>
        <w:t>332.</w:t>
      </w:r>
      <w:r w:rsidRPr="00310D49">
        <w:rPr>
          <w:lang w:val="fr-FR"/>
        </w:rPr>
        <w:tab/>
        <w:t>Depuis 1967, Israël, Puissance occupante, mène des attaques systématiques contre les lieux saints chrétiens, imposant des restrictions et exerçant des pressions, y compris la taxation arbitraire et excessive des lieux saints, la restriction de l</w:t>
      </w:r>
      <w:r w:rsidR="0035332C">
        <w:rPr>
          <w:lang w:val="fr-FR"/>
        </w:rPr>
        <w:t>’</w:t>
      </w:r>
      <w:r w:rsidRPr="00310D49">
        <w:rPr>
          <w:lang w:val="fr-FR"/>
        </w:rPr>
        <w:t>accès des chrétiens palestiniens à l</w:t>
      </w:r>
      <w:r w:rsidR="0035332C">
        <w:rPr>
          <w:lang w:val="fr-FR"/>
        </w:rPr>
        <w:t>’</w:t>
      </w:r>
      <w:r w:rsidRPr="00310D49">
        <w:rPr>
          <w:lang w:val="fr-FR"/>
        </w:rPr>
        <w:t>Église du Saint-Sépulcre et à d</w:t>
      </w:r>
      <w:r w:rsidR="0035332C">
        <w:rPr>
          <w:lang w:val="fr-FR"/>
        </w:rPr>
        <w:t>’</w:t>
      </w:r>
      <w:r w:rsidRPr="00310D49">
        <w:rPr>
          <w:lang w:val="fr-FR"/>
        </w:rPr>
        <w:t>autres églises. Par ailleurs, les colons israéliens ne cessent de profaner les lieux de culte chrétiens et musulmans et d</w:t>
      </w:r>
      <w:r w:rsidR="0035332C">
        <w:rPr>
          <w:lang w:val="fr-FR"/>
        </w:rPr>
        <w:t>’</w:t>
      </w:r>
      <w:r w:rsidRPr="00310D49">
        <w:rPr>
          <w:lang w:val="fr-FR"/>
        </w:rPr>
        <w:t>y inscri</w:t>
      </w:r>
      <w:r w:rsidR="007B17AA">
        <w:rPr>
          <w:lang w:val="fr-FR"/>
        </w:rPr>
        <w:t>r</w:t>
      </w:r>
      <w:r w:rsidRPr="00310D49">
        <w:rPr>
          <w:lang w:val="fr-FR"/>
        </w:rPr>
        <w:t>e des propos racistes en toute impunité.</w:t>
      </w:r>
    </w:p>
    <w:p w14:paraId="634372A0" w14:textId="526A74B3" w:rsidR="00D005FA" w:rsidRPr="00310D49" w:rsidRDefault="00D005FA" w:rsidP="00BE51F8">
      <w:pPr>
        <w:pStyle w:val="H1G"/>
        <w:rPr>
          <w:lang w:val="fr-FR"/>
        </w:rPr>
      </w:pPr>
      <w:r w:rsidRPr="00310D49">
        <w:rPr>
          <w:lang w:val="fr-FR"/>
        </w:rPr>
        <w:tab/>
      </w:r>
      <w:r w:rsidRPr="00310D49">
        <w:rPr>
          <w:lang w:val="fr-FR"/>
        </w:rPr>
        <w:tab/>
        <w:t>Article 19</w:t>
      </w:r>
      <w:bookmarkStart w:id="21" w:name="_Toc80715508"/>
      <w:bookmarkEnd w:id="21"/>
    </w:p>
    <w:p w14:paraId="2D91575E" w14:textId="1A98B50B" w:rsidR="00D005FA" w:rsidRPr="00310D49" w:rsidRDefault="00D005FA" w:rsidP="00BE51F8">
      <w:pPr>
        <w:pStyle w:val="SingleTxtG"/>
        <w:spacing w:before="120"/>
        <w:rPr>
          <w:lang w:val="fr-FR"/>
        </w:rPr>
      </w:pPr>
      <w:r w:rsidRPr="00310D49">
        <w:rPr>
          <w:lang w:val="fr-FR"/>
        </w:rPr>
        <w:t>333.</w:t>
      </w:r>
      <w:r w:rsidRPr="00310D49">
        <w:rPr>
          <w:lang w:val="fr-FR"/>
        </w:rPr>
        <w:tab/>
        <w:t>La liberté d</w:t>
      </w:r>
      <w:r w:rsidR="0035332C">
        <w:rPr>
          <w:lang w:val="fr-FR"/>
        </w:rPr>
        <w:t>’</w:t>
      </w:r>
      <w:r w:rsidRPr="00310D49">
        <w:rPr>
          <w:lang w:val="fr-FR"/>
        </w:rPr>
        <w:t>opinion et d</w:t>
      </w:r>
      <w:r w:rsidR="0035332C">
        <w:rPr>
          <w:lang w:val="fr-FR"/>
        </w:rPr>
        <w:t>’</w:t>
      </w:r>
      <w:r w:rsidRPr="00310D49">
        <w:rPr>
          <w:lang w:val="fr-FR"/>
        </w:rPr>
        <w:t>expression est un droit constitutionnel garanti par la Déclaration d</w:t>
      </w:r>
      <w:r w:rsidR="0035332C">
        <w:rPr>
          <w:lang w:val="fr-FR"/>
        </w:rPr>
        <w:t>’</w:t>
      </w:r>
      <w:r w:rsidRPr="00310D49">
        <w:rPr>
          <w:lang w:val="fr-FR"/>
        </w:rPr>
        <w:t>indépendance et réaffirmé dans la Loi fondamentale, telle que modifiée, dont l</w:t>
      </w:r>
      <w:r w:rsidR="0035332C">
        <w:rPr>
          <w:lang w:val="fr-FR"/>
        </w:rPr>
        <w:t>’</w:t>
      </w:r>
      <w:r w:rsidRPr="00310D49">
        <w:rPr>
          <w:lang w:val="fr-FR"/>
        </w:rPr>
        <w:t>article 19 dispose ce qui suit</w:t>
      </w:r>
      <w:r w:rsidR="00A53B5A">
        <w:rPr>
          <w:lang w:val="fr-FR"/>
        </w:rPr>
        <w:t> </w:t>
      </w:r>
      <w:r w:rsidRPr="00310D49">
        <w:rPr>
          <w:lang w:val="fr-FR"/>
        </w:rPr>
        <w:t>: «</w:t>
      </w:r>
      <w:r w:rsidR="007B17AA">
        <w:rPr>
          <w:lang w:val="fr-FR"/>
        </w:rPr>
        <w:t> </w:t>
      </w:r>
      <w:r w:rsidRPr="00310D49">
        <w:rPr>
          <w:lang w:val="fr-FR"/>
        </w:rPr>
        <w:t>Nul ne peut porter atteinte à la liberté d</w:t>
      </w:r>
      <w:r w:rsidR="0035332C">
        <w:rPr>
          <w:lang w:val="fr-FR"/>
        </w:rPr>
        <w:t>’</w:t>
      </w:r>
      <w:r w:rsidRPr="00310D49">
        <w:rPr>
          <w:lang w:val="fr-FR"/>
        </w:rPr>
        <w:t>opinion, chacun a le droit d</w:t>
      </w:r>
      <w:r w:rsidR="0035332C">
        <w:rPr>
          <w:lang w:val="fr-FR"/>
        </w:rPr>
        <w:t>’</w:t>
      </w:r>
      <w:r w:rsidRPr="00310D49">
        <w:rPr>
          <w:lang w:val="fr-FR"/>
        </w:rPr>
        <w:t>exprimer et de diffuser librement ses opinions, par la parole et l</w:t>
      </w:r>
      <w:r w:rsidR="0035332C">
        <w:rPr>
          <w:lang w:val="fr-FR"/>
        </w:rPr>
        <w:t>’</w:t>
      </w:r>
      <w:r w:rsidRPr="00310D49">
        <w:rPr>
          <w:lang w:val="fr-FR"/>
        </w:rPr>
        <w:t>écrit, ainsi que par tout autre moyen d</w:t>
      </w:r>
      <w:r w:rsidR="0035332C">
        <w:rPr>
          <w:lang w:val="fr-FR"/>
        </w:rPr>
        <w:t>’</w:t>
      </w:r>
      <w:r w:rsidRPr="00310D49">
        <w:rPr>
          <w:lang w:val="fr-FR"/>
        </w:rPr>
        <w:t>expression ou sous une forme artistique, dans le respect de la loi</w:t>
      </w:r>
      <w:r w:rsidR="007B17AA">
        <w:rPr>
          <w:lang w:val="fr-FR"/>
        </w:rPr>
        <w:t>. </w:t>
      </w:r>
      <w:r w:rsidRPr="00310D49">
        <w:rPr>
          <w:lang w:val="fr-FR"/>
        </w:rPr>
        <w:t xml:space="preserve">». </w:t>
      </w:r>
    </w:p>
    <w:p w14:paraId="3BD17290" w14:textId="1C2C8CC6" w:rsidR="00D005FA" w:rsidRPr="00310D49" w:rsidRDefault="00D005FA" w:rsidP="00BE51F8">
      <w:pPr>
        <w:pStyle w:val="SingleTxtG"/>
        <w:spacing w:before="120"/>
        <w:rPr>
          <w:spacing w:val="-4"/>
          <w:lang w:val="fr-FR"/>
        </w:rPr>
      </w:pPr>
      <w:r w:rsidRPr="00310D49">
        <w:rPr>
          <w:lang w:val="fr-FR"/>
        </w:rPr>
        <w:t>334.</w:t>
      </w:r>
      <w:r w:rsidRPr="00310D49">
        <w:rPr>
          <w:lang w:val="fr-FR"/>
        </w:rPr>
        <w:tab/>
        <w:t>L</w:t>
      </w:r>
      <w:r w:rsidR="0035332C">
        <w:rPr>
          <w:lang w:val="fr-FR"/>
        </w:rPr>
        <w:t>’</w:t>
      </w:r>
      <w:r w:rsidRPr="00310D49">
        <w:rPr>
          <w:lang w:val="fr-FR"/>
        </w:rPr>
        <w:t>article 27 de la Loi fondamentale, telle que modifiée, prévoit le droit de créer des organes de presse et d</w:t>
      </w:r>
      <w:r w:rsidR="0035332C">
        <w:rPr>
          <w:lang w:val="fr-FR"/>
        </w:rPr>
        <w:t>’</w:t>
      </w:r>
      <w:r w:rsidRPr="00310D49">
        <w:rPr>
          <w:lang w:val="fr-FR"/>
        </w:rPr>
        <w:t>autres médias et d</w:t>
      </w:r>
      <w:r w:rsidR="0035332C">
        <w:rPr>
          <w:lang w:val="fr-FR"/>
        </w:rPr>
        <w:t>’</w:t>
      </w:r>
      <w:r w:rsidRPr="00310D49">
        <w:rPr>
          <w:lang w:val="fr-FR"/>
        </w:rPr>
        <w:t>y travailler librement, et interdit l</w:t>
      </w:r>
      <w:r w:rsidR="0035332C">
        <w:rPr>
          <w:lang w:val="fr-FR"/>
        </w:rPr>
        <w:t>’</w:t>
      </w:r>
      <w:r w:rsidRPr="00310D49">
        <w:rPr>
          <w:lang w:val="fr-FR"/>
        </w:rPr>
        <w:t>exercice de tout contrôle, à l</w:t>
      </w:r>
      <w:r w:rsidR="0035332C">
        <w:rPr>
          <w:lang w:val="fr-FR"/>
        </w:rPr>
        <w:t>’</w:t>
      </w:r>
      <w:r w:rsidRPr="00310D49">
        <w:rPr>
          <w:lang w:val="fr-FR"/>
        </w:rPr>
        <w:t>exception du contrôle financier, sur les médias. Ledit article prévoit également que l</w:t>
      </w:r>
      <w:r w:rsidR="0035332C">
        <w:rPr>
          <w:lang w:val="fr-FR"/>
        </w:rPr>
        <w:t>’</w:t>
      </w:r>
      <w:r w:rsidRPr="00310D49">
        <w:rPr>
          <w:lang w:val="fr-FR"/>
        </w:rPr>
        <w:t>avertissement, la suspension, la confiscation, l</w:t>
      </w:r>
      <w:r w:rsidR="0035332C">
        <w:rPr>
          <w:lang w:val="fr-FR"/>
        </w:rPr>
        <w:t>’</w:t>
      </w:r>
      <w:r w:rsidRPr="00310D49">
        <w:rPr>
          <w:lang w:val="fr-FR"/>
        </w:rPr>
        <w:t>annulation ou la limitation de leur activité ne peut être imposée que par la loi et en application d</w:t>
      </w:r>
      <w:r w:rsidR="0035332C">
        <w:rPr>
          <w:lang w:val="fr-FR"/>
        </w:rPr>
        <w:t>’</w:t>
      </w:r>
      <w:r w:rsidRPr="00310D49">
        <w:rPr>
          <w:lang w:val="fr-FR"/>
        </w:rPr>
        <w:t>une décision judiciaire. Ces</w:t>
      </w:r>
      <w:r w:rsidR="007B17AA">
        <w:rPr>
          <w:lang w:val="fr-FR"/>
        </w:rPr>
        <w:t> </w:t>
      </w:r>
      <w:r w:rsidRPr="00310D49">
        <w:rPr>
          <w:lang w:val="fr-FR"/>
        </w:rPr>
        <w:t xml:space="preserve">principes sont soulignés à </w:t>
      </w:r>
      <w:r w:rsidRPr="00AA2283">
        <w:rPr>
          <w:lang w:val="fr-FR"/>
        </w:rPr>
        <w:t>l</w:t>
      </w:r>
      <w:r w:rsidR="0035332C" w:rsidRPr="00AA2283">
        <w:rPr>
          <w:lang w:val="fr-FR"/>
        </w:rPr>
        <w:t>’</w:t>
      </w:r>
      <w:r w:rsidRPr="00AA2283">
        <w:rPr>
          <w:lang w:val="fr-FR"/>
        </w:rPr>
        <w:t>article 2 de la loi n</w:t>
      </w:r>
      <w:r w:rsidR="007B17AA" w:rsidRPr="00AA2283">
        <w:rPr>
          <w:vertAlign w:val="superscript"/>
          <w:lang w:val="fr-FR"/>
        </w:rPr>
        <w:t>o</w:t>
      </w:r>
      <w:r w:rsidR="007B17AA" w:rsidRPr="00AA2283">
        <w:rPr>
          <w:lang w:val="fr-FR"/>
        </w:rPr>
        <w:t> </w:t>
      </w:r>
      <w:r w:rsidRPr="00AA2283">
        <w:rPr>
          <w:lang w:val="fr-FR"/>
        </w:rPr>
        <w:t>9 de 1995</w:t>
      </w:r>
      <w:r w:rsidRPr="00310D49">
        <w:rPr>
          <w:lang w:val="fr-FR"/>
        </w:rPr>
        <w:t xml:space="preserve"> sur les publications et l</w:t>
      </w:r>
      <w:r w:rsidR="0035332C">
        <w:rPr>
          <w:lang w:val="fr-FR"/>
        </w:rPr>
        <w:t>’</w:t>
      </w:r>
      <w:r w:rsidRPr="00310D49">
        <w:rPr>
          <w:lang w:val="fr-FR"/>
        </w:rPr>
        <w:t>édition, selon lequel «</w:t>
      </w:r>
      <w:r w:rsidR="007B17AA">
        <w:rPr>
          <w:lang w:val="fr-FR"/>
        </w:rPr>
        <w:t> </w:t>
      </w:r>
      <w:r w:rsidRPr="00310D49">
        <w:rPr>
          <w:lang w:val="fr-FR"/>
        </w:rPr>
        <w:t>[l]es secteurs de la presse et de l</w:t>
      </w:r>
      <w:r w:rsidR="0035332C">
        <w:rPr>
          <w:lang w:val="fr-FR"/>
        </w:rPr>
        <w:t>’</w:t>
      </w:r>
      <w:r w:rsidRPr="00310D49">
        <w:rPr>
          <w:lang w:val="fr-FR"/>
        </w:rPr>
        <w:t>imprimerie sont libres, la liberté d</w:t>
      </w:r>
      <w:r w:rsidR="0035332C">
        <w:rPr>
          <w:lang w:val="fr-FR"/>
        </w:rPr>
        <w:t>’</w:t>
      </w:r>
      <w:r w:rsidRPr="00310D49">
        <w:rPr>
          <w:lang w:val="fr-FR"/>
        </w:rPr>
        <w:t>opinion est garantie à chaque Palestinien, qui peut exprimer librement son opinion, oralement et par écrit ou par des moyens d</w:t>
      </w:r>
      <w:r w:rsidR="0035332C">
        <w:rPr>
          <w:lang w:val="fr-FR"/>
        </w:rPr>
        <w:t>’</w:t>
      </w:r>
      <w:r w:rsidRPr="00310D49">
        <w:rPr>
          <w:lang w:val="fr-FR"/>
        </w:rPr>
        <w:t>expression et d</w:t>
      </w:r>
      <w:r w:rsidR="0035332C">
        <w:rPr>
          <w:lang w:val="fr-FR"/>
        </w:rPr>
        <w:t>’</w:t>
      </w:r>
      <w:r w:rsidRPr="00310D49">
        <w:rPr>
          <w:lang w:val="fr-FR"/>
        </w:rPr>
        <w:t>information tels que la photographie ou le dessin</w:t>
      </w:r>
      <w:r w:rsidR="007B17AA">
        <w:rPr>
          <w:lang w:val="fr-FR"/>
        </w:rPr>
        <w:t> </w:t>
      </w:r>
      <w:r w:rsidRPr="00310D49">
        <w:rPr>
          <w:lang w:val="fr-FR"/>
        </w:rPr>
        <w:t>». En outre, les articles</w:t>
      </w:r>
      <w:r w:rsidR="007B17AA">
        <w:rPr>
          <w:lang w:val="fr-FR"/>
        </w:rPr>
        <w:t> </w:t>
      </w:r>
      <w:r w:rsidRPr="00310D49">
        <w:rPr>
          <w:lang w:val="fr-FR"/>
        </w:rPr>
        <w:t>3 à 5 de ladite loi sur les publications et l</w:t>
      </w:r>
      <w:r w:rsidR="0035332C">
        <w:rPr>
          <w:lang w:val="fr-FR"/>
        </w:rPr>
        <w:t>’</w:t>
      </w:r>
      <w:r w:rsidRPr="00310D49">
        <w:rPr>
          <w:lang w:val="fr-FR"/>
        </w:rPr>
        <w:t>édition prévoient pour les citoyens, les partis politiques, les institutions culturelles et sociales et les syndicats le droit de présenter, par la voie de publications, leurs opinions et leurs idées, ainsi que le droit de faire circuler et de diffuser des nouvelles, des informations et des statistiques, et pour toutes les personnes physiques ou morales, y compris les partis politiques, le droit de posséder des publications de presse.</w:t>
      </w:r>
    </w:p>
    <w:p w14:paraId="6D24C7BD" w14:textId="7C6EC691" w:rsidR="00D005FA" w:rsidRPr="00310D49" w:rsidRDefault="00D005FA" w:rsidP="00BE51F8">
      <w:pPr>
        <w:pStyle w:val="SingleTxtG"/>
        <w:spacing w:before="120"/>
        <w:rPr>
          <w:lang w:val="fr-FR"/>
        </w:rPr>
      </w:pPr>
      <w:r w:rsidRPr="00310D49">
        <w:rPr>
          <w:lang w:val="fr-FR"/>
        </w:rPr>
        <w:t>335.</w:t>
      </w:r>
      <w:r w:rsidRPr="00310D49">
        <w:rPr>
          <w:lang w:val="fr-FR"/>
        </w:rPr>
        <w:tab/>
        <w:t>L</w:t>
      </w:r>
      <w:r w:rsidR="0035332C">
        <w:rPr>
          <w:lang w:val="fr-FR"/>
        </w:rPr>
        <w:t>’</w:t>
      </w:r>
      <w:r w:rsidRPr="00310D49">
        <w:rPr>
          <w:lang w:val="fr-FR"/>
        </w:rPr>
        <w:t>article 21 du décret-loi n</w:t>
      </w:r>
      <w:r w:rsidR="007B17AA" w:rsidRPr="007B17AA">
        <w:rPr>
          <w:vertAlign w:val="superscript"/>
          <w:lang w:val="fr-FR"/>
        </w:rPr>
        <w:t>o</w:t>
      </w:r>
      <w:r w:rsidR="007B17AA">
        <w:rPr>
          <w:lang w:val="fr-FR"/>
        </w:rPr>
        <w:t> </w:t>
      </w:r>
      <w:r w:rsidRPr="00310D49">
        <w:rPr>
          <w:lang w:val="fr-FR"/>
        </w:rPr>
        <w:t>10 de 2018 relatif à la cybercriminalité prévoit la liberté d</w:t>
      </w:r>
      <w:r w:rsidR="0035332C">
        <w:rPr>
          <w:lang w:val="fr-FR"/>
        </w:rPr>
        <w:t>’</w:t>
      </w:r>
      <w:r w:rsidRPr="00310D49">
        <w:rPr>
          <w:lang w:val="fr-FR"/>
        </w:rPr>
        <w:t>opinion et d</w:t>
      </w:r>
      <w:r w:rsidR="0035332C">
        <w:rPr>
          <w:lang w:val="fr-FR"/>
        </w:rPr>
        <w:t>’</w:t>
      </w:r>
      <w:r w:rsidRPr="00310D49">
        <w:rPr>
          <w:lang w:val="fr-FR"/>
        </w:rPr>
        <w:t>expression dans les médias numériques et garantit la liberté de la presse, de la publication et de l</w:t>
      </w:r>
      <w:r w:rsidR="0035332C">
        <w:rPr>
          <w:lang w:val="fr-FR"/>
        </w:rPr>
        <w:t>’</w:t>
      </w:r>
      <w:r w:rsidRPr="00310D49">
        <w:rPr>
          <w:lang w:val="fr-FR"/>
        </w:rPr>
        <w:t>édition écrite, audiovisuelle et électronique, ainsi que la liberté de la créativité artistique et littéraire. Ainsi, les poursuites visant à suspendre ou confisquer toute œuvre artistique, littéraire ou intellectuelle, ou dirigées contre leurs créateurs, ne peuvent être engagées ou menées qu</w:t>
      </w:r>
      <w:r w:rsidR="0035332C">
        <w:rPr>
          <w:lang w:val="fr-FR"/>
        </w:rPr>
        <w:t>’</w:t>
      </w:r>
      <w:r w:rsidRPr="00310D49">
        <w:rPr>
          <w:lang w:val="fr-FR"/>
        </w:rPr>
        <w:t>en vertu d</w:t>
      </w:r>
      <w:r w:rsidR="0035332C">
        <w:rPr>
          <w:lang w:val="fr-FR"/>
        </w:rPr>
        <w:t>’</w:t>
      </w:r>
      <w:r w:rsidRPr="00310D49">
        <w:rPr>
          <w:lang w:val="fr-FR"/>
        </w:rPr>
        <w:t>une décision judiciaire. De même, aucune peine privative de liberté ne peut sanctionner une infraction commise en raison de la nature artistique, littéraire ou intellectuelle d</w:t>
      </w:r>
      <w:r w:rsidR="0035332C">
        <w:rPr>
          <w:lang w:val="fr-FR"/>
        </w:rPr>
        <w:t>’</w:t>
      </w:r>
      <w:r w:rsidRPr="00310D49">
        <w:rPr>
          <w:lang w:val="fr-FR"/>
        </w:rPr>
        <w:t>une œuvre.</w:t>
      </w:r>
    </w:p>
    <w:p w14:paraId="370F9E2A" w14:textId="5A48C70F" w:rsidR="00D005FA" w:rsidRPr="00310D49" w:rsidRDefault="00D005FA" w:rsidP="00BE51F8">
      <w:pPr>
        <w:pStyle w:val="SingleTxtG"/>
        <w:spacing w:before="120"/>
        <w:rPr>
          <w:lang w:val="fr-FR"/>
        </w:rPr>
      </w:pPr>
      <w:r w:rsidRPr="00310D49">
        <w:rPr>
          <w:lang w:val="fr-FR"/>
        </w:rPr>
        <w:t>336.</w:t>
      </w:r>
      <w:r w:rsidRPr="00310D49">
        <w:rPr>
          <w:lang w:val="fr-FR"/>
        </w:rPr>
        <w:tab/>
        <w:t>Le «</w:t>
      </w:r>
      <w:r w:rsidR="008139E6">
        <w:rPr>
          <w:lang w:val="fr-FR"/>
        </w:rPr>
        <w:t> </w:t>
      </w:r>
      <w:r w:rsidRPr="00310D49">
        <w:rPr>
          <w:lang w:val="fr-FR"/>
        </w:rPr>
        <w:t>Code de conduite professionnelle des médias</w:t>
      </w:r>
      <w:r w:rsidR="008139E6">
        <w:rPr>
          <w:lang w:val="fr-FR"/>
        </w:rPr>
        <w:t> </w:t>
      </w:r>
      <w:r w:rsidRPr="00310D49">
        <w:rPr>
          <w:lang w:val="fr-FR"/>
        </w:rPr>
        <w:t>» traite également des principes de la démocratie et de la tolérance à l</w:t>
      </w:r>
      <w:r w:rsidR="0035332C">
        <w:rPr>
          <w:lang w:val="fr-FR"/>
        </w:rPr>
        <w:t>’</w:t>
      </w:r>
      <w:r w:rsidRPr="00310D49">
        <w:rPr>
          <w:lang w:val="fr-FR"/>
        </w:rPr>
        <w:t>égard d</w:t>
      </w:r>
      <w:r w:rsidR="0035332C">
        <w:rPr>
          <w:lang w:val="fr-FR"/>
        </w:rPr>
        <w:t>’</w:t>
      </w:r>
      <w:r w:rsidRPr="00310D49">
        <w:rPr>
          <w:lang w:val="fr-FR"/>
        </w:rPr>
        <w:t>opinions différentes. Selon ce code, les médias doivent adopter une approche globale de la liberté et de la démocratie, protéger l</w:t>
      </w:r>
      <w:r w:rsidR="0035332C">
        <w:rPr>
          <w:lang w:val="fr-FR"/>
        </w:rPr>
        <w:t>’</w:t>
      </w:r>
      <w:r w:rsidRPr="00310D49">
        <w:rPr>
          <w:lang w:val="fr-FR"/>
        </w:rPr>
        <w:t>identité culturelle et nationale du peuple palestinien sans que cela conduise à l</w:t>
      </w:r>
      <w:r w:rsidR="0035332C">
        <w:rPr>
          <w:lang w:val="fr-FR"/>
        </w:rPr>
        <w:t>’</w:t>
      </w:r>
      <w:r w:rsidRPr="00310D49">
        <w:rPr>
          <w:lang w:val="fr-FR"/>
        </w:rPr>
        <w:t>isolement, adopter les valeurs de tolérance et d</w:t>
      </w:r>
      <w:r w:rsidR="0035332C">
        <w:rPr>
          <w:lang w:val="fr-FR"/>
        </w:rPr>
        <w:t>’</w:t>
      </w:r>
      <w:r w:rsidRPr="00310D49">
        <w:rPr>
          <w:lang w:val="fr-FR"/>
        </w:rPr>
        <w:t>acceptation de l</w:t>
      </w:r>
      <w:r w:rsidR="0035332C">
        <w:rPr>
          <w:lang w:val="fr-FR"/>
        </w:rPr>
        <w:t>’</w:t>
      </w:r>
      <w:r w:rsidRPr="00310D49">
        <w:rPr>
          <w:lang w:val="fr-FR"/>
        </w:rPr>
        <w:t>opinion d</w:t>
      </w:r>
      <w:r w:rsidR="0035332C">
        <w:rPr>
          <w:lang w:val="fr-FR"/>
        </w:rPr>
        <w:t>’</w:t>
      </w:r>
      <w:r w:rsidRPr="00310D49">
        <w:rPr>
          <w:lang w:val="fr-FR"/>
        </w:rPr>
        <w:t>autrui, accorder suffisamment d</w:t>
      </w:r>
      <w:r w:rsidR="0035332C">
        <w:rPr>
          <w:lang w:val="fr-FR"/>
        </w:rPr>
        <w:t>’</w:t>
      </w:r>
      <w:r w:rsidRPr="00310D49">
        <w:rPr>
          <w:lang w:val="fr-FR"/>
        </w:rPr>
        <w:t>attention aux problèmes de l</w:t>
      </w:r>
      <w:r w:rsidR="0035332C">
        <w:rPr>
          <w:lang w:val="fr-FR"/>
        </w:rPr>
        <w:t>’</w:t>
      </w:r>
      <w:r w:rsidRPr="00310D49">
        <w:rPr>
          <w:lang w:val="fr-FR"/>
        </w:rPr>
        <w:t>opinion publique au moyen d</w:t>
      </w:r>
      <w:r w:rsidR="0035332C">
        <w:rPr>
          <w:lang w:val="fr-FR"/>
        </w:rPr>
        <w:t>’</w:t>
      </w:r>
      <w:r w:rsidRPr="00310D49">
        <w:rPr>
          <w:lang w:val="fr-FR"/>
        </w:rPr>
        <w:t xml:space="preserve">informations documentées et accorder une attention particulière aux groupes et zones marginalisés. </w:t>
      </w:r>
    </w:p>
    <w:p w14:paraId="6D337883" w14:textId="5A0CEA09" w:rsidR="00D005FA" w:rsidRPr="00310D49" w:rsidRDefault="00D005FA" w:rsidP="00BE51F8">
      <w:pPr>
        <w:pStyle w:val="SingleTxtG"/>
        <w:spacing w:before="120"/>
        <w:rPr>
          <w:spacing w:val="-4"/>
          <w:lang w:val="fr-FR"/>
        </w:rPr>
      </w:pPr>
      <w:r w:rsidRPr="00310D49">
        <w:rPr>
          <w:lang w:val="fr-FR"/>
        </w:rPr>
        <w:t>337.</w:t>
      </w:r>
      <w:r w:rsidRPr="00310D49">
        <w:rPr>
          <w:lang w:val="fr-FR"/>
        </w:rPr>
        <w:tab/>
        <w:t>Aux fins de la diffusion d</w:t>
      </w:r>
      <w:r w:rsidR="0035332C">
        <w:rPr>
          <w:lang w:val="fr-FR"/>
        </w:rPr>
        <w:t>’</w:t>
      </w:r>
      <w:r w:rsidRPr="00310D49">
        <w:rPr>
          <w:lang w:val="fr-FR"/>
        </w:rPr>
        <w:t>informations sur Internet, la Société de télécommunications palestinienne et les fournisseurs accrédités auprès d</w:t>
      </w:r>
      <w:r w:rsidR="0035332C">
        <w:rPr>
          <w:lang w:val="fr-FR"/>
        </w:rPr>
        <w:t>’</w:t>
      </w:r>
      <w:r w:rsidRPr="00310D49">
        <w:rPr>
          <w:lang w:val="fr-FR"/>
        </w:rPr>
        <w:t>elle offrent aux citoyens l</w:t>
      </w:r>
      <w:r w:rsidR="0035332C">
        <w:rPr>
          <w:lang w:val="fr-FR"/>
        </w:rPr>
        <w:t>’</w:t>
      </w:r>
      <w:r w:rsidRPr="00310D49">
        <w:rPr>
          <w:lang w:val="fr-FR"/>
        </w:rPr>
        <w:t>accès à un réseau Internet couvrant la quasi-totalité du territoire palestinien. Les statistiques montrent que 51,7</w:t>
      </w:r>
      <w:r w:rsidR="008139E6">
        <w:rPr>
          <w:lang w:val="fr-FR"/>
        </w:rPr>
        <w:t> </w:t>
      </w:r>
      <w:r w:rsidRPr="00310D49">
        <w:rPr>
          <w:lang w:val="fr-FR"/>
        </w:rPr>
        <w:t>% des ménages palestiniens avaient accès à Internet en 2017 et que le nombre total d</w:t>
      </w:r>
      <w:r w:rsidR="0035332C">
        <w:rPr>
          <w:lang w:val="fr-FR"/>
        </w:rPr>
        <w:t>’</w:t>
      </w:r>
      <w:r w:rsidRPr="00310D49">
        <w:rPr>
          <w:lang w:val="fr-FR"/>
        </w:rPr>
        <w:t>abonnés Internet haut débit dans l</w:t>
      </w:r>
      <w:r w:rsidR="0035332C">
        <w:rPr>
          <w:lang w:val="fr-FR"/>
        </w:rPr>
        <w:t>’</w:t>
      </w:r>
      <w:r w:rsidRPr="00310D49">
        <w:rPr>
          <w:lang w:val="fr-FR"/>
        </w:rPr>
        <w:t>État de Palestine s</w:t>
      </w:r>
      <w:r w:rsidR="0035332C">
        <w:rPr>
          <w:lang w:val="fr-FR"/>
        </w:rPr>
        <w:t>’</w:t>
      </w:r>
      <w:r w:rsidRPr="00310D49">
        <w:rPr>
          <w:lang w:val="fr-FR"/>
        </w:rPr>
        <w:t>élevait à 357</w:t>
      </w:r>
      <w:r w:rsidR="008139E6">
        <w:rPr>
          <w:lang w:val="fr-FR"/>
        </w:rPr>
        <w:t> </w:t>
      </w:r>
      <w:r w:rsidRPr="00310D49">
        <w:rPr>
          <w:lang w:val="fr-FR"/>
        </w:rPr>
        <w:t>071</w:t>
      </w:r>
      <w:r w:rsidR="008139E6">
        <w:rPr>
          <w:lang w:val="fr-FR"/>
        </w:rPr>
        <w:t> </w:t>
      </w:r>
      <w:r w:rsidRPr="00310D49">
        <w:rPr>
          <w:lang w:val="fr-FR"/>
        </w:rPr>
        <w:t>abonnés cette même année, contre 119</w:t>
      </w:r>
      <w:r w:rsidR="008139E6">
        <w:rPr>
          <w:lang w:val="fr-FR"/>
        </w:rPr>
        <w:t> </w:t>
      </w:r>
      <w:r w:rsidRPr="00310D49">
        <w:rPr>
          <w:lang w:val="fr-FR"/>
        </w:rPr>
        <w:t>488</w:t>
      </w:r>
      <w:r w:rsidR="008139E6">
        <w:rPr>
          <w:lang w:val="fr-FR"/>
        </w:rPr>
        <w:t> </w:t>
      </w:r>
      <w:r w:rsidRPr="00310D49">
        <w:rPr>
          <w:lang w:val="fr-FR"/>
        </w:rPr>
        <w:t>abonnés en 2010.</w:t>
      </w:r>
    </w:p>
    <w:p w14:paraId="6AA32FD3" w14:textId="44BD023C" w:rsidR="00D005FA" w:rsidRPr="00310D49" w:rsidRDefault="00D005FA" w:rsidP="00BE51F8">
      <w:pPr>
        <w:pStyle w:val="SingleTxtG"/>
        <w:spacing w:before="120"/>
        <w:rPr>
          <w:lang w:val="fr-FR"/>
        </w:rPr>
      </w:pPr>
      <w:r w:rsidRPr="00310D49">
        <w:rPr>
          <w:lang w:val="fr-FR"/>
        </w:rPr>
        <w:t>338.</w:t>
      </w:r>
      <w:r w:rsidRPr="00310D49">
        <w:rPr>
          <w:lang w:val="fr-FR"/>
        </w:rPr>
        <w:tab/>
        <w:t>Les articles</w:t>
      </w:r>
      <w:r w:rsidR="008139E6">
        <w:rPr>
          <w:lang w:val="fr-FR"/>
        </w:rPr>
        <w:t> </w:t>
      </w:r>
      <w:r w:rsidRPr="00310D49">
        <w:rPr>
          <w:lang w:val="fr-FR"/>
        </w:rPr>
        <w:t>17 à 23 de la loi n</w:t>
      </w:r>
      <w:r w:rsidR="008139E6" w:rsidRPr="008139E6">
        <w:rPr>
          <w:vertAlign w:val="superscript"/>
          <w:lang w:val="fr-FR"/>
        </w:rPr>
        <w:t>o</w:t>
      </w:r>
      <w:r w:rsidR="008139E6">
        <w:rPr>
          <w:lang w:val="fr-FR"/>
        </w:rPr>
        <w:t> </w:t>
      </w:r>
      <w:r w:rsidRPr="00310D49">
        <w:rPr>
          <w:lang w:val="fr-FR"/>
        </w:rPr>
        <w:t>9 de 1995 sur les publications et l</w:t>
      </w:r>
      <w:r w:rsidR="0035332C">
        <w:rPr>
          <w:lang w:val="fr-FR"/>
        </w:rPr>
        <w:t>’</w:t>
      </w:r>
      <w:r w:rsidRPr="00310D49">
        <w:rPr>
          <w:lang w:val="fr-FR"/>
        </w:rPr>
        <w:t>édition définissent la procédure d</w:t>
      </w:r>
      <w:r w:rsidR="0035332C">
        <w:rPr>
          <w:lang w:val="fr-FR"/>
        </w:rPr>
        <w:t>’</w:t>
      </w:r>
      <w:r w:rsidRPr="00310D49">
        <w:rPr>
          <w:lang w:val="fr-FR"/>
        </w:rPr>
        <w:t>obtention d</w:t>
      </w:r>
      <w:r w:rsidR="0035332C">
        <w:rPr>
          <w:lang w:val="fr-FR"/>
        </w:rPr>
        <w:t>’</w:t>
      </w:r>
      <w:r w:rsidRPr="00310D49">
        <w:rPr>
          <w:lang w:val="fr-FR"/>
        </w:rPr>
        <w:t>une licence d</w:t>
      </w:r>
      <w:r w:rsidR="0035332C">
        <w:rPr>
          <w:lang w:val="fr-FR"/>
        </w:rPr>
        <w:t>’</w:t>
      </w:r>
      <w:r w:rsidRPr="00310D49">
        <w:rPr>
          <w:lang w:val="fr-FR"/>
        </w:rPr>
        <w:t>édition de publications ou de création d</w:t>
      </w:r>
      <w:r w:rsidR="0035332C">
        <w:rPr>
          <w:lang w:val="fr-FR"/>
        </w:rPr>
        <w:t>’</w:t>
      </w:r>
      <w:r w:rsidRPr="00310D49">
        <w:rPr>
          <w:lang w:val="fr-FR"/>
        </w:rPr>
        <w:t>un établissement, qu</w:t>
      </w:r>
      <w:r w:rsidR="0035332C">
        <w:rPr>
          <w:lang w:val="fr-FR"/>
        </w:rPr>
        <w:t>’</w:t>
      </w:r>
      <w:r w:rsidRPr="00310D49">
        <w:rPr>
          <w:lang w:val="fr-FR"/>
        </w:rPr>
        <w:t>il s</w:t>
      </w:r>
      <w:r w:rsidR="0035332C">
        <w:rPr>
          <w:lang w:val="fr-FR"/>
        </w:rPr>
        <w:t>’</w:t>
      </w:r>
      <w:r w:rsidRPr="00310D49">
        <w:rPr>
          <w:lang w:val="fr-FR"/>
        </w:rPr>
        <w:t>agisse d</w:t>
      </w:r>
      <w:r w:rsidR="0035332C">
        <w:rPr>
          <w:lang w:val="fr-FR"/>
        </w:rPr>
        <w:t>’</w:t>
      </w:r>
      <w:r w:rsidRPr="00310D49">
        <w:rPr>
          <w:lang w:val="fr-FR"/>
        </w:rPr>
        <w:t>une imprimerie, d</w:t>
      </w:r>
      <w:r w:rsidR="0035332C">
        <w:rPr>
          <w:lang w:val="fr-FR"/>
        </w:rPr>
        <w:t>’</w:t>
      </w:r>
      <w:r w:rsidRPr="00310D49">
        <w:rPr>
          <w:lang w:val="fr-FR"/>
        </w:rPr>
        <w:t>une maison d</w:t>
      </w:r>
      <w:r w:rsidR="0035332C">
        <w:rPr>
          <w:lang w:val="fr-FR"/>
        </w:rPr>
        <w:t>’</w:t>
      </w:r>
      <w:r w:rsidRPr="00310D49">
        <w:rPr>
          <w:lang w:val="fr-FR"/>
        </w:rPr>
        <w:t>édition, d</w:t>
      </w:r>
      <w:r w:rsidR="0035332C">
        <w:rPr>
          <w:lang w:val="fr-FR"/>
        </w:rPr>
        <w:t>’</w:t>
      </w:r>
      <w:r w:rsidRPr="00310D49">
        <w:rPr>
          <w:lang w:val="fr-FR"/>
        </w:rPr>
        <w:t>une société de distribution ou de recherches et d</w:t>
      </w:r>
      <w:r w:rsidR="0035332C">
        <w:rPr>
          <w:lang w:val="fr-FR"/>
        </w:rPr>
        <w:t>’</w:t>
      </w:r>
      <w:r w:rsidRPr="00310D49">
        <w:rPr>
          <w:lang w:val="fr-FR"/>
        </w:rPr>
        <w:t>études, d</w:t>
      </w:r>
      <w:r w:rsidR="0035332C">
        <w:rPr>
          <w:lang w:val="fr-FR"/>
        </w:rPr>
        <w:t>’</w:t>
      </w:r>
      <w:r w:rsidRPr="00310D49">
        <w:rPr>
          <w:lang w:val="fr-FR"/>
        </w:rPr>
        <w:t>un institut de sondage d</w:t>
      </w:r>
      <w:r w:rsidR="0035332C">
        <w:rPr>
          <w:lang w:val="fr-FR"/>
        </w:rPr>
        <w:t>’</w:t>
      </w:r>
      <w:r w:rsidRPr="00310D49">
        <w:rPr>
          <w:lang w:val="fr-FR"/>
        </w:rPr>
        <w:t>opinion, d</w:t>
      </w:r>
      <w:r w:rsidR="0035332C">
        <w:rPr>
          <w:lang w:val="fr-FR"/>
        </w:rPr>
        <w:t>’</w:t>
      </w:r>
      <w:r w:rsidRPr="00310D49">
        <w:rPr>
          <w:lang w:val="fr-FR"/>
        </w:rPr>
        <w:t>un bureau de presse, d</w:t>
      </w:r>
      <w:r w:rsidR="0035332C">
        <w:rPr>
          <w:lang w:val="fr-FR"/>
        </w:rPr>
        <w:t>’</w:t>
      </w:r>
      <w:r w:rsidRPr="00310D49">
        <w:rPr>
          <w:lang w:val="fr-FR"/>
        </w:rPr>
        <w:t>une agence de traduction ou d</w:t>
      </w:r>
      <w:r w:rsidR="0035332C">
        <w:rPr>
          <w:lang w:val="fr-FR"/>
        </w:rPr>
        <w:t>’</w:t>
      </w:r>
      <w:r w:rsidRPr="00310D49">
        <w:rPr>
          <w:lang w:val="fr-FR"/>
        </w:rPr>
        <w:t>une agence publicitaire. Le décret du Conseil des ministres n</w:t>
      </w:r>
      <w:r w:rsidR="008139E6" w:rsidRPr="008139E6">
        <w:rPr>
          <w:vertAlign w:val="superscript"/>
          <w:lang w:val="fr-FR"/>
        </w:rPr>
        <w:t>o</w:t>
      </w:r>
      <w:r w:rsidR="008139E6">
        <w:rPr>
          <w:lang w:val="fr-FR"/>
        </w:rPr>
        <w:t> </w:t>
      </w:r>
      <w:r w:rsidRPr="00310D49">
        <w:rPr>
          <w:lang w:val="fr-FR"/>
        </w:rPr>
        <w:t>18 de 2018 relatif au régime de licences d</w:t>
      </w:r>
      <w:r w:rsidR="0035332C">
        <w:rPr>
          <w:lang w:val="fr-FR"/>
        </w:rPr>
        <w:t>’</w:t>
      </w:r>
      <w:r w:rsidRPr="00310D49">
        <w:rPr>
          <w:lang w:val="fr-FR"/>
        </w:rPr>
        <w:t xml:space="preserve">exploitation pour les stations de radio </w:t>
      </w:r>
      <w:r w:rsidRPr="00310D49">
        <w:rPr>
          <w:lang w:val="fr-FR"/>
        </w:rPr>
        <w:lastRenderedPageBreak/>
        <w:t>et de télévision hertziennes et par satellite, les prestataires de services de radiodiffusion par satellite, les chaînes de radiodiffusion par satellite et de production médiatique, fixe les conditions et modalités de délivrance de licences d</w:t>
      </w:r>
      <w:r w:rsidR="0035332C">
        <w:rPr>
          <w:lang w:val="fr-FR"/>
        </w:rPr>
        <w:t>’</w:t>
      </w:r>
      <w:r w:rsidRPr="00310D49">
        <w:rPr>
          <w:lang w:val="fr-FR"/>
        </w:rPr>
        <w:t>exploitation. Selon les articles</w:t>
      </w:r>
      <w:r w:rsidR="008139E6">
        <w:rPr>
          <w:lang w:val="fr-FR"/>
        </w:rPr>
        <w:t> </w:t>
      </w:r>
      <w:r w:rsidRPr="00310D49">
        <w:rPr>
          <w:lang w:val="fr-FR"/>
        </w:rPr>
        <w:t>5 à 8 dudit décret, le radiodiffuseur ou le télédiffuseur doit, pour se faire attribuer une licence, obtenir au préalable l</w:t>
      </w:r>
      <w:r w:rsidR="0035332C">
        <w:rPr>
          <w:lang w:val="fr-FR"/>
        </w:rPr>
        <w:t>’</w:t>
      </w:r>
      <w:r w:rsidRPr="00310D49">
        <w:rPr>
          <w:lang w:val="fr-FR"/>
        </w:rPr>
        <w:t>agrément technique du Ministère des communications et des technologies de l</w:t>
      </w:r>
      <w:r w:rsidR="0035332C">
        <w:rPr>
          <w:lang w:val="fr-FR"/>
        </w:rPr>
        <w:t>’</w:t>
      </w:r>
      <w:r w:rsidRPr="00310D49">
        <w:rPr>
          <w:lang w:val="fr-FR"/>
        </w:rPr>
        <w:t>information, ainsi que l</w:t>
      </w:r>
      <w:r w:rsidR="0035332C">
        <w:rPr>
          <w:lang w:val="fr-FR"/>
        </w:rPr>
        <w:t>’</w:t>
      </w:r>
      <w:r w:rsidRPr="00310D49">
        <w:rPr>
          <w:lang w:val="fr-FR"/>
        </w:rPr>
        <w:t>agrément du Ministère de l</w:t>
      </w:r>
      <w:r w:rsidR="0035332C">
        <w:rPr>
          <w:lang w:val="fr-FR"/>
        </w:rPr>
        <w:t>’</w:t>
      </w:r>
      <w:r w:rsidRPr="00310D49">
        <w:rPr>
          <w:lang w:val="fr-FR"/>
        </w:rPr>
        <w:t>intérieur confirmant la sécurité des fonds propres de la station. La décision d</w:t>
      </w:r>
      <w:r w:rsidR="0035332C">
        <w:rPr>
          <w:lang w:val="fr-FR"/>
        </w:rPr>
        <w:t>’</w:t>
      </w:r>
      <w:r w:rsidRPr="00310D49">
        <w:rPr>
          <w:lang w:val="fr-FR"/>
        </w:rPr>
        <w:t>accorder une licence ou de ne pas l</w:t>
      </w:r>
      <w:r w:rsidR="0035332C">
        <w:rPr>
          <w:lang w:val="fr-FR"/>
        </w:rPr>
        <w:t>’</w:t>
      </w:r>
      <w:r w:rsidRPr="00310D49">
        <w:rPr>
          <w:lang w:val="fr-FR"/>
        </w:rPr>
        <w:t>accorder est prise par le Ministère de l</w:t>
      </w:r>
      <w:r w:rsidR="0035332C">
        <w:rPr>
          <w:lang w:val="fr-FR"/>
        </w:rPr>
        <w:t>’</w:t>
      </w:r>
      <w:r w:rsidRPr="00310D49">
        <w:rPr>
          <w:lang w:val="fr-FR"/>
        </w:rPr>
        <w:t xml:space="preserve">information dans les </w:t>
      </w:r>
      <w:r w:rsidR="008139E6">
        <w:rPr>
          <w:lang w:val="fr-FR"/>
        </w:rPr>
        <w:t>soixante</w:t>
      </w:r>
      <w:r w:rsidRPr="00310D49">
        <w:rPr>
          <w:lang w:val="fr-FR"/>
        </w:rPr>
        <w:t xml:space="preserve"> jours suivant la date de dépôt de la demande. Si une licence est accordée au radiodiffuseur ou au télédiffuseur, celui-ci se verra attribuer ses propres fréquences après avoir satisfait à toutes les exigences techniques. Dans</w:t>
      </w:r>
      <w:r w:rsidR="008139E6">
        <w:rPr>
          <w:lang w:val="fr-FR"/>
        </w:rPr>
        <w:t> </w:t>
      </w:r>
      <w:r w:rsidRPr="00310D49">
        <w:rPr>
          <w:lang w:val="fr-FR"/>
        </w:rPr>
        <w:t>le cas contraire, la décision de refus peut être contestée devant la Haute Cour de justice.</w:t>
      </w:r>
    </w:p>
    <w:p w14:paraId="116EA3C5" w14:textId="552A64C6" w:rsidR="00D005FA" w:rsidRPr="00310D49" w:rsidRDefault="00D005FA" w:rsidP="00BE51F8">
      <w:pPr>
        <w:pStyle w:val="SingleTxtG"/>
        <w:spacing w:before="120"/>
        <w:rPr>
          <w:lang w:val="fr-FR"/>
        </w:rPr>
      </w:pPr>
      <w:r w:rsidRPr="00310D49">
        <w:rPr>
          <w:lang w:val="fr-FR"/>
        </w:rPr>
        <w:t>339.</w:t>
      </w:r>
      <w:r w:rsidRPr="00310D49">
        <w:rPr>
          <w:lang w:val="fr-FR"/>
        </w:rPr>
        <w:tab/>
        <w:t>Le tableau ci-après indique le nombre d</w:t>
      </w:r>
      <w:r w:rsidR="0035332C">
        <w:rPr>
          <w:lang w:val="fr-FR"/>
        </w:rPr>
        <w:t>’</w:t>
      </w:r>
      <w:r w:rsidRPr="00310D49">
        <w:rPr>
          <w:lang w:val="fr-FR"/>
        </w:rPr>
        <w:t>organes d</w:t>
      </w:r>
      <w:r w:rsidR="0035332C">
        <w:rPr>
          <w:lang w:val="fr-FR"/>
        </w:rPr>
        <w:t>’</w:t>
      </w:r>
      <w:r w:rsidRPr="00310D49">
        <w:rPr>
          <w:lang w:val="fr-FR"/>
        </w:rPr>
        <w:t>information bénéficiant d</w:t>
      </w:r>
      <w:r w:rsidR="0035332C">
        <w:rPr>
          <w:lang w:val="fr-FR"/>
        </w:rPr>
        <w:t>’</w:t>
      </w:r>
      <w:r w:rsidRPr="00310D49">
        <w:rPr>
          <w:lang w:val="fr-FR"/>
        </w:rPr>
        <w:t>une licence au mois de mars 2018, selon les données du Ministère de l</w:t>
      </w:r>
      <w:r w:rsidR="0035332C">
        <w:rPr>
          <w:lang w:val="fr-FR"/>
        </w:rPr>
        <w:t>’</w:t>
      </w:r>
      <w:r w:rsidRPr="00310D49">
        <w:rPr>
          <w:lang w:val="fr-FR"/>
        </w:rPr>
        <w:t>information.</w:t>
      </w:r>
    </w:p>
    <w:tbl>
      <w:tblPr>
        <w:tblW w:w="8505" w:type="dxa"/>
        <w:tblInd w:w="1134" w:type="dxa"/>
        <w:tblLayout w:type="fixed"/>
        <w:tblCellMar>
          <w:left w:w="0" w:type="dxa"/>
          <w:right w:w="0" w:type="dxa"/>
        </w:tblCellMar>
        <w:tblLook w:val="04A0" w:firstRow="1" w:lastRow="0" w:firstColumn="1" w:lastColumn="0" w:noHBand="0" w:noVBand="1"/>
      </w:tblPr>
      <w:tblGrid>
        <w:gridCol w:w="2977"/>
        <w:gridCol w:w="1985"/>
        <w:gridCol w:w="2976"/>
        <w:gridCol w:w="567"/>
      </w:tblGrid>
      <w:tr w:rsidR="004E0876" w:rsidRPr="004E0876" w14:paraId="1E344E58" w14:textId="77777777" w:rsidTr="009E2AB8">
        <w:trPr>
          <w:tblHeader/>
        </w:trPr>
        <w:tc>
          <w:tcPr>
            <w:tcW w:w="2977" w:type="dxa"/>
            <w:tcBorders>
              <w:top w:val="single" w:sz="4" w:space="0" w:color="auto"/>
            </w:tcBorders>
            <w:shd w:val="clear" w:color="auto" w:fill="auto"/>
            <w:vAlign w:val="bottom"/>
          </w:tcPr>
          <w:p w14:paraId="5C8D888B" w14:textId="77777777" w:rsidR="00D005FA" w:rsidRPr="004E0876" w:rsidRDefault="00D005FA" w:rsidP="004E0876">
            <w:pPr>
              <w:widowControl w:val="0"/>
              <w:suppressAutoHyphens w:val="0"/>
              <w:spacing w:before="40" w:after="120"/>
              <w:ind w:right="113"/>
              <w:rPr>
                <w:i/>
                <w:sz w:val="16"/>
                <w:lang w:val="fr-FR"/>
              </w:rPr>
            </w:pPr>
            <w:r w:rsidRPr="004E0876">
              <w:rPr>
                <w:lang w:val="fr-FR"/>
              </w:rPr>
              <w:t>Publicités</w:t>
            </w:r>
          </w:p>
        </w:tc>
        <w:tc>
          <w:tcPr>
            <w:tcW w:w="1985" w:type="dxa"/>
            <w:tcBorders>
              <w:top w:val="single" w:sz="4" w:space="0" w:color="auto"/>
            </w:tcBorders>
            <w:shd w:val="clear" w:color="auto" w:fill="auto"/>
            <w:vAlign w:val="bottom"/>
          </w:tcPr>
          <w:p w14:paraId="3CBC1D61" w14:textId="77777777" w:rsidR="00D005FA" w:rsidRPr="004E0876" w:rsidRDefault="00D005FA" w:rsidP="004E0876">
            <w:pPr>
              <w:widowControl w:val="0"/>
              <w:suppressAutoHyphens w:val="0"/>
              <w:spacing w:before="80" w:after="80" w:line="200" w:lineRule="exact"/>
              <w:ind w:right="113"/>
              <w:rPr>
                <w:i/>
                <w:sz w:val="16"/>
                <w:rtl/>
                <w:lang w:val="fr-FR" w:bidi="ar-JO"/>
              </w:rPr>
            </w:pPr>
            <w:r w:rsidRPr="004E0876">
              <w:rPr>
                <w:i/>
                <w:sz w:val="16"/>
                <w:rtl/>
                <w:lang w:bidi="ar-JO"/>
              </w:rPr>
              <w:t>370</w:t>
            </w:r>
          </w:p>
        </w:tc>
        <w:tc>
          <w:tcPr>
            <w:tcW w:w="2976" w:type="dxa"/>
            <w:tcBorders>
              <w:top w:val="single" w:sz="4" w:space="0" w:color="auto"/>
            </w:tcBorders>
            <w:shd w:val="clear" w:color="auto" w:fill="auto"/>
            <w:vAlign w:val="bottom"/>
          </w:tcPr>
          <w:p w14:paraId="17BFE6C3" w14:textId="77777777" w:rsidR="00D005FA" w:rsidRPr="004E0876" w:rsidRDefault="00D005FA" w:rsidP="004E0876">
            <w:pPr>
              <w:widowControl w:val="0"/>
              <w:suppressAutoHyphens w:val="0"/>
              <w:spacing w:before="40" w:after="120"/>
              <w:ind w:right="113"/>
              <w:rPr>
                <w:i/>
                <w:sz w:val="16"/>
                <w:lang w:val="fr-FR"/>
              </w:rPr>
            </w:pPr>
            <w:r w:rsidRPr="004E0876">
              <w:rPr>
                <w:lang w:val="fr-FR"/>
              </w:rPr>
              <w:t>Confection de tampons et de griffes</w:t>
            </w:r>
          </w:p>
        </w:tc>
        <w:tc>
          <w:tcPr>
            <w:tcW w:w="567" w:type="dxa"/>
            <w:tcBorders>
              <w:top w:val="single" w:sz="4" w:space="0" w:color="auto"/>
            </w:tcBorders>
            <w:shd w:val="clear" w:color="auto" w:fill="auto"/>
            <w:vAlign w:val="bottom"/>
          </w:tcPr>
          <w:p w14:paraId="3804761F" w14:textId="77777777" w:rsidR="00D005FA" w:rsidRPr="004E0876" w:rsidRDefault="00D005FA" w:rsidP="004E0876">
            <w:pPr>
              <w:widowControl w:val="0"/>
              <w:suppressAutoHyphens w:val="0"/>
              <w:spacing w:before="40" w:after="120"/>
              <w:ind w:right="113"/>
              <w:rPr>
                <w:rtl/>
              </w:rPr>
            </w:pPr>
            <w:r w:rsidRPr="004E0876">
              <w:t>14</w:t>
            </w:r>
          </w:p>
        </w:tc>
      </w:tr>
      <w:tr w:rsidR="004E0876" w:rsidRPr="004E0876" w14:paraId="732FC181" w14:textId="77777777" w:rsidTr="009E2AB8">
        <w:trPr>
          <w:tblHeader/>
        </w:trPr>
        <w:tc>
          <w:tcPr>
            <w:tcW w:w="2977" w:type="dxa"/>
            <w:shd w:val="clear" w:color="auto" w:fill="auto"/>
          </w:tcPr>
          <w:p w14:paraId="57AE3998" w14:textId="77777777" w:rsidR="00D005FA" w:rsidRPr="004E0876" w:rsidRDefault="00D005FA" w:rsidP="004E0876">
            <w:pPr>
              <w:widowControl w:val="0"/>
              <w:suppressAutoHyphens w:val="0"/>
              <w:spacing w:before="40" w:after="120"/>
              <w:ind w:right="113"/>
              <w:rPr>
                <w:lang w:val="fr-FR"/>
              </w:rPr>
            </w:pPr>
            <w:r w:rsidRPr="004E0876">
              <w:rPr>
                <w:lang w:val="fr-FR"/>
              </w:rPr>
              <w:t>Imprimeries</w:t>
            </w:r>
          </w:p>
        </w:tc>
        <w:tc>
          <w:tcPr>
            <w:tcW w:w="1985" w:type="dxa"/>
            <w:shd w:val="clear" w:color="auto" w:fill="auto"/>
          </w:tcPr>
          <w:p w14:paraId="51E45BD4"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274</w:t>
            </w:r>
          </w:p>
        </w:tc>
        <w:tc>
          <w:tcPr>
            <w:tcW w:w="2976" w:type="dxa"/>
            <w:shd w:val="clear" w:color="auto" w:fill="auto"/>
          </w:tcPr>
          <w:p w14:paraId="40A3A52A" w14:textId="1009C5A5" w:rsidR="00D005FA" w:rsidRPr="004E0876" w:rsidRDefault="00D005FA" w:rsidP="004E0876">
            <w:pPr>
              <w:widowControl w:val="0"/>
              <w:suppressAutoHyphens w:val="0"/>
              <w:spacing w:before="40" w:after="120"/>
              <w:ind w:right="113"/>
              <w:rPr>
                <w:lang w:val="fr-FR"/>
              </w:rPr>
            </w:pPr>
            <w:r w:rsidRPr="004E0876">
              <w:rPr>
                <w:lang w:val="fr-FR"/>
              </w:rPr>
              <w:t>Bureaux d</w:t>
            </w:r>
            <w:r w:rsidR="0035332C">
              <w:rPr>
                <w:lang w:val="fr-FR"/>
              </w:rPr>
              <w:t>’</w:t>
            </w:r>
            <w:r w:rsidRPr="004E0876">
              <w:rPr>
                <w:lang w:val="fr-FR"/>
              </w:rPr>
              <w:t>information</w:t>
            </w:r>
          </w:p>
        </w:tc>
        <w:tc>
          <w:tcPr>
            <w:tcW w:w="567" w:type="dxa"/>
            <w:shd w:val="clear" w:color="auto" w:fill="auto"/>
          </w:tcPr>
          <w:p w14:paraId="61040B3B" w14:textId="77777777" w:rsidR="00D005FA" w:rsidRPr="004E0876" w:rsidRDefault="00D005FA" w:rsidP="004E0876">
            <w:pPr>
              <w:widowControl w:val="0"/>
              <w:suppressAutoHyphens w:val="0"/>
              <w:spacing w:before="40" w:after="120"/>
              <w:ind w:right="113"/>
              <w:rPr>
                <w:rtl/>
                <w:lang w:val="fr-FR" w:bidi="ar-JO"/>
              </w:rPr>
            </w:pPr>
            <w:r w:rsidRPr="004E0876">
              <w:t>26</w:t>
            </w:r>
          </w:p>
        </w:tc>
      </w:tr>
      <w:tr w:rsidR="004E0876" w:rsidRPr="004E0876" w14:paraId="276F6A09" w14:textId="77777777" w:rsidTr="009E2AB8">
        <w:trPr>
          <w:tblHeader/>
        </w:trPr>
        <w:tc>
          <w:tcPr>
            <w:tcW w:w="2977" w:type="dxa"/>
            <w:shd w:val="clear" w:color="auto" w:fill="auto"/>
          </w:tcPr>
          <w:p w14:paraId="0A1F615C" w14:textId="51EE5ECA" w:rsidR="00D005FA" w:rsidRPr="004E0876" w:rsidRDefault="00D005FA" w:rsidP="004E0876">
            <w:pPr>
              <w:widowControl w:val="0"/>
              <w:suppressAutoHyphens w:val="0"/>
              <w:spacing w:before="40" w:after="120"/>
              <w:ind w:right="113"/>
              <w:rPr>
                <w:lang w:val="fr-FR"/>
              </w:rPr>
            </w:pPr>
            <w:r w:rsidRPr="004E0876">
              <w:rPr>
                <w:lang w:val="fr-FR"/>
              </w:rPr>
              <w:t>Maisons d</w:t>
            </w:r>
            <w:r w:rsidR="0035332C">
              <w:rPr>
                <w:lang w:val="fr-FR"/>
              </w:rPr>
              <w:t>’</w:t>
            </w:r>
            <w:r w:rsidRPr="004E0876">
              <w:rPr>
                <w:lang w:val="fr-FR"/>
              </w:rPr>
              <w:t>édition et de distribution</w:t>
            </w:r>
          </w:p>
        </w:tc>
        <w:tc>
          <w:tcPr>
            <w:tcW w:w="1985" w:type="dxa"/>
            <w:shd w:val="clear" w:color="auto" w:fill="auto"/>
          </w:tcPr>
          <w:p w14:paraId="70E6C4AF"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121</w:t>
            </w:r>
          </w:p>
        </w:tc>
        <w:tc>
          <w:tcPr>
            <w:tcW w:w="2976" w:type="dxa"/>
            <w:shd w:val="clear" w:color="auto" w:fill="auto"/>
          </w:tcPr>
          <w:p w14:paraId="60146B9A" w14:textId="519F909C" w:rsidR="00D005FA" w:rsidRPr="004E0876" w:rsidRDefault="00D005FA" w:rsidP="004E0876">
            <w:pPr>
              <w:widowControl w:val="0"/>
              <w:suppressAutoHyphens w:val="0"/>
              <w:spacing w:before="40" w:after="120"/>
              <w:ind w:right="113"/>
              <w:rPr>
                <w:lang w:val="fr-FR"/>
              </w:rPr>
            </w:pPr>
            <w:r w:rsidRPr="004E0876">
              <w:rPr>
                <w:lang w:val="fr-FR"/>
              </w:rPr>
              <w:t>Instituts de sondage de l</w:t>
            </w:r>
            <w:r w:rsidR="0035332C">
              <w:rPr>
                <w:lang w:val="fr-FR"/>
              </w:rPr>
              <w:t>’</w:t>
            </w:r>
            <w:r w:rsidRPr="004E0876">
              <w:rPr>
                <w:lang w:val="fr-FR"/>
              </w:rPr>
              <w:t>opinion publique</w:t>
            </w:r>
          </w:p>
        </w:tc>
        <w:tc>
          <w:tcPr>
            <w:tcW w:w="567" w:type="dxa"/>
            <w:shd w:val="clear" w:color="auto" w:fill="auto"/>
          </w:tcPr>
          <w:p w14:paraId="0A70E0DE" w14:textId="77777777" w:rsidR="00D005FA" w:rsidRPr="004E0876" w:rsidRDefault="00D005FA" w:rsidP="004E0876">
            <w:pPr>
              <w:widowControl w:val="0"/>
              <w:suppressAutoHyphens w:val="0"/>
              <w:spacing w:before="40" w:after="120"/>
              <w:ind w:right="113"/>
              <w:rPr>
                <w:rtl/>
                <w:lang w:val="fr-FR" w:bidi="ar-JO"/>
              </w:rPr>
            </w:pPr>
            <w:r w:rsidRPr="004E0876">
              <w:t>5</w:t>
            </w:r>
          </w:p>
        </w:tc>
      </w:tr>
      <w:tr w:rsidR="004E0876" w:rsidRPr="004E0876" w14:paraId="41608145" w14:textId="77777777" w:rsidTr="009E2AB8">
        <w:trPr>
          <w:tblHeader/>
        </w:trPr>
        <w:tc>
          <w:tcPr>
            <w:tcW w:w="2977" w:type="dxa"/>
            <w:shd w:val="clear" w:color="auto" w:fill="auto"/>
          </w:tcPr>
          <w:p w14:paraId="78439663" w14:textId="77777777" w:rsidR="00D005FA" w:rsidRPr="004E0876" w:rsidRDefault="00D005FA" w:rsidP="004E0876">
            <w:pPr>
              <w:widowControl w:val="0"/>
              <w:suppressAutoHyphens w:val="0"/>
              <w:spacing w:before="40" w:after="120"/>
              <w:ind w:right="113"/>
              <w:rPr>
                <w:lang w:val="fr-FR"/>
              </w:rPr>
            </w:pPr>
            <w:r w:rsidRPr="004E0876">
              <w:rPr>
                <w:lang w:val="fr-FR"/>
              </w:rPr>
              <w:t>Bibliothèques</w:t>
            </w:r>
          </w:p>
        </w:tc>
        <w:tc>
          <w:tcPr>
            <w:tcW w:w="1985" w:type="dxa"/>
            <w:shd w:val="clear" w:color="auto" w:fill="auto"/>
          </w:tcPr>
          <w:p w14:paraId="53ED39DE"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255</w:t>
            </w:r>
          </w:p>
        </w:tc>
        <w:tc>
          <w:tcPr>
            <w:tcW w:w="2976" w:type="dxa"/>
            <w:shd w:val="clear" w:color="auto" w:fill="auto"/>
          </w:tcPr>
          <w:p w14:paraId="4ED1D4B0" w14:textId="77777777" w:rsidR="00D005FA" w:rsidRPr="004E0876" w:rsidRDefault="00D005FA" w:rsidP="004E0876">
            <w:pPr>
              <w:widowControl w:val="0"/>
              <w:suppressAutoHyphens w:val="0"/>
              <w:spacing w:before="40" w:after="120"/>
              <w:ind w:right="113"/>
              <w:rPr>
                <w:lang w:val="fr-FR"/>
              </w:rPr>
            </w:pPr>
            <w:r w:rsidRPr="004E0876">
              <w:rPr>
                <w:lang w:val="fr-FR"/>
              </w:rPr>
              <w:t>Revues</w:t>
            </w:r>
          </w:p>
        </w:tc>
        <w:tc>
          <w:tcPr>
            <w:tcW w:w="567" w:type="dxa"/>
            <w:shd w:val="clear" w:color="auto" w:fill="auto"/>
          </w:tcPr>
          <w:p w14:paraId="62D93203" w14:textId="77777777" w:rsidR="00D005FA" w:rsidRPr="004E0876" w:rsidRDefault="00D005FA" w:rsidP="004E0876">
            <w:pPr>
              <w:widowControl w:val="0"/>
              <w:suppressAutoHyphens w:val="0"/>
              <w:spacing w:before="40" w:after="120"/>
              <w:ind w:right="113"/>
              <w:rPr>
                <w:rtl/>
                <w:lang w:val="fr-FR" w:bidi="ar-JO"/>
              </w:rPr>
            </w:pPr>
            <w:r w:rsidRPr="004E0876">
              <w:t>226</w:t>
            </w:r>
          </w:p>
        </w:tc>
      </w:tr>
      <w:tr w:rsidR="004E0876" w:rsidRPr="004E0876" w14:paraId="05E4E882" w14:textId="77777777" w:rsidTr="009E2AB8">
        <w:trPr>
          <w:tblHeader/>
        </w:trPr>
        <w:tc>
          <w:tcPr>
            <w:tcW w:w="2977" w:type="dxa"/>
            <w:shd w:val="clear" w:color="auto" w:fill="auto"/>
          </w:tcPr>
          <w:p w14:paraId="2E4C084A" w14:textId="77777777" w:rsidR="00D005FA" w:rsidRPr="004E0876" w:rsidRDefault="00D005FA" w:rsidP="004E0876">
            <w:pPr>
              <w:widowControl w:val="0"/>
              <w:suppressAutoHyphens w:val="0"/>
              <w:spacing w:before="40" w:after="120"/>
              <w:ind w:right="113"/>
              <w:rPr>
                <w:lang w:val="fr-FR"/>
              </w:rPr>
            </w:pPr>
            <w:r w:rsidRPr="004E0876">
              <w:rPr>
                <w:lang w:val="fr-FR"/>
              </w:rPr>
              <w:t>Service de presse</w:t>
            </w:r>
          </w:p>
        </w:tc>
        <w:tc>
          <w:tcPr>
            <w:tcW w:w="1985" w:type="dxa"/>
            <w:shd w:val="clear" w:color="auto" w:fill="auto"/>
          </w:tcPr>
          <w:p w14:paraId="35E6B8A7"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145</w:t>
            </w:r>
          </w:p>
        </w:tc>
        <w:tc>
          <w:tcPr>
            <w:tcW w:w="2976" w:type="dxa"/>
            <w:shd w:val="clear" w:color="auto" w:fill="auto"/>
          </w:tcPr>
          <w:p w14:paraId="6F46BA3A" w14:textId="77777777" w:rsidR="00D005FA" w:rsidRPr="004E0876" w:rsidRDefault="00D005FA" w:rsidP="004E0876">
            <w:pPr>
              <w:widowControl w:val="0"/>
              <w:suppressAutoHyphens w:val="0"/>
              <w:spacing w:before="40" w:after="120"/>
              <w:ind w:right="113"/>
              <w:rPr>
                <w:lang w:val="fr-FR"/>
              </w:rPr>
            </w:pPr>
            <w:r w:rsidRPr="004E0876">
              <w:rPr>
                <w:lang w:val="fr-FR"/>
              </w:rPr>
              <w:t>Journaux</w:t>
            </w:r>
          </w:p>
        </w:tc>
        <w:tc>
          <w:tcPr>
            <w:tcW w:w="567" w:type="dxa"/>
            <w:shd w:val="clear" w:color="auto" w:fill="auto"/>
          </w:tcPr>
          <w:p w14:paraId="076341ED" w14:textId="77777777" w:rsidR="00D005FA" w:rsidRPr="004E0876" w:rsidRDefault="00D005FA" w:rsidP="004E0876">
            <w:pPr>
              <w:widowControl w:val="0"/>
              <w:suppressAutoHyphens w:val="0"/>
              <w:spacing w:before="40" w:after="120"/>
              <w:ind w:right="113"/>
              <w:rPr>
                <w:rtl/>
                <w:lang w:val="fr-FR" w:bidi="ar-JO"/>
              </w:rPr>
            </w:pPr>
            <w:r w:rsidRPr="004E0876">
              <w:t>112</w:t>
            </w:r>
          </w:p>
        </w:tc>
      </w:tr>
      <w:tr w:rsidR="004E0876" w:rsidRPr="004E0876" w14:paraId="6781F9F2" w14:textId="77777777" w:rsidTr="009E2AB8">
        <w:trPr>
          <w:tblHeader/>
        </w:trPr>
        <w:tc>
          <w:tcPr>
            <w:tcW w:w="2977" w:type="dxa"/>
            <w:shd w:val="clear" w:color="auto" w:fill="auto"/>
          </w:tcPr>
          <w:p w14:paraId="39B87AAD" w14:textId="77777777" w:rsidR="00D005FA" w:rsidRPr="004E0876" w:rsidRDefault="00D005FA" w:rsidP="004E0876">
            <w:pPr>
              <w:widowControl w:val="0"/>
              <w:suppressAutoHyphens w:val="0"/>
              <w:spacing w:before="40" w:after="120"/>
              <w:ind w:right="113"/>
              <w:rPr>
                <w:lang w:val="fr-FR"/>
              </w:rPr>
            </w:pPr>
            <w:r w:rsidRPr="004E0876">
              <w:rPr>
                <w:lang w:val="fr-FR"/>
              </w:rPr>
              <w:t>Agences de presse</w:t>
            </w:r>
          </w:p>
        </w:tc>
        <w:tc>
          <w:tcPr>
            <w:tcW w:w="1985" w:type="dxa"/>
            <w:shd w:val="clear" w:color="auto" w:fill="auto"/>
          </w:tcPr>
          <w:p w14:paraId="75470235"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38</w:t>
            </w:r>
          </w:p>
        </w:tc>
        <w:tc>
          <w:tcPr>
            <w:tcW w:w="2976" w:type="dxa"/>
            <w:shd w:val="clear" w:color="auto" w:fill="auto"/>
          </w:tcPr>
          <w:p w14:paraId="402C9068" w14:textId="77777777" w:rsidR="00D005FA" w:rsidRPr="004E0876" w:rsidRDefault="00D005FA" w:rsidP="004E0876">
            <w:pPr>
              <w:widowControl w:val="0"/>
              <w:suppressAutoHyphens w:val="0"/>
              <w:spacing w:before="40" w:after="120"/>
              <w:ind w:right="113"/>
              <w:rPr>
                <w:lang w:val="fr-FR"/>
              </w:rPr>
            </w:pPr>
            <w:r w:rsidRPr="004E0876">
              <w:rPr>
                <w:lang w:val="fr-FR"/>
              </w:rPr>
              <w:t>Études et recherches</w:t>
            </w:r>
          </w:p>
        </w:tc>
        <w:tc>
          <w:tcPr>
            <w:tcW w:w="567" w:type="dxa"/>
            <w:shd w:val="clear" w:color="auto" w:fill="auto"/>
          </w:tcPr>
          <w:p w14:paraId="08ACC804" w14:textId="77777777" w:rsidR="00D005FA" w:rsidRPr="004E0876" w:rsidRDefault="00D005FA" w:rsidP="004E0876">
            <w:pPr>
              <w:widowControl w:val="0"/>
              <w:suppressAutoHyphens w:val="0"/>
              <w:spacing w:before="40" w:after="120"/>
              <w:ind w:right="113"/>
              <w:rPr>
                <w:rtl/>
                <w:lang w:val="fr-FR" w:bidi="ar-JO"/>
              </w:rPr>
            </w:pPr>
            <w:r w:rsidRPr="004E0876">
              <w:t>156</w:t>
            </w:r>
          </w:p>
        </w:tc>
      </w:tr>
      <w:tr w:rsidR="004E0876" w:rsidRPr="004E0876" w14:paraId="7D39E73D" w14:textId="77777777" w:rsidTr="009E2AB8">
        <w:trPr>
          <w:tblHeader/>
        </w:trPr>
        <w:tc>
          <w:tcPr>
            <w:tcW w:w="2977" w:type="dxa"/>
            <w:shd w:val="clear" w:color="auto" w:fill="auto"/>
          </w:tcPr>
          <w:p w14:paraId="005EB779" w14:textId="77777777" w:rsidR="00D005FA" w:rsidRPr="004E0876" w:rsidRDefault="00D005FA" w:rsidP="004E0876">
            <w:pPr>
              <w:widowControl w:val="0"/>
              <w:suppressAutoHyphens w:val="0"/>
              <w:spacing w:before="40" w:after="120"/>
              <w:ind w:right="113"/>
              <w:rPr>
                <w:lang w:val="fr-FR"/>
              </w:rPr>
            </w:pPr>
            <w:r w:rsidRPr="004E0876">
              <w:rPr>
                <w:lang w:val="fr-FR"/>
              </w:rPr>
              <w:t>Agences de traduction</w:t>
            </w:r>
          </w:p>
        </w:tc>
        <w:tc>
          <w:tcPr>
            <w:tcW w:w="1985" w:type="dxa"/>
            <w:shd w:val="clear" w:color="auto" w:fill="auto"/>
          </w:tcPr>
          <w:p w14:paraId="4CB1486A" w14:textId="77777777" w:rsidR="00D005FA" w:rsidRPr="004E0876" w:rsidRDefault="00D005FA" w:rsidP="004E0876">
            <w:pPr>
              <w:widowControl w:val="0"/>
              <w:suppressAutoHyphens w:val="0"/>
              <w:spacing w:before="40" w:after="120"/>
              <w:ind w:right="113"/>
              <w:rPr>
                <w:rtl/>
                <w:lang w:val="fr-FR" w:bidi="ar-JO"/>
              </w:rPr>
            </w:pPr>
            <w:r w:rsidRPr="004E0876">
              <w:rPr>
                <w:rtl/>
                <w:lang w:bidi="ar-JO"/>
              </w:rPr>
              <w:t>56</w:t>
            </w:r>
          </w:p>
        </w:tc>
        <w:tc>
          <w:tcPr>
            <w:tcW w:w="2976" w:type="dxa"/>
            <w:shd w:val="clear" w:color="auto" w:fill="auto"/>
          </w:tcPr>
          <w:p w14:paraId="4833F1D6" w14:textId="77777777" w:rsidR="00D005FA" w:rsidRPr="004E0876" w:rsidRDefault="00D005FA" w:rsidP="004E0876">
            <w:pPr>
              <w:widowControl w:val="0"/>
              <w:suppressAutoHyphens w:val="0"/>
              <w:spacing w:before="40" w:after="120"/>
              <w:ind w:right="113"/>
              <w:rPr>
                <w:lang w:val="fr-FR"/>
              </w:rPr>
            </w:pPr>
            <w:r w:rsidRPr="004E0876">
              <w:rPr>
                <w:lang w:val="fr-FR"/>
              </w:rPr>
              <w:t>Production médiatique</w:t>
            </w:r>
          </w:p>
        </w:tc>
        <w:tc>
          <w:tcPr>
            <w:tcW w:w="567" w:type="dxa"/>
            <w:shd w:val="clear" w:color="auto" w:fill="auto"/>
          </w:tcPr>
          <w:p w14:paraId="0BD1731D" w14:textId="77777777" w:rsidR="00D005FA" w:rsidRPr="004E0876" w:rsidRDefault="00D005FA" w:rsidP="004E0876">
            <w:pPr>
              <w:widowControl w:val="0"/>
              <w:suppressAutoHyphens w:val="0"/>
              <w:spacing w:before="40" w:after="120"/>
              <w:ind w:right="113"/>
              <w:rPr>
                <w:rtl/>
                <w:lang w:val="fr-FR" w:bidi="ar-JO"/>
              </w:rPr>
            </w:pPr>
            <w:r w:rsidRPr="004E0876">
              <w:t>90</w:t>
            </w:r>
          </w:p>
        </w:tc>
      </w:tr>
      <w:tr w:rsidR="004E0876" w:rsidRPr="004E0876" w14:paraId="4DBF1398" w14:textId="77777777" w:rsidTr="009E2AB8">
        <w:trPr>
          <w:tblHeader/>
        </w:trPr>
        <w:tc>
          <w:tcPr>
            <w:tcW w:w="2977" w:type="dxa"/>
            <w:shd w:val="clear" w:color="auto" w:fill="auto"/>
          </w:tcPr>
          <w:p w14:paraId="316908D8" w14:textId="2F5D48A5" w:rsidR="00D005FA" w:rsidRPr="004E0876" w:rsidRDefault="00D005FA" w:rsidP="004E0876">
            <w:pPr>
              <w:widowControl w:val="0"/>
              <w:suppressAutoHyphens w:val="0"/>
              <w:spacing w:before="40" w:after="120"/>
              <w:ind w:right="113"/>
              <w:rPr>
                <w:lang w:val="fr-FR"/>
              </w:rPr>
            </w:pPr>
            <w:r w:rsidRPr="004E0876">
              <w:rPr>
                <w:lang w:val="fr-FR"/>
              </w:rPr>
              <w:t>Nombre de stations de radio et de télévision bénéficiant d</w:t>
            </w:r>
            <w:r w:rsidR="0035332C">
              <w:rPr>
                <w:lang w:val="fr-FR"/>
              </w:rPr>
              <w:t>’</w:t>
            </w:r>
            <w:r w:rsidRPr="004E0876">
              <w:rPr>
                <w:lang w:val="fr-FR"/>
              </w:rPr>
              <w:t xml:space="preserve">une licence </w:t>
            </w:r>
          </w:p>
        </w:tc>
        <w:tc>
          <w:tcPr>
            <w:tcW w:w="1985" w:type="dxa"/>
            <w:shd w:val="clear" w:color="auto" w:fill="auto"/>
          </w:tcPr>
          <w:p w14:paraId="25851FB6" w14:textId="77777777" w:rsidR="00D005FA" w:rsidRPr="004E0876" w:rsidRDefault="00D005FA" w:rsidP="004E0876">
            <w:pPr>
              <w:widowControl w:val="0"/>
              <w:suppressAutoHyphens w:val="0"/>
              <w:spacing w:before="40" w:after="120"/>
              <w:ind w:right="113"/>
              <w:rPr>
                <w:rtl/>
                <w:lang w:val="fr-FR" w:bidi="ar-JO"/>
              </w:rPr>
            </w:pPr>
            <w:r w:rsidRPr="004E0876">
              <w:rPr>
                <w:rtl/>
              </w:rPr>
              <w:t>52</w:t>
            </w:r>
          </w:p>
        </w:tc>
        <w:tc>
          <w:tcPr>
            <w:tcW w:w="2976" w:type="dxa"/>
            <w:shd w:val="clear" w:color="auto" w:fill="auto"/>
          </w:tcPr>
          <w:p w14:paraId="7F1E4967" w14:textId="51A13DFC" w:rsidR="00D005FA" w:rsidRPr="004E0876" w:rsidRDefault="00D005FA" w:rsidP="004E0876">
            <w:pPr>
              <w:widowControl w:val="0"/>
              <w:suppressAutoHyphens w:val="0"/>
              <w:spacing w:before="40" w:after="120"/>
              <w:ind w:right="113"/>
              <w:rPr>
                <w:lang w:val="fr-FR"/>
              </w:rPr>
            </w:pPr>
            <w:r w:rsidRPr="004E0876">
              <w:rPr>
                <w:lang w:val="fr-FR"/>
              </w:rPr>
              <w:t>Stations de rediffusion bénéficiant d</w:t>
            </w:r>
            <w:r w:rsidR="0035332C">
              <w:rPr>
                <w:lang w:val="fr-FR"/>
              </w:rPr>
              <w:t>’</w:t>
            </w:r>
            <w:r w:rsidRPr="004E0876">
              <w:rPr>
                <w:lang w:val="fr-FR"/>
              </w:rPr>
              <w:t>une licence</w:t>
            </w:r>
          </w:p>
        </w:tc>
        <w:tc>
          <w:tcPr>
            <w:tcW w:w="567" w:type="dxa"/>
            <w:shd w:val="clear" w:color="auto" w:fill="auto"/>
          </w:tcPr>
          <w:p w14:paraId="47F2EEC7" w14:textId="77777777" w:rsidR="00D005FA" w:rsidRPr="004E0876" w:rsidRDefault="00D005FA" w:rsidP="004E0876">
            <w:pPr>
              <w:widowControl w:val="0"/>
              <w:suppressAutoHyphens w:val="0"/>
              <w:spacing w:before="40" w:after="120"/>
              <w:ind w:right="113"/>
              <w:rPr>
                <w:rtl/>
                <w:lang w:val="fr-FR" w:bidi="ar-JO"/>
              </w:rPr>
            </w:pPr>
            <w:r w:rsidRPr="004E0876">
              <w:t>3</w:t>
            </w:r>
          </w:p>
        </w:tc>
      </w:tr>
      <w:tr w:rsidR="004E0876" w:rsidRPr="004E0876" w14:paraId="1D295F9B" w14:textId="77777777" w:rsidTr="009E2AB8">
        <w:trPr>
          <w:tblHeader/>
        </w:trPr>
        <w:tc>
          <w:tcPr>
            <w:tcW w:w="2977" w:type="dxa"/>
            <w:shd w:val="clear" w:color="auto" w:fill="auto"/>
          </w:tcPr>
          <w:p w14:paraId="365F9D1D" w14:textId="2399DF35" w:rsidR="00D005FA" w:rsidRPr="004E0876" w:rsidRDefault="00D005FA" w:rsidP="004E0876">
            <w:pPr>
              <w:widowControl w:val="0"/>
              <w:suppressAutoHyphens w:val="0"/>
              <w:spacing w:before="40" w:after="120"/>
              <w:ind w:right="113"/>
              <w:rPr>
                <w:lang w:val="fr-FR"/>
              </w:rPr>
            </w:pPr>
            <w:r w:rsidRPr="004E0876">
              <w:rPr>
                <w:lang w:val="fr-FR"/>
              </w:rPr>
              <w:t>Sociétés de services de radiodiffusion bénéficiant d</w:t>
            </w:r>
            <w:r w:rsidR="0035332C">
              <w:rPr>
                <w:lang w:val="fr-FR"/>
              </w:rPr>
              <w:t>’</w:t>
            </w:r>
            <w:r w:rsidRPr="004E0876">
              <w:rPr>
                <w:lang w:val="fr-FR"/>
              </w:rPr>
              <w:t>une licence</w:t>
            </w:r>
          </w:p>
        </w:tc>
        <w:tc>
          <w:tcPr>
            <w:tcW w:w="1985" w:type="dxa"/>
            <w:shd w:val="clear" w:color="auto" w:fill="auto"/>
          </w:tcPr>
          <w:p w14:paraId="0D1B34C9" w14:textId="77777777" w:rsidR="00D005FA" w:rsidRPr="004E0876" w:rsidRDefault="00D005FA" w:rsidP="004E0876">
            <w:pPr>
              <w:widowControl w:val="0"/>
              <w:suppressAutoHyphens w:val="0"/>
              <w:spacing w:before="40" w:after="120"/>
              <w:ind w:right="113"/>
              <w:rPr>
                <w:lang w:val="fr-FR"/>
              </w:rPr>
            </w:pPr>
            <w:r w:rsidRPr="004E0876">
              <w:rPr>
                <w:lang w:val="fr-FR"/>
              </w:rPr>
              <w:t xml:space="preserve">4 </w:t>
            </w:r>
          </w:p>
          <w:p w14:paraId="67C4AEED" w14:textId="10D5FBA9" w:rsidR="00D005FA" w:rsidRPr="004E0876" w:rsidRDefault="00D005FA" w:rsidP="004E0876">
            <w:pPr>
              <w:widowControl w:val="0"/>
              <w:suppressAutoHyphens w:val="0"/>
              <w:spacing w:before="40" w:after="120"/>
              <w:ind w:right="113"/>
              <w:rPr>
                <w:lang w:val="fr-FR"/>
              </w:rPr>
            </w:pPr>
            <w:r w:rsidRPr="004E0876">
              <w:rPr>
                <w:lang w:val="fr-FR"/>
              </w:rPr>
              <w:t>L</w:t>
            </w:r>
            <w:r w:rsidR="0035332C">
              <w:rPr>
                <w:lang w:val="fr-FR"/>
              </w:rPr>
              <w:t>’</w:t>
            </w:r>
            <w:r w:rsidRPr="004E0876">
              <w:rPr>
                <w:lang w:val="fr-FR"/>
              </w:rPr>
              <w:t>occupant a arbitrairement fermé 2</w:t>
            </w:r>
            <w:r w:rsidR="009E2AB8">
              <w:rPr>
                <w:lang w:val="fr-FR"/>
              </w:rPr>
              <w:t> </w:t>
            </w:r>
            <w:r w:rsidRPr="004E0876">
              <w:rPr>
                <w:lang w:val="fr-FR"/>
              </w:rPr>
              <w:t>d</w:t>
            </w:r>
            <w:r w:rsidR="0035332C">
              <w:rPr>
                <w:lang w:val="fr-FR"/>
              </w:rPr>
              <w:t>’</w:t>
            </w:r>
            <w:r w:rsidRPr="004E0876">
              <w:rPr>
                <w:lang w:val="fr-FR"/>
              </w:rPr>
              <w:t>entre elles.</w:t>
            </w:r>
          </w:p>
        </w:tc>
        <w:tc>
          <w:tcPr>
            <w:tcW w:w="2976" w:type="dxa"/>
            <w:shd w:val="clear" w:color="auto" w:fill="auto"/>
          </w:tcPr>
          <w:p w14:paraId="7F77A4DE" w14:textId="77777777" w:rsidR="00D005FA" w:rsidRPr="004E0876" w:rsidRDefault="00D005FA" w:rsidP="004E0876">
            <w:pPr>
              <w:widowControl w:val="0"/>
              <w:suppressAutoHyphens w:val="0"/>
              <w:spacing w:before="40" w:after="120"/>
              <w:ind w:right="113"/>
              <w:rPr>
                <w:lang w:val="fr-FR"/>
              </w:rPr>
            </w:pPr>
            <w:r w:rsidRPr="004E0876">
              <w:rPr>
                <w:lang w:val="fr-FR"/>
              </w:rPr>
              <w:t>Bureaux de chaînes satellitaires arabes et internationales</w:t>
            </w:r>
          </w:p>
        </w:tc>
        <w:tc>
          <w:tcPr>
            <w:tcW w:w="567" w:type="dxa"/>
            <w:shd w:val="clear" w:color="auto" w:fill="auto"/>
          </w:tcPr>
          <w:p w14:paraId="2BFCD2A2" w14:textId="77777777" w:rsidR="00D005FA" w:rsidRPr="004E0876" w:rsidRDefault="00D005FA" w:rsidP="004E0876">
            <w:pPr>
              <w:widowControl w:val="0"/>
              <w:suppressAutoHyphens w:val="0"/>
              <w:spacing w:before="40" w:after="120"/>
              <w:ind w:right="113"/>
              <w:rPr>
                <w:rtl/>
                <w:lang w:val="fr-FR" w:bidi="ar-JO"/>
              </w:rPr>
            </w:pPr>
            <w:r w:rsidRPr="004E0876">
              <w:t>5</w:t>
            </w:r>
          </w:p>
        </w:tc>
      </w:tr>
      <w:tr w:rsidR="004E0876" w:rsidRPr="004E0876" w14:paraId="613D08B7" w14:textId="77777777" w:rsidTr="009E2AB8">
        <w:trPr>
          <w:tblHeader/>
        </w:trPr>
        <w:tc>
          <w:tcPr>
            <w:tcW w:w="2977" w:type="dxa"/>
            <w:tcBorders>
              <w:bottom w:val="single" w:sz="12" w:space="0" w:color="auto"/>
            </w:tcBorders>
            <w:shd w:val="clear" w:color="auto" w:fill="auto"/>
          </w:tcPr>
          <w:p w14:paraId="57456D1D" w14:textId="12C66E1C" w:rsidR="00D005FA" w:rsidRPr="004E0876" w:rsidRDefault="00D005FA" w:rsidP="004E0876">
            <w:pPr>
              <w:widowControl w:val="0"/>
              <w:suppressAutoHyphens w:val="0"/>
              <w:spacing w:before="40" w:after="120"/>
              <w:ind w:right="113"/>
              <w:rPr>
                <w:lang w:val="fr-FR"/>
              </w:rPr>
            </w:pPr>
            <w:r w:rsidRPr="004E0876">
              <w:rPr>
                <w:lang w:val="fr-FR"/>
              </w:rPr>
              <w:t>Chaîne nationale par satellite bénéficiant d</w:t>
            </w:r>
            <w:r w:rsidR="0035332C">
              <w:rPr>
                <w:lang w:val="fr-FR"/>
              </w:rPr>
              <w:t>’</w:t>
            </w:r>
            <w:r w:rsidRPr="004E0876">
              <w:rPr>
                <w:lang w:val="fr-FR"/>
              </w:rPr>
              <w:t>une licence</w:t>
            </w:r>
          </w:p>
        </w:tc>
        <w:tc>
          <w:tcPr>
            <w:tcW w:w="1985" w:type="dxa"/>
            <w:tcBorders>
              <w:bottom w:val="single" w:sz="12" w:space="0" w:color="auto"/>
            </w:tcBorders>
            <w:shd w:val="clear" w:color="auto" w:fill="auto"/>
          </w:tcPr>
          <w:p w14:paraId="1D77C708" w14:textId="77777777" w:rsidR="00D005FA" w:rsidRPr="004E0876" w:rsidRDefault="00D005FA" w:rsidP="004E0876">
            <w:pPr>
              <w:widowControl w:val="0"/>
              <w:suppressAutoHyphens w:val="0"/>
              <w:spacing w:before="40" w:after="120"/>
              <w:ind w:right="113"/>
              <w:rPr>
                <w:rtl/>
                <w:lang w:val="fr-FR"/>
              </w:rPr>
            </w:pPr>
            <w:r w:rsidRPr="004E0876">
              <w:rPr>
                <w:lang w:val="fr-FR"/>
              </w:rPr>
              <w:t>2</w:t>
            </w:r>
          </w:p>
        </w:tc>
        <w:tc>
          <w:tcPr>
            <w:tcW w:w="2976" w:type="dxa"/>
            <w:tcBorders>
              <w:bottom w:val="single" w:sz="12" w:space="0" w:color="auto"/>
            </w:tcBorders>
            <w:shd w:val="clear" w:color="auto" w:fill="auto"/>
          </w:tcPr>
          <w:p w14:paraId="171B3B0D" w14:textId="4C3872FD" w:rsidR="00D005FA" w:rsidRPr="004E0876" w:rsidRDefault="00D005FA" w:rsidP="004E0876">
            <w:pPr>
              <w:widowControl w:val="0"/>
              <w:suppressAutoHyphens w:val="0"/>
              <w:spacing w:before="40" w:after="120"/>
              <w:ind w:right="113"/>
              <w:rPr>
                <w:lang w:val="fr-FR"/>
              </w:rPr>
            </w:pPr>
            <w:r w:rsidRPr="004E0876">
              <w:rPr>
                <w:lang w:val="fr-FR"/>
              </w:rPr>
              <w:t>Chaîne nationale par satellite en</w:t>
            </w:r>
            <w:r w:rsidR="008139E6">
              <w:rPr>
                <w:lang w:val="fr-FR"/>
              </w:rPr>
              <w:t> </w:t>
            </w:r>
            <w:r w:rsidRPr="004E0876">
              <w:rPr>
                <w:lang w:val="fr-FR"/>
              </w:rPr>
              <w:t>attente de licence</w:t>
            </w:r>
          </w:p>
        </w:tc>
        <w:tc>
          <w:tcPr>
            <w:tcW w:w="567" w:type="dxa"/>
            <w:tcBorders>
              <w:bottom w:val="single" w:sz="12" w:space="0" w:color="auto"/>
            </w:tcBorders>
            <w:shd w:val="clear" w:color="auto" w:fill="auto"/>
          </w:tcPr>
          <w:p w14:paraId="0AB51D98" w14:textId="77777777" w:rsidR="00D005FA" w:rsidRPr="004E0876" w:rsidRDefault="00D005FA" w:rsidP="004E0876">
            <w:pPr>
              <w:widowControl w:val="0"/>
              <w:suppressAutoHyphens w:val="0"/>
              <w:spacing w:before="40" w:after="120"/>
              <w:ind w:right="113"/>
              <w:rPr>
                <w:rtl/>
                <w:lang w:val="fr-FR" w:bidi="ar-JO"/>
              </w:rPr>
            </w:pPr>
            <w:r w:rsidRPr="004E0876">
              <w:t>2</w:t>
            </w:r>
          </w:p>
        </w:tc>
      </w:tr>
    </w:tbl>
    <w:p w14:paraId="7D842CAB" w14:textId="77777777" w:rsidR="00D005FA" w:rsidRPr="00310D49" w:rsidRDefault="00D005FA" w:rsidP="004E0876">
      <w:pPr>
        <w:pStyle w:val="H23G"/>
        <w:rPr>
          <w:bCs/>
          <w:lang w:val="fr-FR"/>
        </w:rPr>
      </w:pPr>
      <w:r w:rsidRPr="00310D49">
        <w:rPr>
          <w:lang w:val="fr-FR"/>
        </w:rPr>
        <w:tab/>
      </w:r>
      <w:r w:rsidRPr="00310D49">
        <w:rPr>
          <w:lang w:val="fr-FR"/>
        </w:rPr>
        <w:tab/>
        <w:t>Médias étrangers</w:t>
      </w:r>
    </w:p>
    <w:p w14:paraId="52B2944E" w14:textId="44EC9713" w:rsidR="00D005FA" w:rsidRPr="00310D49" w:rsidRDefault="00D005FA" w:rsidP="004E0876">
      <w:pPr>
        <w:pStyle w:val="SingleTxtG"/>
        <w:spacing w:before="120"/>
        <w:rPr>
          <w:lang w:val="fr-FR"/>
        </w:rPr>
      </w:pPr>
      <w:r w:rsidRPr="00310D49">
        <w:rPr>
          <w:lang w:val="fr-FR"/>
        </w:rPr>
        <w:t>340.</w:t>
      </w:r>
      <w:r w:rsidRPr="00310D49">
        <w:rPr>
          <w:lang w:val="fr-FR"/>
        </w:rPr>
        <w:tab/>
        <w:t>En plus des conditions et modalités de délivrance de licences susmentionnées, les demandes de licence d</w:t>
      </w:r>
      <w:r w:rsidR="0035332C">
        <w:rPr>
          <w:lang w:val="fr-FR"/>
        </w:rPr>
        <w:t>’</w:t>
      </w:r>
      <w:r w:rsidRPr="00310D49">
        <w:rPr>
          <w:lang w:val="fr-FR"/>
        </w:rPr>
        <w:t xml:space="preserve">exploitation présentées par des chaînes étrangères doivent être approuvées par le Conseil des ministres, lequel a </w:t>
      </w:r>
      <w:r w:rsidR="008139E6">
        <w:rPr>
          <w:lang w:val="fr-FR"/>
        </w:rPr>
        <w:t>trente</w:t>
      </w:r>
      <w:r w:rsidRPr="00310D49">
        <w:rPr>
          <w:lang w:val="fr-FR"/>
        </w:rPr>
        <w:t xml:space="preserve"> jours supplémentaires pour rendre sa décision. En cas de refus, la décision peut être contestée devant la Haute Cour de justice. Par</w:t>
      </w:r>
      <w:r w:rsidR="008139E6">
        <w:rPr>
          <w:lang w:val="fr-FR"/>
        </w:rPr>
        <w:t> </w:t>
      </w:r>
      <w:r w:rsidRPr="00310D49">
        <w:rPr>
          <w:lang w:val="fr-FR"/>
        </w:rPr>
        <w:t>ailleurs, le décret ne requiert pas que le propriétaire de la chaîne étrangère soit palestinien.</w:t>
      </w:r>
    </w:p>
    <w:p w14:paraId="27F05BAA" w14:textId="2151AC56" w:rsidR="00D005FA" w:rsidRPr="00310D49" w:rsidRDefault="00D005FA" w:rsidP="004E0876">
      <w:pPr>
        <w:pStyle w:val="SingleTxtG"/>
        <w:spacing w:before="120"/>
        <w:rPr>
          <w:lang w:val="fr-FR"/>
        </w:rPr>
      </w:pPr>
      <w:r w:rsidRPr="00310D49">
        <w:rPr>
          <w:lang w:val="fr-FR"/>
        </w:rPr>
        <w:t>341.</w:t>
      </w:r>
      <w:r w:rsidRPr="00310D49">
        <w:rPr>
          <w:lang w:val="fr-FR"/>
        </w:rPr>
        <w:tab/>
        <w:t>Jusqu</w:t>
      </w:r>
      <w:r w:rsidR="0035332C">
        <w:rPr>
          <w:lang w:val="fr-FR"/>
        </w:rPr>
        <w:t>’</w:t>
      </w:r>
      <w:r w:rsidRPr="00310D49">
        <w:rPr>
          <w:lang w:val="fr-FR"/>
        </w:rPr>
        <w:t>en 2015, la plupart des chaînes étrangères par satellite opérant dans l</w:t>
      </w:r>
      <w:r w:rsidR="0035332C">
        <w:rPr>
          <w:lang w:val="fr-FR"/>
        </w:rPr>
        <w:t>’</w:t>
      </w:r>
      <w:r w:rsidRPr="00310D49">
        <w:rPr>
          <w:lang w:val="fr-FR"/>
        </w:rPr>
        <w:t>État de Palestine diffusaient par l</w:t>
      </w:r>
      <w:r w:rsidR="0035332C">
        <w:rPr>
          <w:lang w:val="fr-FR"/>
        </w:rPr>
        <w:t>’</w:t>
      </w:r>
      <w:r w:rsidRPr="00310D49">
        <w:rPr>
          <w:lang w:val="fr-FR"/>
        </w:rPr>
        <w:t>intermédiaire des neuf prestataires palestiniens agréés de services de transmission par satellite, qui diffusent les programmes d</w:t>
      </w:r>
      <w:r w:rsidR="0035332C">
        <w:rPr>
          <w:lang w:val="fr-FR"/>
        </w:rPr>
        <w:t>’</w:t>
      </w:r>
      <w:r w:rsidRPr="00310D49">
        <w:rPr>
          <w:lang w:val="fr-FR"/>
        </w:rPr>
        <w:t>environ 150</w:t>
      </w:r>
      <w:r w:rsidR="008139E6">
        <w:rPr>
          <w:lang w:val="fr-FR"/>
        </w:rPr>
        <w:t> </w:t>
      </w:r>
      <w:r w:rsidRPr="00310D49">
        <w:rPr>
          <w:lang w:val="fr-FR"/>
        </w:rPr>
        <w:t>chaînes par satellite arabes et étrangères et leur fournissent des services. Par ailleurs, quatre chaînes satellitaires arabes et internationales agréées opèrent directement par l</w:t>
      </w:r>
      <w:r w:rsidR="0035332C">
        <w:rPr>
          <w:lang w:val="fr-FR"/>
        </w:rPr>
        <w:t>’</w:t>
      </w:r>
      <w:r w:rsidRPr="00310D49">
        <w:rPr>
          <w:lang w:val="fr-FR"/>
        </w:rPr>
        <w:t>intermédiaire de leurs propres prestataires de services de diffusion et ne recourent pas aux prestataires de services palestiniens. Il convient de préciser qu</w:t>
      </w:r>
      <w:r w:rsidR="0035332C">
        <w:rPr>
          <w:lang w:val="fr-FR"/>
        </w:rPr>
        <w:t>’</w:t>
      </w:r>
      <w:r w:rsidRPr="00310D49">
        <w:rPr>
          <w:lang w:val="fr-FR"/>
        </w:rPr>
        <w:t>il y a 78</w:t>
      </w:r>
      <w:r w:rsidR="008139E6">
        <w:rPr>
          <w:lang w:val="fr-FR"/>
        </w:rPr>
        <w:t> </w:t>
      </w:r>
      <w:r w:rsidRPr="00310D49">
        <w:rPr>
          <w:lang w:val="fr-FR"/>
        </w:rPr>
        <w:t>médias étrangers agréés, dont 53</w:t>
      </w:r>
      <w:r w:rsidR="008139E6">
        <w:rPr>
          <w:lang w:val="fr-FR"/>
        </w:rPr>
        <w:t> </w:t>
      </w:r>
      <w:r w:rsidRPr="00310D49">
        <w:rPr>
          <w:lang w:val="fr-FR"/>
        </w:rPr>
        <w:t>stations satellitaires et chaînes de télévision arabes opérant dans le pays. Dans la bande de Gaza, il n</w:t>
      </w:r>
      <w:r w:rsidR="0035332C">
        <w:rPr>
          <w:lang w:val="fr-FR"/>
        </w:rPr>
        <w:t>’</w:t>
      </w:r>
      <w:r w:rsidRPr="00310D49">
        <w:rPr>
          <w:lang w:val="fr-FR"/>
        </w:rPr>
        <w:t>y a que les locaux de la chaîne Al-Jazeera, tandis que les autres chaînes satellitaires opèrent via des bureaux de presse agréés dans lesquels travaillent des journalistes étrangers.</w:t>
      </w:r>
    </w:p>
    <w:p w14:paraId="4AF94EBE" w14:textId="61D9BA72" w:rsidR="00D005FA" w:rsidRPr="00310D49" w:rsidRDefault="00D005FA" w:rsidP="004E0876">
      <w:pPr>
        <w:pStyle w:val="H23G"/>
        <w:rPr>
          <w:lang w:val="fr-FR"/>
        </w:rPr>
      </w:pPr>
      <w:r w:rsidRPr="00310D49">
        <w:rPr>
          <w:lang w:val="fr-FR"/>
        </w:rPr>
        <w:lastRenderedPageBreak/>
        <w:tab/>
      </w:r>
      <w:r w:rsidRPr="00310D49">
        <w:rPr>
          <w:lang w:val="fr-FR"/>
        </w:rPr>
        <w:tab/>
        <w:t>Restrictions à la liberté d</w:t>
      </w:r>
      <w:r w:rsidR="0035332C">
        <w:rPr>
          <w:lang w:val="fr-FR"/>
        </w:rPr>
        <w:t>’</w:t>
      </w:r>
      <w:r w:rsidRPr="00310D49">
        <w:rPr>
          <w:lang w:val="fr-FR"/>
        </w:rPr>
        <w:t>opinion et d</w:t>
      </w:r>
      <w:r w:rsidR="0035332C">
        <w:rPr>
          <w:lang w:val="fr-FR"/>
        </w:rPr>
        <w:t>’</w:t>
      </w:r>
      <w:r w:rsidRPr="00310D49">
        <w:rPr>
          <w:lang w:val="fr-FR"/>
        </w:rPr>
        <w:t>expression</w:t>
      </w:r>
    </w:p>
    <w:p w14:paraId="594E9B86" w14:textId="672D56E4" w:rsidR="00D005FA" w:rsidRPr="00310D49" w:rsidRDefault="00D005FA" w:rsidP="004E0876">
      <w:pPr>
        <w:pStyle w:val="SingleTxtG"/>
        <w:spacing w:before="120"/>
        <w:rPr>
          <w:spacing w:val="-4"/>
          <w:lang w:val="fr-FR"/>
        </w:rPr>
      </w:pPr>
      <w:r w:rsidRPr="00310D49">
        <w:rPr>
          <w:lang w:val="fr-FR"/>
        </w:rPr>
        <w:t>342.</w:t>
      </w:r>
      <w:r w:rsidRPr="00310D49">
        <w:rPr>
          <w:lang w:val="fr-FR"/>
        </w:rPr>
        <w:tab/>
        <w:t>L</w:t>
      </w:r>
      <w:r w:rsidR="0035332C">
        <w:rPr>
          <w:lang w:val="fr-FR"/>
        </w:rPr>
        <w:t>’</w:t>
      </w:r>
      <w:r w:rsidRPr="00310D49">
        <w:rPr>
          <w:lang w:val="fr-FR"/>
        </w:rPr>
        <w:t>article 37 de la loi sur les publications et l</w:t>
      </w:r>
      <w:r w:rsidR="0035332C">
        <w:rPr>
          <w:lang w:val="fr-FR"/>
        </w:rPr>
        <w:t>’</w:t>
      </w:r>
      <w:r w:rsidRPr="00310D49">
        <w:rPr>
          <w:lang w:val="fr-FR"/>
        </w:rPr>
        <w:t>édition interdit exclusivement la diffusion d</w:t>
      </w:r>
      <w:r w:rsidR="0035332C">
        <w:rPr>
          <w:lang w:val="fr-FR"/>
        </w:rPr>
        <w:t>’</w:t>
      </w:r>
      <w:r w:rsidRPr="00310D49">
        <w:rPr>
          <w:lang w:val="fr-FR"/>
        </w:rPr>
        <w:t>une série de matériels, à savoir</w:t>
      </w:r>
      <w:r w:rsidR="00A53B5A">
        <w:rPr>
          <w:lang w:val="fr-FR"/>
        </w:rPr>
        <w:t> </w:t>
      </w:r>
      <w:r w:rsidRPr="00310D49">
        <w:rPr>
          <w:lang w:val="fr-FR"/>
        </w:rPr>
        <w:t>:</w:t>
      </w:r>
    </w:p>
    <w:p w14:paraId="37B14EFA" w14:textId="3196BBB9" w:rsidR="00D005FA" w:rsidRPr="00310D49" w:rsidRDefault="008139E6" w:rsidP="004E0876">
      <w:pPr>
        <w:pStyle w:val="Bullet1G"/>
        <w:rPr>
          <w:lang w:val="fr-FR"/>
        </w:rPr>
      </w:pPr>
      <w:r w:rsidRPr="00310D49">
        <w:rPr>
          <w:lang w:val="fr-FR"/>
        </w:rPr>
        <w:t xml:space="preserve">Toute </w:t>
      </w:r>
      <w:r w:rsidR="00D005FA" w:rsidRPr="00310D49">
        <w:rPr>
          <w:lang w:val="fr-FR"/>
        </w:rPr>
        <w:t>information confidentielle sur la police et les forces de sécurité publique, leurs armes, équipements, positions, mouvements ou entraînements</w:t>
      </w:r>
      <w:r w:rsidR="00B02693">
        <w:rPr>
          <w:lang w:val="fr-FR"/>
        </w:rPr>
        <w:t> </w:t>
      </w:r>
      <w:r w:rsidR="00D005FA" w:rsidRPr="00310D49">
        <w:rPr>
          <w:lang w:val="fr-FR"/>
        </w:rPr>
        <w:t>;</w:t>
      </w:r>
    </w:p>
    <w:p w14:paraId="282FAADB" w14:textId="37BE7DCC" w:rsidR="00D005FA" w:rsidRPr="00310D49" w:rsidRDefault="008139E6" w:rsidP="004E0876">
      <w:pPr>
        <w:pStyle w:val="Bullet1G"/>
        <w:rPr>
          <w:lang w:val="fr-FR"/>
        </w:rPr>
      </w:pPr>
      <w:r w:rsidRPr="00310D49">
        <w:rPr>
          <w:lang w:val="fr-FR"/>
        </w:rPr>
        <w:t xml:space="preserve">Les </w:t>
      </w:r>
      <w:r w:rsidR="00D005FA" w:rsidRPr="00310D49">
        <w:rPr>
          <w:lang w:val="fr-FR"/>
        </w:rPr>
        <w:t>articles ou matériels susceptibles de dénigrer les religions et les confessions dont la liberté de culte est garantie par la loi</w:t>
      </w:r>
      <w:r w:rsidR="00B02693">
        <w:rPr>
          <w:lang w:val="fr-FR"/>
        </w:rPr>
        <w:t> </w:t>
      </w:r>
      <w:r w:rsidR="00D005FA" w:rsidRPr="00310D49">
        <w:rPr>
          <w:lang w:val="fr-FR"/>
        </w:rPr>
        <w:t>;</w:t>
      </w:r>
    </w:p>
    <w:p w14:paraId="47BA6BD3" w14:textId="2D74CFFC" w:rsidR="00D005FA" w:rsidRPr="00310D49" w:rsidRDefault="008139E6" w:rsidP="004E0876">
      <w:pPr>
        <w:pStyle w:val="Bullet1G"/>
        <w:rPr>
          <w:lang w:val="fr-FR"/>
        </w:rPr>
      </w:pPr>
      <w:r w:rsidRPr="00310D49">
        <w:rPr>
          <w:lang w:val="fr-FR"/>
        </w:rPr>
        <w:t xml:space="preserve">Les </w:t>
      </w:r>
      <w:r w:rsidR="00D005FA" w:rsidRPr="00310D49">
        <w:rPr>
          <w:lang w:val="fr-FR"/>
        </w:rPr>
        <w:t>articles susceptibles de porter atteinte à l</w:t>
      </w:r>
      <w:r w:rsidR="0035332C">
        <w:rPr>
          <w:lang w:val="fr-FR"/>
        </w:rPr>
        <w:t>’</w:t>
      </w:r>
      <w:r w:rsidR="00D005FA" w:rsidRPr="00310D49">
        <w:rPr>
          <w:lang w:val="fr-FR"/>
        </w:rPr>
        <w:t>unité nationale, d</w:t>
      </w:r>
      <w:r w:rsidR="0035332C">
        <w:rPr>
          <w:lang w:val="fr-FR"/>
        </w:rPr>
        <w:t>’</w:t>
      </w:r>
      <w:r w:rsidR="00D005FA" w:rsidRPr="00310D49">
        <w:rPr>
          <w:lang w:val="fr-FR"/>
        </w:rPr>
        <w:t>inciter au crime et de semer la haine, la discorde et les dissensions entre les membres de la société</w:t>
      </w:r>
      <w:r w:rsidR="00B02693">
        <w:rPr>
          <w:lang w:val="fr-FR"/>
        </w:rPr>
        <w:t> </w:t>
      </w:r>
      <w:r w:rsidR="00D005FA" w:rsidRPr="00310D49">
        <w:rPr>
          <w:lang w:val="fr-FR"/>
        </w:rPr>
        <w:t>;</w:t>
      </w:r>
    </w:p>
    <w:p w14:paraId="55C75671" w14:textId="34AD79D7" w:rsidR="00D005FA" w:rsidRPr="00310D49" w:rsidRDefault="008139E6" w:rsidP="004E0876">
      <w:pPr>
        <w:pStyle w:val="Bullet1G"/>
        <w:rPr>
          <w:lang w:val="fr-FR"/>
        </w:rPr>
      </w:pPr>
      <w:r w:rsidRPr="00310D49">
        <w:rPr>
          <w:lang w:val="fr-FR"/>
        </w:rPr>
        <w:t xml:space="preserve">Les </w:t>
      </w:r>
      <w:r w:rsidR="00D005FA" w:rsidRPr="00310D49">
        <w:rPr>
          <w:lang w:val="fr-FR"/>
        </w:rPr>
        <w:t>travaux des séances à huis clos du Conseil national et du Conseil des ministres</w:t>
      </w:r>
      <w:r w:rsidR="00B02693">
        <w:rPr>
          <w:lang w:val="fr-FR"/>
        </w:rPr>
        <w:t> </w:t>
      </w:r>
      <w:r w:rsidR="00D005FA" w:rsidRPr="00310D49">
        <w:rPr>
          <w:lang w:val="fr-FR"/>
        </w:rPr>
        <w:t>;</w:t>
      </w:r>
    </w:p>
    <w:p w14:paraId="5B4C1041" w14:textId="5F23D4A8" w:rsidR="00D005FA" w:rsidRPr="00310D49" w:rsidRDefault="008139E6" w:rsidP="004E0876">
      <w:pPr>
        <w:pStyle w:val="Bullet1G"/>
        <w:rPr>
          <w:lang w:val="fr-FR"/>
        </w:rPr>
      </w:pPr>
      <w:r w:rsidRPr="00310D49">
        <w:rPr>
          <w:lang w:val="fr-FR"/>
        </w:rPr>
        <w:t xml:space="preserve">Les </w:t>
      </w:r>
      <w:r w:rsidR="00D005FA" w:rsidRPr="00310D49">
        <w:rPr>
          <w:lang w:val="fr-FR"/>
        </w:rPr>
        <w:t>articles ou nouvelles visant à saper la confiance dans la monnaie nationale</w:t>
      </w:r>
      <w:r w:rsidR="00B02693">
        <w:rPr>
          <w:lang w:val="fr-FR"/>
        </w:rPr>
        <w:t> </w:t>
      </w:r>
      <w:r w:rsidR="00D005FA" w:rsidRPr="00310D49">
        <w:rPr>
          <w:lang w:val="fr-FR"/>
        </w:rPr>
        <w:t>;</w:t>
      </w:r>
    </w:p>
    <w:p w14:paraId="10187A56" w14:textId="7084D34D" w:rsidR="00D005FA" w:rsidRPr="00310D49" w:rsidRDefault="008139E6" w:rsidP="004E0876">
      <w:pPr>
        <w:pStyle w:val="Bullet1G"/>
        <w:rPr>
          <w:lang w:val="fr-FR"/>
        </w:rPr>
      </w:pPr>
      <w:r w:rsidRPr="00310D49">
        <w:rPr>
          <w:lang w:val="fr-FR"/>
        </w:rPr>
        <w:t xml:space="preserve">Les </w:t>
      </w:r>
      <w:r w:rsidR="00D005FA" w:rsidRPr="00310D49">
        <w:rPr>
          <w:lang w:val="fr-FR"/>
        </w:rPr>
        <w:t>articles et les informations de nature à porter atteinte à la dignité des individus, à leurs libertés individuelles ou à nuire à leur réputation</w:t>
      </w:r>
      <w:r w:rsidR="00B02693">
        <w:rPr>
          <w:lang w:val="fr-FR"/>
        </w:rPr>
        <w:t> </w:t>
      </w:r>
      <w:r w:rsidR="00D005FA" w:rsidRPr="00310D49">
        <w:rPr>
          <w:lang w:val="fr-FR"/>
        </w:rPr>
        <w:t>;</w:t>
      </w:r>
    </w:p>
    <w:p w14:paraId="1619FE3A" w14:textId="69E3FB9D" w:rsidR="00D005FA" w:rsidRPr="00310D49" w:rsidRDefault="008139E6" w:rsidP="004E0876">
      <w:pPr>
        <w:pStyle w:val="Bullet1G"/>
        <w:rPr>
          <w:lang w:val="fr-FR"/>
        </w:rPr>
      </w:pPr>
      <w:r w:rsidRPr="00310D49">
        <w:rPr>
          <w:lang w:val="fr-FR"/>
        </w:rPr>
        <w:t xml:space="preserve">Les </w:t>
      </w:r>
      <w:r w:rsidR="00D005FA" w:rsidRPr="00310D49">
        <w:rPr>
          <w:lang w:val="fr-FR"/>
        </w:rPr>
        <w:t>nouvelles, reportages, lettres, articles et images contraires à la probité et aux bonnes mœurs</w:t>
      </w:r>
      <w:r w:rsidR="00B02693">
        <w:rPr>
          <w:lang w:val="fr-FR"/>
        </w:rPr>
        <w:t> </w:t>
      </w:r>
      <w:r w:rsidR="00D005FA" w:rsidRPr="00310D49">
        <w:rPr>
          <w:lang w:val="fr-FR"/>
        </w:rPr>
        <w:t>;</w:t>
      </w:r>
    </w:p>
    <w:p w14:paraId="7E3AA765" w14:textId="5A84E39B" w:rsidR="00D005FA" w:rsidRPr="00310D49" w:rsidRDefault="008139E6" w:rsidP="004E0876">
      <w:pPr>
        <w:pStyle w:val="Bullet1G"/>
        <w:rPr>
          <w:lang w:val="fr-FR"/>
        </w:rPr>
      </w:pPr>
      <w:r w:rsidRPr="00310D49">
        <w:rPr>
          <w:lang w:val="fr-FR"/>
        </w:rPr>
        <w:t xml:space="preserve">Les </w:t>
      </w:r>
      <w:r w:rsidR="00D005FA" w:rsidRPr="00310D49">
        <w:rPr>
          <w:lang w:val="fr-FR"/>
        </w:rPr>
        <w:t>publicités faisant la promotion de médicaments, de préparations médicales, de cigarettes et de produits apparentés, à moins qu</w:t>
      </w:r>
      <w:r w:rsidR="0035332C">
        <w:rPr>
          <w:lang w:val="fr-FR"/>
        </w:rPr>
        <w:t>’</w:t>
      </w:r>
      <w:r w:rsidR="00D005FA" w:rsidRPr="00310D49">
        <w:rPr>
          <w:lang w:val="fr-FR"/>
        </w:rPr>
        <w:t>elles ne soient autorisées à être diffusées au préalable par le Ministère de la santé.</w:t>
      </w:r>
    </w:p>
    <w:p w14:paraId="2B34D3F7" w14:textId="1BCDC5F4" w:rsidR="00D005FA" w:rsidRPr="00310D49" w:rsidRDefault="00D005FA" w:rsidP="004E0876">
      <w:pPr>
        <w:pStyle w:val="SingleTxtG"/>
        <w:rPr>
          <w:lang w:val="fr-FR"/>
        </w:rPr>
      </w:pPr>
      <w:r w:rsidRPr="00310D49">
        <w:rPr>
          <w:lang w:val="fr-FR"/>
        </w:rPr>
        <w:t>343.</w:t>
      </w:r>
      <w:r w:rsidRPr="00310D49">
        <w:rPr>
          <w:lang w:val="fr-FR"/>
        </w:rPr>
        <w:tab/>
        <w:t>Conformément à l</w:t>
      </w:r>
      <w:r w:rsidR="0035332C">
        <w:rPr>
          <w:lang w:val="fr-FR"/>
        </w:rPr>
        <w:t>’</w:t>
      </w:r>
      <w:r w:rsidRPr="00310D49">
        <w:rPr>
          <w:lang w:val="fr-FR"/>
        </w:rPr>
        <w:t>article</w:t>
      </w:r>
      <w:r w:rsidR="008139E6">
        <w:rPr>
          <w:lang w:val="fr-FR"/>
        </w:rPr>
        <w:t> </w:t>
      </w:r>
      <w:r w:rsidRPr="00310D49">
        <w:rPr>
          <w:lang w:val="fr-FR"/>
        </w:rPr>
        <w:t>23 de ladite loi sur les publications et l</w:t>
      </w:r>
      <w:r w:rsidR="0035332C">
        <w:rPr>
          <w:lang w:val="fr-FR"/>
        </w:rPr>
        <w:t>’</w:t>
      </w:r>
      <w:r w:rsidRPr="00310D49">
        <w:rPr>
          <w:lang w:val="fr-FR"/>
        </w:rPr>
        <w:t>édition, la licence accordée à des publications de presse ne peut être révoquée ni annulée tant que lesdites publications respectent les conditions stipulées dans l</w:t>
      </w:r>
      <w:r w:rsidR="0035332C">
        <w:rPr>
          <w:lang w:val="fr-FR"/>
        </w:rPr>
        <w:t>’</w:t>
      </w:r>
      <w:r w:rsidRPr="00310D49">
        <w:rPr>
          <w:lang w:val="fr-FR"/>
        </w:rPr>
        <w:t>accord de licence. Cependant, la licence est réputée expirée lorsque les activités de la publication de presse concernée sont interrompues pendant une longue période fixée par la loi selon le rythme de parution de la publication. Les journaux publiés par les partis politiques en sont exclus, car ils ne perdent pas leur licence, quelle que soit la durée d</w:t>
      </w:r>
      <w:r w:rsidR="0035332C">
        <w:rPr>
          <w:lang w:val="fr-FR"/>
        </w:rPr>
        <w:t>’</w:t>
      </w:r>
      <w:r w:rsidRPr="00310D49">
        <w:rPr>
          <w:lang w:val="fr-FR"/>
        </w:rPr>
        <w:t>interruption de leurs activités. La licence accordée à des publications n</w:t>
      </w:r>
      <w:r w:rsidR="0035332C">
        <w:rPr>
          <w:lang w:val="fr-FR"/>
        </w:rPr>
        <w:t>’</w:t>
      </w:r>
      <w:r w:rsidRPr="00310D49">
        <w:rPr>
          <w:lang w:val="fr-FR"/>
        </w:rPr>
        <w:t>est pas non plus révoquée à titre de sanction pour non-respect des conditions de publication, car les sanctions se limitent à des amendes et, dans un nombre limité de cas prévus à l</w:t>
      </w:r>
      <w:r w:rsidR="0035332C">
        <w:rPr>
          <w:lang w:val="fr-FR"/>
        </w:rPr>
        <w:t>’</w:t>
      </w:r>
      <w:r w:rsidRPr="00310D49">
        <w:rPr>
          <w:lang w:val="fr-FR"/>
        </w:rPr>
        <w:t>article 47 de ladite loi, le tribunal peut ordonner la suspension temporaire de la publication pour une période n</w:t>
      </w:r>
      <w:r w:rsidR="0035332C">
        <w:rPr>
          <w:lang w:val="fr-FR"/>
        </w:rPr>
        <w:t>’</w:t>
      </w:r>
      <w:r w:rsidRPr="00310D49">
        <w:rPr>
          <w:lang w:val="fr-FR"/>
        </w:rPr>
        <w:t>excédant pas trois mois.</w:t>
      </w:r>
    </w:p>
    <w:p w14:paraId="24B47164" w14:textId="27CAAF7A" w:rsidR="00D005FA" w:rsidRPr="00310D49" w:rsidRDefault="00D005FA" w:rsidP="004E0876">
      <w:pPr>
        <w:pStyle w:val="SingleTxtG"/>
        <w:rPr>
          <w:lang w:val="fr-FR"/>
        </w:rPr>
      </w:pPr>
      <w:r w:rsidRPr="00310D49">
        <w:rPr>
          <w:lang w:val="fr-FR"/>
        </w:rPr>
        <w:t>344.</w:t>
      </w:r>
      <w:r w:rsidRPr="00310D49">
        <w:rPr>
          <w:lang w:val="fr-FR"/>
        </w:rPr>
        <w:tab/>
        <w:t>Les infractions de diffamation, de calomnie et d</w:t>
      </w:r>
      <w:r w:rsidR="0035332C">
        <w:rPr>
          <w:lang w:val="fr-FR"/>
        </w:rPr>
        <w:t>’</w:t>
      </w:r>
      <w:r w:rsidRPr="00310D49">
        <w:rPr>
          <w:lang w:val="fr-FR"/>
        </w:rPr>
        <w:t>outrage sont régies par les articles</w:t>
      </w:r>
      <w:r w:rsidR="00431E56">
        <w:rPr>
          <w:lang w:val="fr-FR"/>
        </w:rPr>
        <w:t> </w:t>
      </w:r>
      <w:r w:rsidRPr="00310D49">
        <w:rPr>
          <w:lang w:val="fr-FR"/>
        </w:rPr>
        <w:t>188,</w:t>
      </w:r>
      <w:r w:rsidR="00431E56">
        <w:rPr>
          <w:lang w:val="fr-FR"/>
        </w:rPr>
        <w:t xml:space="preserve"> </w:t>
      </w:r>
      <w:r w:rsidRPr="00310D49">
        <w:rPr>
          <w:lang w:val="fr-FR"/>
        </w:rPr>
        <w:t>199 et 358 à 367 du Code pénal (loi n</w:t>
      </w:r>
      <w:r w:rsidR="00431E56" w:rsidRPr="00431E56">
        <w:rPr>
          <w:vertAlign w:val="superscript"/>
          <w:lang w:val="fr-FR"/>
        </w:rPr>
        <w:t>o</w:t>
      </w:r>
      <w:r w:rsidR="00431E56">
        <w:rPr>
          <w:lang w:val="fr-FR"/>
        </w:rPr>
        <w:t> </w:t>
      </w:r>
      <w:r w:rsidRPr="00310D49">
        <w:rPr>
          <w:lang w:val="fr-FR"/>
        </w:rPr>
        <w:t>16 de 1960), ainsi que par les articles 201 à 209 du Code pénal du mandat britannique (ordonnance n</w:t>
      </w:r>
      <w:r w:rsidR="00431E56" w:rsidRPr="00431E56">
        <w:rPr>
          <w:vertAlign w:val="superscript"/>
          <w:lang w:val="fr-FR"/>
        </w:rPr>
        <w:t>o</w:t>
      </w:r>
      <w:r w:rsidR="00431E56">
        <w:rPr>
          <w:lang w:val="fr-FR"/>
        </w:rPr>
        <w:t> </w:t>
      </w:r>
      <w:r w:rsidRPr="00310D49">
        <w:rPr>
          <w:lang w:val="fr-FR"/>
        </w:rPr>
        <w:t>74 de 1936). Ces infractions sont qualifiées de délits portant atteinte à l</w:t>
      </w:r>
      <w:r w:rsidR="0035332C">
        <w:rPr>
          <w:lang w:val="fr-FR"/>
        </w:rPr>
        <w:t>’</w:t>
      </w:r>
      <w:r w:rsidRPr="00310D49">
        <w:rPr>
          <w:lang w:val="fr-FR"/>
        </w:rPr>
        <w:t>honneur et à la dignité des personnes pour des raisons qui peuvent inclure la mauvaise compréhension par autrui du cadre régissant la liberté d</w:t>
      </w:r>
      <w:r w:rsidR="0035332C">
        <w:rPr>
          <w:lang w:val="fr-FR"/>
        </w:rPr>
        <w:t>’</w:t>
      </w:r>
      <w:r w:rsidRPr="00310D49">
        <w:rPr>
          <w:lang w:val="fr-FR"/>
        </w:rPr>
        <w:t>opinion et d</w:t>
      </w:r>
      <w:r w:rsidR="0035332C">
        <w:rPr>
          <w:lang w:val="fr-FR"/>
        </w:rPr>
        <w:t>’</w:t>
      </w:r>
      <w:r w:rsidRPr="00310D49">
        <w:rPr>
          <w:lang w:val="fr-FR"/>
        </w:rPr>
        <w:t>expression. Les lois en vigueur qualifient certains comportements par lesquels une personne porte atteinte à l</w:t>
      </w:r>
      <w:r w:rsidR="0035332C">
        <w:rPr>
          <w:lang w:val="fr-FR"/>
        </w:rPr>
        <w:t>’</w:t>
      </w:r>
      <w:r w:rsidRPr="00310D49">
        <w:rPr>
          <w:lang w:val="fr-FR"/>
        </w:rPr>
        <w:t>honneur et à la dignité d</w:t>
      </w:r>
      <w:r w:rsidR="0035332C">
        <w:rPr>
          <w:lang w:val="fr-FR"/>
        </w:rPr>
        <w:t>’</w:t>
      </w:r>
      <w:r w:rsidRPr="00310D49">
        <w:rPr>
          <w:lang w:val="fr-FR"/>
        </w:rPr>
        <w:t>autrui, indûment ou sans motif légitime et de manière incompatible avec la liberté d</w:t>
      </w:r>
      <w:r w:rsidR="0035332C">
        <w:rPr>
          <w:lang w:val="fr-FR"/>
        </w:rPr>
        <w:t>’</w:t>
      </w:r>
      <w:r w:rsidRPr="00310D49">
        <w:rPr>
          <w:lang w:val="fr-FR"/>
        </w:rPr>
        <w:t>opinion et d</w:t>
      </w:r>
      <w:r w:rsidR="0035332C">
        <w:rPr>
          <w:lang w:val="fr-FR"/>
        </w:rPr>
        <w:t>’</w:t>
      </w:r>
      <w:r w:rsidRPr="00310D49">
        <w:rPr>
          <w:lang w:val="fr-FR"/>
        </w:rPr>
        <w:t>expression, d</w:t>
      </w:r>
      <w:r w:rsidR="0035332C">
        <w:rPr>
          <w:lang w:val="fr-FR"/>
        </w:rPr>
        <w:t>’</w:t>
      </w:r>
      <w:r w:rsidRPr="00310D49">
        <w:rPr>
          <w:lang w:val="fr-FR"/>
        </w:rPr>
        <w:t>actes punissables. Les dispositions relatives à ces délits constituent une atteinte à la liberté d</w:t>
      </w:r>
      <w:r w:rsidR="0035332C">
        <w:rPr>
          <w:lang w:val="fr-FR"/>
        </w:rPr>
        <w:t>’</w:t>
      </w:r>
      <w:r w:rsidRPr="00310D49">
        <w:rPr>
          <w:lang w:val="fr-FR"/>
        </w:rPr>
        <w:t>opinion et d</w:t>
      </w:r>
      <w:r w:rsidR="0035332C">
        <w:rPr>
          <w:lang w:val="fr-FR"/>
        </w:rPr>
        <w:t>’</w:t>
      </w:r>
      <w:r w:rsidRPr="00310D49">
        <w:rPr>
          <w:lang w:val="fr-FR"/>
        </w:rPr>
        <w:t>expression, étant donné l</w:t>
      </w:r>
      <w:r w:rsidR="0035332C">
        <w:rPr>
          <w:lang w:val="fr-FR"/>
        </w:rPr>
        <w:t>’</w:t>
      </w:r>
      <w:r w:rsidRPr="00310D49">
        <w:rPr>
          <w:lang w:val="fr-FR"/>
        </w:rPr>
        <w:t>erreur commise en adaptant le comportement de l</w:t>
      </w:r>
      <w:r w:rsidR="0035332C">
        <w:rPr>
          <w:lang w:val="fr-FR"/>
        </w:rPr>
        <w:t>’</w:t>
      </w:r>
      <w:r w:rsidRPr="00310D49">
        <w:rPr>
          <w:lang w:val="fr-FR"/>
        </w:rPr>
        <w:t>accusé auxdites dispositions. Ainsi, afin de renforcer la liberté d</w:t>
      </w:r>
      <w:r w:rsidR="0035332C">
        <w:rPr>
          <w:lang w:val="fr-FR"/>
        </w:rPr>
        <w:t>’</w:t>
      </w:r>
      <w:r w:rsidRPr="00310D49">
        <w:rPr>
          <w:lang w:val="fr-FR"/>
        </w:rPr>
        <w:t>opinion et d</w:t>
      </w:r>
      <w:r w:rsidR="0035332C">
        <w:rPr>
          <w:lang w:val="fr-FR"/>
        </w:rPr>
        <w:t>’</w:t>
      </w:r>
      <w:r w:rsidRPr="00310D49">
        <w:rPr>
          <w:lang w:val="fr-FR"/>
        </w:rPr>
        <w:t>expression, l</w:t>
      </w:r>
      <w:r w:rsidR="0035332C">
        <w:rPr>
          <w:lang w:val="fr-FR"/>
        </w:rPr>
        <w:t>’</w:t>
      </w:r>
      <w:r w:rsidRPr="00310D49">
        <w:rPr>
          <w:lang w:val="fr-FR"/>
        </w:rPr>
        <w:t>État de Palestine a élaboré un projet de code pénal qui n</w:t>
      </w:r>
      <w:r w:rsidR="0035332C">
        <w:rPr>
          <w:lang w:val="fr-FR"/>
        </w:rPr>
        <w:t>’</w:t>
      </w:r>
      <w:r w:rsidRPr="00310D49">
        <w:rPr>
          <w:lang w:val="fr-FR"/>
        </w:rPr>
        <w:t>inclut pas ces délits et qui est conforme aux dispositions du Pacte international relatif aux droits civils et politiques.</w:t>
      </w:r>
    </w:p>
    <w:p w14:paraId="396EC7D2" w14:textId="08314FA7" w:rsidR="00D005FA" w:rsidRPr="00310D49" w:rsidRDefault="00D005FA" w:rsidP="004E0876">
      <w:pPr>
        <w:pStyle w:val="SingleTxtG"/>
        <w:rPr>
          <w:lang w:val="fr-FR"/>
        </w:rPr>
      </w:pPr>
      <w:r w:rsidRPr="00310D49">
        <w:rPr>
          <w:lang w:val="fr-FR"/>
        </w:rPr>
        <w:t>345.</w:t>
      </w:r>
      <w:r w:rsidRPr="00310D49">
        <w:rPr>
          <w:lang w:val="fr-FR"/>
        </w:rPr>
        <w:tab/>
        <w:t>Le décret-loi n</w:t>
      </w:r>
      <w:r w:rsidR="00431E56" w:rsidRPr="00431E56">
        <w:rPr>
          <w:vertAlign w:val="superscript"/>
          <w:lang w:val="fr-FR"/>
        </w:rPr>
        <w:t>o</w:t>
      </w:r>
      <w:r w:rsidR="00431E56">
        <w:rPr>
          <w:lang w:val="fr-FR"/>
        </w:rPr>
        <w:t> </w:t>
      </w:r>
      <w:r w:rsidRPr="00310D49">
        <w:rPr>
          <w:lang w:val="fr-FR"/>
        </w:rPr>
        <w:t>16 de 2017 sur la cybercriminalité a suscité une vague de critiques depuis sa promulgation. Par conséquent, ce décret-loi a été soumis à un débat auquel ont participé les organisations de la société civile et une série de modifications soumises par l</w:t>
      </w:r>
      <w:r w:rsidR="0035332C">
        <w:rPr>
          <w:lang w:val="fr-FR"/>
        </w:rPr>
        <w:t>’</w:t>
      </w:r>
      <w:r w:rsidRPr="00310D49">
        <w:rPr>
          <w:lang w:val="fr-FR"/>
        </w:rPr>
        <w:t>intermédiaire du Comité d</w:t>
      </w:r>
      <w:r w:rsidR="0035332C">
        <w:rPr>
          <w:lang w:val="fr-FR"/>
        </w:rPr>
        <w:t>’</w:t>
      </w:r>
      <w:r w:rsidRPr="00310D49">
        <w:rPr>
          <w:lang w:val="fr-FR"/>
        </w:rPr>
        <w:t>harmonisation de la législation ont été adoptées. Il s</w:t>
      </w:r>
      <w:r w:rsidR="0035332C">
        <w:rPr>
          <w:lang w:val="fr-FR"/>
        </w:rPr>
        <w:t>’</w:t>
      </w:r>
      <w:r w:rsidRPr="00310D49">
        <w:rPr>
          <w:lang w:val="fr-FR"/>
        </w:rPr>
        <w:t>en est suivi le remplacement dudit décret-loi par le décret-loi n</w:t>
      </w:r>
      <w:r w:rsidR="00431E56" w:rsidRPr="00431E56">
        <w:rPr>
          <w:vertAlign w:val="superscript"/>
          <w:lang w:val="fr-FR"/>
        </w:rPr>
        <w:t>o</w:t>
      </w:r>
      <w:r w:rsidR="00431E56">
        <w:rPr>
          <w:lang w:val="fr-FR"/>
        </w:rPr>
        <w:t> </w:t>
      </w:r>
      <w:r w:rsidRPr="00310D49">
        <w:rPr>
          <w:lang w:val="fr-FR"/>
        </w:rPr>
        <w:t>10 de 2018 sur la cybercriminalité, où les textes vagues ont été abrogés, les sanctions pénales commuées et des modifications substantielles apportées. Le dialogue constructif entre les agences gouvernementales et les organisations de la société civile</w:t>
      </w:r>
      <w:r>
        <w:rPr>
          <w:lang w:val="fr-FR"/>
        </w:rPr>
        <w:t xml:space="preserve"> </w:t>
      </w:r>
      <w:r w:rsidRPr="00310D49">
        <w:rPr>
          <w:lang w:val="fr-FR"/>
        </w:rPr>
        <w:t>se poursuit en vue de mettre en place le cadre réglementaire optimal en ce qui concerne la cybercriminalité. Cela témoigne de la volonté politique de l</w:t>
      </w:r>
      <w:r w:rsidR="0035332C">
        <w:rPr>
          <w:lang w:val="fr-FR"/>
        </w:rPr>
        <w:t>’</w:t>
      </w:r>
      <w:r w:rsidRPr="00310D49">
        <w:rPr>
          <w:lang w:val="fr-FR"/>
        </w:rPr>
        <w:t>État de Palestine de garantir la liberté d</w:t>
      </w:r>
      <w:r w:rsidR="0035332C">
        <w:rPr>
          <w:lang w:val="fr-FR"/>
        </w:rPr>
        <w:t>’</w:t>
      </w:r>
      <w:r w:rsidRPr="00310D49">
        <w:rPr>
          <w:lang w:val="fr-FR"/>
        </w:rPr>
        <w:t>opinion et d</w:t>
      </w:r>
      <w:r w:rsidR="0035332C">
        <w:rPr>
          <w:lang w:val="fr-FR"/>
        </w:rPr>
        <w:t>’</w:t>
      </w:r>
      <w:r w:rsidRPr="00310D49">
        <w:rPr>
          <w:lang w:val="fr-FR"/>
        </w:rPr>
        <w:t>expression et d</w:t>
      </w:r>
      <w:r w:rsidR="0035332C">
        <w:rPr>
          <w:lang w:val="fr-FR"/>
        </w:rPr>
        <w:t>’</w:t>
      </w:r>
      <w:r w:rsidRPr="00310D49">
        <w:rPr>
          <w:lang w:val="fr-FR"/>
        </w:rPr>
        <w:t>associer la société civile à l</w:t>
      </w:r>
      <w:r w:rsidR="0035332C">
        <w:rPr>
          <w:lang w:val="fr-FR"/>
        </w:rPr>
        <w:t>’</w:t>
      </w:r>
      <w:r w:rsidRPr="00310D49">
        <w:rPr>
          <w:lang w:val="fr-FR"/>
        </w:rPr>
        <w:t>objectif d</w:t>
      </w:r>
      <w:r w:rsidR="0035332C">
        <w:rPr>
          <w:lang w:val="fr-FR"/>
        </w:rPr>
        <w:t>’</w:t>
      </w:r>
      <w:r w:rsidRPr="00310D49">
        <w:rPr>
          <w:lang w:val="fr-FR"/>
        </w:rPr>
        <w:t>harmonisation de la législation nationale avec les normes internationales.</w:t>
      </w:r>
    </w:p>
    <w:p w14:paraId="69F4897F" w14:textId="483DFDEA" w:rsidR="00D005FA" w:rsidRPr="00310D49" w:rsidRDefault="00D005FA" w:rsidP="004E0876">
      <w:pPr>
        <w:pStyle w:val="SingleTxtG"/>
        <w:rPr>
          <w:lang w:val="fr-FR"/>
        </w:rPr>
      </w:pPr>
      <w:r w:rsidRPr="00310D49">
        <w:rPr>
          <w:lang w:val="fr-FR"/>
        </w:rPr>
        <w:lastRenderedPageBreak/>
        <w:t>346.</w:t>
      </w:r>
      <w:r w:rsidRPr="00310D49">
        <w:rPr>
          <w:lang w:val="fr-FR"/>
        </w:rPr>
        <w:tab/>
        <w:t>Un projet de loi générale sur les médias, qui comprendra une loi sur les médias électroniques, les publicités audiovisuelles et la classification des productions par âge, ainsi que la loi sur les publications et l</w:t>
      </w:r>
      <w:r w:rsidR="0035332C">
        <w:rPr>
          <w:lang w:val="fr-FR"/>
        </w:rPr>
        <w:t>’</w:t>
      </w:r>
      <w:r w:rsidRPr="00310D49">
        <w:rPr>
          <w:lang w:val="fr-FR"/>
        </w:rPr>
        <w:t>édition, est en cours d</w:t>
      </w:r>
      <w:r w:rsidR="0035332C">
        <w:rPr>
          <w:lang w:val="fr-FR"/>
        </w:rPr>
        <w:t>’</w:t>
      </w:r>
      <w:r w:rsidRPr="00310D49">
        <w:rPr>
          <w:lang w:val="fr-FR"/>
        </w:rPr>
        <w:t>élaboration. Un comité a été formé pour élaborer l</w:t>
      </w:r>
      <w:r w:rsidR="0035332C">
        <w:rPr>
          <w:lang w:val="fr-FR"/>
        </w:rPr>
        <w:t>’</w:t>
      </w:r>
      <w:r w:rsidRPr="00310D49">
        <w:rPr>
          <w:lang w:val="fr-FR"/>
        </w:rPr>
        <w:t>avant</w:t>
      </w:r>
      <w:r>
        <w:rPr>
          <w:lang w:val="fr-FR"/>
        </w:rPr>
        <w:t>-</w:t>
      </w:r>
      <w:r w:rsidRPr="00310D49">
        <w:rPr>
          <w:lang w:val="fr-FR"/>
        </w:rPr>
        <w:t>projet de loi, en collaboration avec toutes les parties concernées et en se fondant sur les normes internationales relatives au droit à la liberté d</w:t>
      </w:r>
      <w:r w:rsidR="0035332C">
        <w:rPr>
          <w:lang w:val="fr-FR"/>
        </w:rPr>
        <w:t>’</w:t>
      </w:r>
      <w:r w:rsidRPr="00310D49">
        <w:rPr>
          <w:lang w:val="fr-FR"/>
        </w:rPr>
        <w:t>opinion et d</w:t>
      </w:r>
      <w:r w:rsidR="0035332C">
        <w:rPr>
          <w:lang w:val="fr-FR"/>
        </w:rPr>
        <w:t>’</w:t>
      </w:r>
      <w:r w:rsidRPr="00310D49">
        <w:rPr>
          <w:lang w:val="fr-FR"/>
        </w:rPr>
        <w:t>expression.</w:t>
      </w:r>
    </w:p>
    <w:p w14:paraId="654BAE8B" w14:textId="2CEFE86D" w:rsidR="00D005FA" w:rsidRPr="00310D49" w:rsidRDefault="00D005FA" w:rsidP="004E0876">
      <w:pPr>
        <w:pStyle w:val="SingleTxtG"/>
        <w:rPr>
          <w:lang w:val="fr-FR"/>
        </w:rPr>
      </w:pPr>
      <w:r w:rsidRPr="00310D49">
        <w:rPr>
          <w:lang w:val="fr-FR"/>
        </w:rPr>
        <w:t>347.</w:t>
      </w:r>
      <w:r w:rsidRPr="00310D49">
        <w:rPr>
          <w:lang w:val="fr-FR"/>
        </w:rPr>
        <w:tab/>
        <w:t>Le Mécanisme national de suivi de la sécurité des journalistes et de la question de l</w:t>
      </w:r>
      <w:r w:rsidR="0035332C">
        <w:rPr>
          <w:lang w:val="fr-FR"/>
        </w:rPr>
        <w:t>’</w:t>
      </w:r>
      <w:r w:rsidRPr="00310D49">
        <w:rPr>
          <w:lang w:val="fr-FR"/>
        </w:rPr>
        <w:t>impunité en Palestine a été créé en novembre 2019. Chargé de signaler les infractions et les violations commises contre les journalistes sur le territoire de l</w:t>
      </w:r>
      <w:r w:rsidR="0035332C">
        <w:rPr>
          <w:lang w:val="fr-FR"/>
        </w:rPr>
        <w:t>’</w:t>
      </w:r>
      <w:r w:rsidRPr="00310D49">
        <w:rPr>
          <w:lang w:val="fr-FR"/>
        </w:rPr>
        <w:t>État de Palestine, le Mécanisme est composé de représentants des ministères compétents, ainsi que du Syndicat des journalistes palestiniens − en tant que partenaire national de l</w:t>
      </w:r>
      <w:r w:rsidR="0035332C">
        <w:rPr>
          <w:lang w:val="fr-FR"/>
        </w:rPr>
        <w:t>’</w:t>
      </w:r>
      <w:r w:rsidRPr="00310D49">
        <w:rPr>
          <w:lang w:val="fr-FR"/>
        </w:rPr>
        <w:t>Organisation des Nations</w:t>
      </w:r>
      <w:r w:rsidR="00431E56">
        <w:rPr>
          <w:lang w:val="fr-FR"/>
        </w:rPr>
        <w:t> </w:t>
      </w:r>
      <w:r w:rsidRPr="00310D49">
        <w:rPr>
          <w:lang w:val="fr-FR"/>
        </w:rPr>
        <w:t>Unies pour l</w:t>
      </w:r>
      <w:r w:rsidR="0035332C">
        <w:rPr>
          <w:lang w:val="fr-FR"/>
        </w:rPr>
        <w:t>’</w:t>
      </w:r>
      <w:r w:rsidRPr="00310D49">
        <w:rPr>
          <w:lang w:val="fr-FR"/>
        </w:rPr>
        <w:t>éducation, la science et la culture (UNESCO) en Palestine − et des institutions de la société civile. Le Mécanisme s</w:t>
      </w:r>
      <w:r w:rsidR="0035332C">
        <w:rPr>
          <w:lang w:val="fr-FR"/>
        </w:rPr>
        <w:t>’</w:t>
      </w:r>
      <w:r w:rsidRPr="00310D49">
        <w:rPr>
          <w:lang w:val="fr-FR"/>
        </w:rPr>
        <w:t>occupe aussi de recueillir des renseignements sur les violations commises contre des journalistes et soumet ses rapports à l</w:t>
      </w:r>
      <w:r w:rsidR="0035332C">
        <w:rPr>
          <w:lang w:val="fr-FR"/>
        </w:rPr>
        <w:t>’</w:t>
      </w:r>
      <w:r w:rsidRPr="00310D49">
        <w:rPr>
          <w:lang w:val="fr-FR"/>
        </w:rPr>
        <w:t>UNESCO. Des activités de formation professionnelle portant sur la collecte d</w:t>
      </w:r>
      <w:r w:rsidR="0035332C">
        <w:rPr>
          <w:lang w:val="fr-FR"/>
        </w:rPr>
        <w:t>’</w:t>
      </w:r>
      <w:r w:rsidRPr="00310D49">
        <w:rPr>
          <w:lang w:val="fr-FR"/>
        </w:rPr>
        <w:t>informations sur les atteintes aux droits humains des journalistes sont dispensées à ses membres, en</w:t>
      </w:r>
      <w:r w:rsidR="00431E56">
        <w:rPr>
          <w:lang w:val="fr-FR"/>
        </w:rPr>
        <w:t> </w:t>
      </w:r>
      <w:r w:rsidRPr="00310D49">
        <w:rPr>
          <w:lang w:val="fr-FR"/>
        </w:rPr>
        <w:t>collaboration avec la Commission indépendante pour les droits de l</w:t>
      </w:r>
      <w:r w:rsidR="0035332C">
        <w:rPr>
          <w:lang w:val="fr-FR"/>
        </w:rPr>
        <w:t>’</w:t>
      </w:r>
      <w:r w:rsidRPr="00310D49">
        <w:rPr>
          <w:lang w:val="fr-FR"/>
        </w:rPr>
        <w:t>homme et le Haut</w:t>
      </w:r>
      <w:r w:rsidR="00431E56">
        <w:rPr>
          <w:lang w:val="fr-FR"/>
        </w:rPr>
        <w:noBreakHyphen/>
      </w:r>
      <w:r w:rsidRPr="00310D49">
        <w:rPr>
          <w:lang w:val="fr-FR"/>
        </w:rPr>
        <w:t>Commissariat aux droits de l</w:t>
      </w:r>
      <w:r w:rsidR="0035332C">
        <w:rPr>
          <w:lang w:val="fr-FR"/>
        </w:rPr>
        <w:t>’</w:t>
      </w:r>
      <w:r w:rsidRPr="00310D49">
        <w:rPr>
          <w:lang w:val="fr-FR"/>
        </w:rPr>
        <w:t>homme.</w:t>
      </w:r>
    </w:p>
    <w:p w14:paraId="2373E96F" w14:textId="2790F7B5" w:rsidR="00D005FA" w:rsidRPr="00310D49" w:rsidRDefault="00D005FA" w:rsidP="004E0876">
      <w:pPr>
        <w:pStyle w:val="SingleTxtG"/>
        <w:rPr>
          <w:lang w:val="fr-FR"/>
        </w:rPr>
      </w:pPr>
      <w:r w:rsidRPr="00310D49">
        <w:rPr>
          <w:lang w:val="fr-FR"/>
        </w:rPr>
        <w:t>348.</w:t>
      </w:r>
      <w:r w:rsidRPr="00310D49">
        <w:rPr>
          <w:lang w:val="fr-FR"/>
        </w:rPr>
        <w:tab/>
        <w:t>En août 2016, l</w:t>
      </w:r>
      <w:r w:rsidR="0035332C">
        <w:rPr>
          <w:lang w:val="fr-FR"/>
        </w:rPr>
        <w:t>’</w:t>
      </w:r>
      <w:r w:rsidRPr="00310D49">
        <w:rPr>
          <w:lang w:val="fr-FR"/>
        </w:rPr>
        <w:t>État de Palestine a solennellement signé la Déclaration sur la liberté de l</w:t>
      </w:r>
      <w:r w:rsidR="0035332C">
        <w:rPr>
          <w:lang w:val="fr-FR"/>
        </w:rPr>
        <w:t>’</w:t>
      </w:r>
      <w:r w:rsidRPr="00310D49">
        <w:rPr>
          <w:lang w:val="fr-FR"/>
        </w:rPr>
        <w:t>information dans le monde arabe, qui porte un engagement clair envers les principes de la liberté des médias, de l</w:t>
      </w:r>
      <w:r w:rsidR="0035332C">
        <w:rPr>
          <w:lang w:val="fr-FR"/>
        </w:rPr>
        <w:t>’</w:t>
      </w:r>
      <w:r w:rsidRPr="00310D49">
        <w:rPr>
          <w:lang w:val="fr-FR"/>
        </w:rPr>
        <w:t>indépendance de la presse et de l</w:t>
      </w:r>
      <w:r w:rsidR="0035332C">
        <w:rPr>
          <w:lang w:val="fr-FR"/>
        </w:rPr>
        <w:t>’</w:t>
      </w:r>
      <w:r w:rsidRPr="00310D49">
        <w:rPr>
          <w:lang w:val="fr-FR"/>
        </w:rPr>
        <w:t>accès à l</w:t>
      </w:r>
      <w:r w:rsidR="0035332C">
        <w:rPr>
          <w:lang w:val="fr-FR"/>
        </w:rPr>
        <w:t>’</w:t>
      </w:r>
      <w:r w:rsidRPr="00310D49">
        <w:rPr>
          <w:lang w:val="fr-FR"/>
        </w:rPr>
        <w:t>information, ainsi que des principes relatifs à la liberté de l</w:t>
      </w:r>
      <w:r w:rsidR="0035332C">
        <w:rPr>
          <w:lang w:val="fr-FR"/>
        </w:rPr>
        <w:t>’</w:t>
      </w:r>
      <w:r w:rsidRPr="00310D49">
        <w:rPr>
          <w:lang w:val="fr-FR"/>
        </w:rPr>
        <w:t>information et à la défense des droits des journalistes.</w:t>
      </w:r>
    </w:p>
    <w:p w14:paraId="30CF001F" w14:textId="45B8E35A" w:rsidR="00D005FA" w:rsidRPr="00310D49" w:rsidRDefault="00D005FA" w:rsidP="004E0876">
      <w:pPr>
        <w:pStyle w:val="SingleTxtG"/>
        <w:rPr>
          <w:lang w:val="fr-FR"/>
        </w:rPr>
      </w:pPr>
      <w:r w:rsidRPr="00310D49">
        <w:rPr>
          <w:lang w:val="fr-FR"/>
        </w:rPr>
        <w:t>349.</w:t>
      </w:r>
      <w:r w:rsidRPr="00310D49">
        <w:rPr>
          <w:lang w:val="fr-FR"/>
        </w:rPr>
        <w:tab/>
        <w:t>Pour promouvoir la liberté de l</w:t>
      </w:r>
      <w:r w:rsidR="0035332C">
        <w:rPr>
          <w:lang w:val="fr-FR"/>
        </w:rPr>
        <w:t>’</w:t>
      </w:r>
      <w:r w:rsidRPr="00310D49">
        <w:rPr>
          <w:lang w:val="fr-FR"/>
        </w:rPr>
        <w:t>information et de la presse, un accord de coopération a été signé entre le Syndicat des journalistes palestiniens et le ministère public de l</w:t>
      </w:r>
      <w:r w:rsidR="0035332C">
        <w:rPr>
          <w:lang w:val="fr-FR"/>
        </w:rPr>
        <w:t>’</w:t>
      </w:r>
      <w:r w:rsidRPr="00310D49">
        <w:rPr>
          <w:lang w:val="fr-FR"/>
        </w:rPr>
        <w:t>État de Palestine en juin 2016. L</w:t>
      </w:r>
      <w:r w:rsidR="0035332C">
        <w:rPr>
          <w:lang w:val="fr-FR"/>
        </w:rPr>
        <w:t>’</w:t>
      </w:r>
      <w:r w:rsidRPr="00310D49">
        <w:rPr>
          <w:lang w:val="fr-FR"/>
        </w:rPr>
        <w:t>une des clauses les plus importantes de cet accord est que les journalistes ne doivent pas faire l</w:t>
      </w:r>
      <w:r w:rsidR="0035332C">
        <w:rPr>
          <w:lang w:val="fr-FR"/>
        </w:rPr>
        <w:t>’</w:t>
      </w:r>
      <w:r w:rsidRPr="00310D49">
        <w:rPr>
          <w:lang w:val="fr-FR"/>
        </w:rPr>
        <w:t>objet d</w:t>
      </w:r>
      <w:r w:rsidR="0035332C">
        <w:rPr>
          <w:lang w:val="fr-FR"/>
        </w:rPr>
        <w:t>’</w:t>
      </w:r>
      <w:r w:rsidRPr="00310D49">
        <w:rPr>
          <w:lang w:val="fr-FR"/>
        </w:rPr>
        <w:t>un mandat d</w:t>
      </w:r>
      <w:r w:rsidR="0035332C">
        <w:rPr>
          <w:lang w:val="fr-FR"/>
        </w:rPr>
        <w:t>’</w:t>
      </w:r>
      <w:r w:rsidRPr="00310D49">
        <w:rPr>
          <w:lang w:val="fr-FR"/>
        </w:rPr>
        <w:t>arrêt délivré par le ministère public dans le cadre d</w:t>
      </w:r>
      <w:r w:rsidR="0035332C">
        <w:rPr>
          <w:lang w:val="fr-FR"/>
        </w:rPr>
        <w:t>’</w:t>
      </w:r>
      <w:r w:rsidRPr="00310D49">
        <w:rPr>
          <w:lang w:val="fr-FR"/>
        </w:rPr>
        <w:t>affaires ayant trait au droit à la liberté d</w:t>
      </w:r>
      <w:r w:rsidR="0035332C">
        <w:rPr>
          <w:lang w:val="fr-FR"/>
        </w:rPr>
        <w:t>’</w:t>
      </w:r>
      <w:r w:rsidRPr="00310D49">
        <w:rPr>
          <w:lang w:val="fr-FR"/>
        </w:rPr>
        <w:t>opinion et d</w:t>
      </w:r>
      <w:r w:rsidR="0035332C">
        <w:rPr>
          <w:lang w:val="fr-FR"/>
        </w:rPr>
        <w:t>’</w:t>
      </w:r>
      <w:r w:rsidRPr="00310D49">
        <w:rPr>
          <w:lang w:val="fr-FR"/>
        </w:rPr>
        <w:t>expression. De plus, le chef du Syndicat des journalistes ou son représentant a le droit d</w:t>
      </w:r>
      <w:r w:rsidR="0035332C">
        <w:rPr>
          <w:lang w:val="fr-FR"/>
        </w:rPr>
        <w:t>’</w:t>
      </w:r>
      <w:r w:rsidRPr="00310D49">
        <w:rPr>
          <w:lang w:val="fr-FR"/>
        </w:rPr>
        <w:t>assister à l</w:t>
      </w:r>
      <w:r w:rsidR="0035332C">
        <w:rPr>
          <w:lang w:val="fr-FR"/>
        </w:rPr>
        <w:t>’</w:t>
      </w:r>
      <w:r w:rsidRPr="00310D49">
        <w:rPr>
          <w:lang w:val="fr-FR"/>
        </w:rPr>
        <w:t>interrogatoire du journaliste concerné et d</w:t>
      </w:r>
      <w:r w:rsidR="0035332C">
        <w:rPr>
          <w:lang w:val="fr-FR"/>
        </w:rPr>
        <w:t>’</w:t>
      </w:r>
      <w:r w:rsidRPr="00310D49">
        <w:rPr>
          <w:lang w:val="fr-FR"/>
        </w:rPr>
        <w:t>accéder au dossier relatif à la procédure d</w:t>
      </w:r>
      <w:r w:rsidR="0035332C">
        <w:rPr>
          <w:lang w:val="fr-FR"/>
        </w:rPr>
        <w:t>’</w:t>
      </w:r>
      <w:r w:rsidRPr="00310D49">
        <w:rPr>
          <w:lang w:val="fr-FR"/>
        </w:rPr>
        <w:t>instruction par laquelle le journaliste a été accusé d</w:t>
      </w:r>
      <w:r w:rsidR="0035332C">
        <w:rPr>
          <w:lang w:val="fr-FR"/>
        </w:rPr>
        <w:t>’</w:t>
      </w:r>
      <w:r w:rsidRPr="00310D49">
        <w:rPr>
          <w:lang w:val="fr-FR"/>
        </w:rPr>
        <w:t>avoir commis un crime ou un délit lié à l</w:t>
      </w:r>
      <w:r w:rsidR="0035332C">
        <w:rPr>
          <w:lang w:val="fr-FR"/>
        </w:rPr>
        <w:t>’</w:t>
      </w:r>
      <w:r w:rsidRPr="00310D49">
        <w:rPr>
          <w:lang w:val="fr-FR"/>
        </w:rPr>
        <w:t>exercice de ses fonctions. Le chef du Syndicat des journalistes ou son représentant a également le droit d</w:t>
      </w:r>
      <w:r w:rsidR="0035332C">
        <w:rPr>
          <w:lang w:val="fr-FR"/>
        </w:rPr>
        <w:t>’</w:t>
      </w:r>
      <w:r w:rsidRPr="00310D49">
        <w:rPr>
          <w:lang w:val="fr-FR"/>
        </w:rPr>
        <w:t>informer le syndicat des mesures prises à l</w:t>
      </w:r>
      <w:r w:rsidR="0035332C">
        <w:rPr>
          <w:lang w:val="fr-FR"/>
        </w:rPr>
        <w:t>’</w:t>
      </w:r>
      <w:r w:rsidRPr="00310D49">
        <w:rPr>
          <w:lang w:val="fr-FR"/>
        </w:rPr>
        <w:t>encontre du journaliste dans les vingt-quatre heures en cas de flagrant délit et d</w:t>
      </w:r>
      <w:r w:rsidR="0035332C">
        <w:rPr>
          <w:lang w:val="fr-FR"/>
        </w:rPr>
        <w:t>’</w:t>
      </w:r>
      <w:r w:rsidRPr="00310D49">
        <w:rPr>
          <w:lang w:val="fr-FR"/>
        </w:rPr>
        <w:t>établir une ligne de communication commune afin de faire face aux problèmes qui se posent quotidiennement dans la profession journalistique.</w:t>
      </w:r>
    </w:p>
    <w:p w14:paraId="104472F7" w14:textId="77156AFE" w:rsidR="00D005FA" w:rsidRPr="00310D49" w:rsidRDefault="00D005FA" w:rsidP="004E0876">
      <w:pPr>
        <w:pStyle w:val="SingleTxtG"/>
        <w:rPr>
          <w:lang w:val="fr-FR"/>
        </w:rPr>
      </w:pPr>
      <w:r w:rsidRPr="00310D49">
        <w:rPr>
          <w:lang w:val="fr-FR"/>
        </w:rPr>
        <w:t>350.</w:t>
      </w:r>
      <w:r w:rsidRPr="00310D49">
        <w:rPr>
          <w:lang w:val="fr-FR"/>
        </w:rPr>
        <w:tab/>
        <w:t>En 2017 et en collaboration avec le Gouvernement palestinien et les institutions partenaires, le Syndicat des journalistes palestiniens a publié le «</w:t>
      </w:r>
      <w:r w:rsidR="00431E56">
        <w:rPr>
          <w:lang w:val="fr-FR"/>
        </w:rPr>
        <w:t> </w:t>
      </w:r>
      <w:r w:rsidRPr="00310D49">
        <w:rPr>
          <w:lang w:val="fr-FR"/>
        </w:rPr>
        <w:t>Document d</w:t>
      </w:r>
      <w:r w:rsidR="0035332C">
        <w:rPr>
          <w:lang w:val="fr-FR"/>
        </w:rPr>
        <w:t>’</w:t>
      </w:r>
      <w:r w:rsidRPr="00310D49">
        <w:rPr>
          <w:lang w:val="fr-FR"/>
        </w:rPr>
        <w:t>orientation sur la réforme et le développement des médias palestiniens</w:t>
      </w:r>
      <w:r w:rsidR="00431E56">
        <w:rPr>
          <w:lang w:val="fr-FR"/>
        </w:rPr>
        <w:t> </w:t>
      </w:r>
      <w:r w:rsidRPr="00310D49">
        <w:rPr>
          <w:lang w:val="fr-FR"/>
        </w:rPr>
        <w:t>». Celui-ci a pour objectif de faciliter la mise en place de mécanismes de coopération afin de soutenir et de développer la presse palestinienne.</w:t>
      </w:r>
    </w:p>
    <w:p w14:paraId="2CFB2F12" w14:textId="126D3F48" w:rsidR="00D005FA" w:rsidRPr="00310D49" w:rsidRDefault="00D005FA" w:rsidP="004E0876">
      <w:pPr>
        <w:pStyle w:val="SingleTxtG"/>
        <w:rPr>
          <w:lang w:val="fr-FR"/>
        </w:rPr>
      </w:pPr>
      <w:r w:rsidRPr="00310D49">
        <w:rPr>
          <w:lang w:val="fr-FR"/>
        </w:rPr>
        <w:t>351.</w:t>
      </w:r>
      <w:r w:rsidRPr="00310D49">
        <w:rPr>
          <w:lang w:val="fr-FR"/>
        </w:rPr>
        <w:tab/>
        <w:t>En septembre 2014, le Centre de développement des médias de l</w:t>
      </w:r>
      <w:r w:rsidR="0035332C">
        <w:rPr>
          <w:lang w:val="fr-FR"/>
        </w:rPr>
        <w:t>’</w:t>
      </w:r>
      <w:r w:rsidRPr="00310D49">
        <w:rPr>
          <w:lang w:val="fr-FR"/>
        </w:rPr>
        <w:t>Université de Birzeit a lancé une initiative nationale visant à développer les médias palestiniens. Le contenu de cette initiative, notamment la réforme juridique, le développement universitaire, le genre, les infrastructures, la formation aux médias, la sécurité au travail, l</w:t>
      </w:r>
      <w:r w:rsidR="0035332C">
        <w:rPr>
          <w:lang w:val="fr-FR"/>
        </w:rPr>
        <w:t>’</w:t>
      </w:r>
      <w:r w:rsidRPr="00310D49">
        <w:rPr>
          <w:lang w:val="fr-FR"/>
        </w:rPr>
        <w:t xml:space="preserve">autorégulation, les médias et la société et les médias publics, a été signé conjointement avec </w:t>
      </w:r>
      <w:r w:rsidRPr="00C308F4">
        <w:rPr>
          <w:lang w:val="fr-FR"/>
        </w:rPr>
        <w:t xml:space="preserve">le </w:t>
      </w:r>
      <w:r w:rsidR="00C308F4" w:rsidRPr="00C308F4">
        <w:rPr>
          <w:lang w:val="fr-FR"/>
        </w:rPr>
        <w:t xml:space="preserve">Cabinet du </w:t>
      </w:r>
      <w:r w:rsidRPr="00C308F4">
        <w:rPr>
          <w:lang w:val="fr-FR"/>
        </w:rPr>
        <w:t>Premier ministre</w:t>
      </w:r>
      <w:r w:rsidRPr="00310D49">
        <w:rPr>
          <w:lang w:val="fr-FR"/>
        </w:rPr>
        <w:t xml:space="preserve"> et avec la participation des organismes d</w:t>
      </w:r>
      <w:r w:rsidR="0035332C">
        <w:rPr>
          <w:lang w:val="fr-FR"/>
        </w:rPr>
        <w:t>’</w:t>
      </w:r>
      <w:r w:rsidRPr="00310D49">
        <w:rPr>
          <w:lang w:val="fr-FR"/>
        </w:rPr>
        <w:t>État, afin d</w:t>
      </w:r>
      <w:r w:rsidR="0035332C">
        <w:rPr>
          <w:lang w:val="fr-FR"/>
        </w:rPr>
        <w:t>’</w:t>
      </w:r>
      <w:r w:rsidRPr="00310D49">
        <w:rPr>
          <w:lang w:val="fr-FR"/>
        </w:rPr>
        <w:t>améliorer la situation des médias palestiniens officiels et privés conformément aux normes internationales relatives à la liberté de l</w:t>
      </w:r>
      <w:r w:rsidR="0035332C">
        <w:rPr>
          <w:lang w:val="fr-FR"/>
        </w:rPr>
        <w:t>’</w:t>
      </w:r>
      <w:r w:rsidRPr="00310D49">
        <w:rPr>
          <w:lang w:val="fr-FR"/>
        </w:rPr>
        <w:t>information.</w:t>
      </w:r>
    </w:p>
    <w:p w14:paraId="3B498800" w14:textId="025BB2D8" w:rsidR="00D005FA" w:rsidRPr="00310D49" w:rsidRDefault="00D005FA" w:rsidP="004E0876">
      <w:pPr>
        <w:pStyle w:val="SingleTxtG"/>
        <w:rPr>
          <w:lang w:val="fr-FR"/>
        </w:rPr>
      </w:pPr>
      <w:r w:rsidRPr="00310D49">
        <w:rPr>
          <w:lang w:val="fr-FR"/>
        </w:rPr>
        <w:t>352.</w:t>
      </w:r>
      <w:r w:rsidRPr="00310D49">
        <w:rPr>
          <w:lang w:val="fr-FR"/>
        </w:rPr>
        <w:tab/>
        <w:t>Le Ministère de l</w:t>
      </w:r>
      <w:r w:rsidR="0035332C">
        <w:rPr>
          <w:lang w:val="fr-FR"/>
        </w:rPr>
        <w:t>’</w:t>
      </w:r>
      <w:r w:rsidRPr="00310D49">
        <w:rPr>
          <w:lang w:val="fr-FR"/>
        </w:rPr>
        <w:t>intérieur a également publié un guide pratique sur les rapports avec les journalistes sur le terrain, en partenariat avec les institutions nationales et internationales des droits de l</w:t>
      </w:r>
      <w:r w:rsidR="0035332C">
        <w:rPr>
          <w:lang w:val="fr-FR"/>
        </w:rPr>
        <w:t>’</w:t>
      </w:r>
      <w:r w:rsidRPr="00310D49">
        <w:rPr>
          <w:lang w:val="fr-FR"/>
        </w:rPr>
        <w:t>homme. Ce guide a été utilisé dans plusieurs ateliers interactifs entre les représentants des services de sécurité et ceux du Syndicat des journalistes.</w:t>
      </w:r>
    </w:p>
    <w:p w14:paraId="0EF34643" w14:textId="0E4F25C0" w:rsidR="00D005FA" w:rsidRPr="004E0876" w:rsidRDefault="00D005FA" w:rsidP="004E0876">
      <w:pPr>
        <w:pStyle w:val="SingleTxtG"/>
        <w:rPr>
          <w:lang w:val="fr-FR"/>
        </w:rPr>
      </w:pPr>
      <w:r w:rsidRPr="00310D49">
        <w:rPr>
          <w:lang w:val="fr-FR"/>
        </w:rPr>
        <w:t>353.</w:t>
      </w:r>
      <w:r w:rsidRPr="00310D49">
        <w:rPr>
          <w:lang w:val="fr-FR"/>
        </w:rPr>
        <w:tab/>
        <w:t>Le Code d</w:t>
      </w:r>
      <w:r w:rsidR="0035332C">
        <w:rPr>
          <w:lang w:val="fr-FR"/>
        </w:rPr>
        <w:t>’</w:t>
      </w:r>
      <w:r w:rsidRPr="00310D49">
        <w:rPr>
          <w:lang w:val="fr-FR"/>
        </w:rPr>
        <w:t>éthique et de déontologie des membres des forces de sécurité palestiniennes dispose que les membres des forces de sécurité doivent non seulement garantir la liberté des médias audiovisuels et de la presse écrite, le libre fonctionnement des médias et la liberté professionnelle des journalistes dans tous les domaines, mais également faciliter l</w:t>
      </w:r>
      <w:r w:rsidR="0035332C">
        <w:rPr>
          <w:lang w:val="fr-FR"/>
        </w:rPr>
        <w:t>’</w:t>
      </w:r>
      <w:r w:rsidRPr="00310D49">
        <w:rPr>
          <w:lang w:val="fr-FR"/>
        </w:rPr>
        <w:t xml:space="preserve">accès des médias et journalistes aux informations fiables en temps opportun et </w:t>
      </w:r>
      <w:r w:rsidRPr="00310D49">
        <w:rPr>
          <w:lang w:val="fr-FR"/>
        </w:rPr>
        <w:lastRenderedPageBreak/>
        <w:t>conformément aux dispositions de la loi. Les forces de l</w:t>
      </w:r>
      <w:r w:rsidR="0035332C">
        <w:rPr>
          <w:lang w:val="fr-FR"/>
        </w:rPr>
        <w:t>’</w:t>
      </w:r>
      <w:r w:rsidRPr="00310D49">
        <w:rPr>
          <w:lang w:val="fr-FR"/>
        </w:rPr>
        <w:t>ordre ont également publié des directives et des circulaires insistant sur le respect du travail des journalistes telles que la Circulaire n</w:t>
      </w:r>
      <w:r w:rsidR="00AF3E90" w:rsidRPr="00AF3E90">
        <w:rPr>
          <w:vertAlign w:val="superscript"/>
          <w:lang w:val="fr-FR"/>
        </w:rPr>
        <w:t>o</w:t>
      </w:r>
      <w:r w:rsidR="00AF3E90">
        <w:rPr>
          <w:lang w:val="fr-FR"/>
        </w:rPr>
        <w:t> </w:t>
      </w:r>
      <w:r w:rsidRPr="00310D49">
        <w:rPr>
          <w:lang w:val="fr-FR"/>
        </w:rPr>
        <w:t>06/2017 de la Direction générale de la police soulignant la nécessité de respecter les journalistes, de faciliter leur travail, de prendre les mesures nécessaires pour s</w:t>
      </w:r>
      <w:r w:rsidR="0035332C">
        <w:rPr>
          <w:lang w:val="fr-FR"/>
        </w:rPr>
        <w:t>’</w:t>
      </w:r>
      <w:r w:rsidRPr="00310D49">
        <w:rPr>
          <w:lang w:val="fr-FR"/>
        </w:rPr>
        <w:t>assurer qu</w:t>
      </w:r>
      <w:r w:rsidR="0035332C">
        <w:rPr>
          <w:lang w:val="fr-FR"/>
        </w:rPr>
        <w:t>’</w:t>
      </w:r>
      <w:r w:rsidRPr="00310D49">
        <w:rPr>
          <w:lang w:val="fr-FR"/>
        </w:rPr>
        <w:t xml:space="preserve">ils ne subissent aucun préjudice et assurer leur sécurité personnelle de manière à donner </w:t>
      </w:r>
      <w:r w:rsidRPr="00C308F4">
        <w:rPr>
          <w:lang w:val="fr-FR"/>
        </w:rPr>
        <w:t>effet au droit à la liberté d</w:t>
      </w:r>
      <w:r w:rsidR="0035332C">
        <w:rPr>
          <w:lang w:val="fr-FR"/>
        </w:rPr>
        <w:t>’</w:t>
      </w:r>
      <w:r w:rsidRPr="00C308F4">
        <w:rPr>
          <w:lang w:val="fr-FR"/>
        </w:rPr>
        <w:t>expression et</w:t>
      </w:r>
      <w:r w:rsidRPr="00310D49">
        <w:rPr>
          <w:lang w:val="fr-FR"/>
        </w:rPr>
        <w:t xml:space="preserve"> à préserver la profession journalistique. La Direction générale de la police a en outre publié la circulaire n</w:t>
      </w:r>
      <w:r w:rsidR="00AF3E90" w:rsidRPr="00AF3E90">
        <w:rPr>
          <w:vertAlign w:val="superscript"/>
          <w:lang w:val="fr-FR"/>
        </w:rPr>
        <w:t>o</w:t>
      </w:r>
      <w:r w:rsidR="00AF3E90">
        <w:rPr>
          <w:lang w:val="fr-FR"/>
        </w:rPr>
        <w:t> </w:t>
      </w:r>
      <w:r w:rsidRPr="00310D49">
        <w:rPr>
          <w:lang w:val="fr-FR"/>
        </w:rPr>
        <w:t>08/2012, qui insiste sur le respect de la procédure légale applicable au dépôt de toute dénonciation ou plainte visant un journaliste, ainsi que sur le suivi adéquat auprès des autorités compétentes.</w:t>
      </w:r>
    </w:p>
    <w:p w14:paraId="25DB3F26" w14:textId="77777777" w:rsidR="00D005FA" w:rsidRPr="00310D49" w:rsidRDefault="00D005FA" w:rsidP="004E0876">
      <w:pPr>
        <w:pStyle w:val="H23G"/>
        <w:rPr>
          <w:bCs/>
          <w:lang w:val="fr-FR"/>
        </w:rPr>
      </w:pPr>
      <w:r w:rsidRPr="00310D49">
        <w:rPr>
          <w:lang w:val="fr-FR"/>
        </w:rPr>
        <w:tab/>
      </w:r>
      <w:r w:rsidRPr="00310D49">
        <w:rPr>
          <w:lang w:val="fr-FR"/>
        </w:rPr>
        <w:tab/>
        <w:t>Jurisprudence</w:t>
      </w:r>
    </w:p>
    <w:p w14:paraId="6712613B" w14:textId="486F2961" w:rsidR="00D005FA" w:rsidRPr="00E95C74" w:rsidRDefault="00D005FA" w:rsidP="004E0876">
      <w:pPr>
        <w:pStyle w:val="SingleTxtG"/>
        <w:rPr>
          <w:spacing w:val="-2"/>
          <w:lang w:val="fr-FR"/>
        </w:rPr>
      </w:pPr>
      <w:r w:rsidRPr="00E95C74">
        <w:rPr>
          <w:spacing w:val="-2"/>
          <w:lang w:val="fr-FR"/>
        </w:rPr>
        <w:t>354.</w:t>
      </w:r>
      <w:r w:rsidRPr="00E95C74">
        <w:rPr>
          <w:spacing w:val="-2"/>
          <w:lang w:val="fr-FR"/>
        </w:rPr>
        <w:tab/>
        <w:t>Compte tenu de la ferme volonté du pouvoir judiciaire de respecter les obligations en matière de droit de l</w:t>
      </w:r>
      <w:r w:rsidR="0035332C" w:rsidRPr="00E95C74">
        <w:rPr>
          <w:spacing w:val="-2"/>
          <w:lang w:val="fr-FR"/>
        </w:rPr>
        <w:t>’</w:t>
      </w:r>
      <w:r w:rsidRPr="00E95C74">
        <w:rPr>
          <w:spacing w:val="-2"/>
          <w:lang w:val="fr-FR"/>
        </w:rPr>
        <w:t>homme découlant de l</w:t>
      </w:r>
      <w:r w:rsidR="0035332C" w:rsidRPr="00E95C74">
        <w:rPr>
          <w:spacing w:val="-2"/>
          <w:lang w:val="fr-FR"/>
        </w:rPr>
        <w:t>’</w:t>
      </w:r>
      <w:r w:rsidRPr="00E95C74">
        <w:rPr>
          <w:spacing w:val="-2"/>
          <w:lang w:val="fr-FR"/>
        </w:rPr>
        <w:t>adhésion de l</w:t>
      </w:r>
      <w:r w:rsidR="0035332C" w:rsidRPr="00E95C74">
        <w:rPr>
          <w:spacing w:val="-2"/>
          <w:lang w:val="fr-FR"/>
        </w:rPr>
        <w:t>’</w:t>
      </w:r>
      <w:r w:rsidRPr="00E95C74">
        <w:rPr>
          <w:spacing w:val="-2"/>
          <w:lang w:val="fr-FR"/>
        </w:rPr>
        <w:t>État au Pacte international relatif aux droits civils et politiques et de faire valoir le droit à l</w:t>
      </w:r>
      <w:r w:rsidR="0035332C" w:rsidRPr="00E95C74">
        <w:rPr>
          <w:spacing w:val="-2"/>
          <w:lang w:val="fr-FR"/>
        </w:rPr>
        <w:t>’</w:t>
      </w:r>
      <w:r w:rsidRPr="00E95C74">
        <w:rPr>
          <w:spacing w:val="-2"/>
          <w:lang w:val="fr-FR"/>
        </w:rPr>
        <w:t>autocritique et à la critique constructive en tant que l</w:t>
      </w:r>
      <w:r w:rsidR="0035332C" w:rsidRPr="00E95C74">
        <w:rPr>
          <w:spacing w:val="-2"/>
          <w:lang w:val="fr-FR"/>
        </w:rPr>
        <w:t>’</w:t>
      </w:r>
      <w:r w:rsidRPr="00E95C74">
        <w:rPr>
          <w:spacing w:val="-2"/>
          <w:lang w:val="fr-FR"/>
        </w:rPr>
        <w:t>une des formes de liberté d</w:t>
      </w:r>
      <w:r w:rsidR="0035332C" w:rsidRPr="00E95C74">
        <w:rPr>
          <w:spacing w:val="-2"/>
          <w:lang w:val="fr-FR"/>
        </w:rPr>
        <w:t>’</w:t>
      </w:r>
      <w:r w:rsidRPr="00E95C74">
        <w:rPr>
          <w:spacing w:val="-2"/>
          <w:lang w:val="fr-FR"/>
        </w:rPr>
        <w:t>opinion et d</w:t>
      </w:r>
      <w:r w:rsidR="0035332C" w:rsidRPr="00E95C74">
        <w:rPr>
          <w:spacing w:val="-2"/>
          <w:lang w:val="fr-FR"/>
        </w:rPr>
        <w:t>’</w:t>
      </w:r>
      <w:r w:rsidRPr="00E95C74">
        <w:rPr>
          <w:spacing w:val="-2"/>
          <w:lang w:val="fr-FR"/>
        </w:rPr>
        <w:t>expression, le tribunal de conciliation de Naplouse a rendu dans l</w:t>
      </w:r>
      <w:r w:rsidR="0035332C" w:rsidRPr="00E95C74">
        <w:rPr>
          <w:spacing w:val="-2"/>
          <w:lang w:val="fr-FR"/>
        </w:rPr>
        <w:t>’</w:t>
      </w:r>
      <w:r w:rsidRPr="00E95C74">
        <w:rPr>
          <w:spacing w:val="-2"/>
          <w:lang w:val="fr-FR"/>
        </w:rPr>
        <w:t>affaire pénale n</w:t>
      </w:r>
      <w:r w:rsidR="00AF3E90" w:rsidRPr="00E95C74">
        <w:rPr>
          <w:spacing w:val="-2"/>
          <w:vertAlign w:val="superscript"/>
          <w:lang w:val="fr-FR"/>
        </w:rPr>
        <w:t>o</w:t>
      </w:r>
      <w:r w:rsidR="00AF3E90" w:rsidRPr="00E95C74">
        <w:rPr>
          <w:spacing w:val="-2"/>
          <w:lang w:val="fr-FR"/>
        </w:rPr>
        <w:t> </w:t>
      </w:r>
      <w:r w:rsidRPr="00E95C74">
        <w:rPr>
          <w:spacing w:val="-2"/>
          <w:lang w:val="fr-FR"/>
        </w:rPr>
        <w:t>3525/2016 de mai 2017 la décision déclarant l</w:t>
      </w:r>
      <w:r w:rsidR="0035332C" w:rsidRPr="00E95C74">
        <w:rPr>
          <w:spacing w:val="-2"/>
          <w:lang w:val="fr-FR"/>
        </w:rPr>
        <w:t>’</w:t>
      </w:r>
      <w:r w:rsidRPr="00E95C74">
        <w:rPr>
          <w:spacing w:val="-2"/>
          <w:lang w:val="fr-FR"/>
        </w:rPr>
        <w:t>accusé innocent des charges retenues contre lui, à savoir la diffusion de fausses nouvelles qui ternissent l</w:t>
      </w:r>
      <w:r w:rsidR="0035332C" w:rsidRPr="00E95C74">
        <w:rPr>
          <w:spacing w:val="-2"/>
          <w:lang w:val="fr-FR"/>
        </w:rPr>
        <w:t>’</w:t>
      </w:r>
      <w:r w:rsidRPr="00E95C74">
        <w:rPr>
          <w:spacing w:val="-2"/>
          <w:lang w:val="fr-FR"/>
        </w:rPr>
        <w:t>image de l</w:t>
      </w:r>
      <w:r w:rsidR="0035332C" w:rsidRPr="00E95C74">
        <w:rPr>
          <w:spacing w:val="-2"/>
          <w:lang w:val="fr-FR"/>
        </w:rPr>
        <w:t>’</w:t>
      </w:r>
      <w:r w:rsidRPr="00E95C74">
        <w:rPr>
          <w:spacing w:val="-2"/>
          <w:lang w:val="fr-FR"/>
        </w:rPr>
        <w:t>État (article</w:t>
      </w:r>
      <w:r w:rsidR="00AF3E90" w:rsidRPr="00E95C74">
        <w:rPr>
          <w:spacing w:val="-2"/>
          <w:lang w:val="fr-FR"/>
        </w:rPr>
        <w:t> </w:t>
      </w:r>
      <w:r w:rsidRPr="00E95C74">
        <w:rPr>
          <w:spacing w:val="-2"/>
          <w:lang w:val="fr-FR"/>
        </w:rPr>
        <w:t>132-1 de du Code Pénal de 1960), l</w:t>
      </w:r>
      <w:r w:rsidR="0035332C" w:rsidRPr="00E95C74">
        <w:rPr>
          <w:spacing w:val="-2"/>
          <w:lang w:val="fr-FR"/>
        </w:rPr>
        <w:t>’</w:t>
      </w:r>
      <w:r w:rsidRPr="00E95C74">
        <w:rPr>
          <w:spacing w:val="-2"/>
          <w:lang w:val="fr-FR"/>
        </w:rPr>
        <w:t>incitation à des conflits entre confessions (article</w:t>
      </w:r>
      <w:r w:rsidR="00AF3E90" w:rsidRPr="00E95C74">
        <w:rPr>
          <w:spacing w:val="-2"/>
          <w:lang w:val="fr-FR"/>
        </w:rPr>
        <w:t> </w:t>
      </w:r>
      <w:r w:rsidRPr="00E95C74">
        <w:rPr>
          <w:spacing w:val="-2"/>
          <w:lang w:val="fr-FR"/>
        </w:rPr>
        <w:t>150 du Code pénal), la calomnie (article</w:t>
      </w:r>
      <w:r w:rsidR="00AF3E90" w:rsidRPr="00E95C74">
        <w:rPr>
          <w:spacing w:val="-2"/>
          <w:lang w:val="fr-FR"/>
        </w:rPr>
        <w:t> </w:t>
      </w:r>
      <w:r w:rsidRPr="00E95C74">
        <w:rPr>
          <w:spacing w:val="-2"/>
          <w:lang w:val="fr-FR"/>
        </w:rPr>
        <w:t>193 du Code pénal) et la diffamation du Président et du Vice-Président (article</w:t>
      </w:r>
      <w:r w:rsidR="00AF3E90" w:rsidRPr="00E95C74">
        <w:rPr>
          <w:spacing w:val="-2"/>
          <w:lang w:val="fr-FR"/>
        </w:rPr>
        <w:t> </w:t>
      </w:r>
      <w:r w:rsidRPr="00E95C74">
        <w:rPr>
          <w:spacing w:val="-2"/>
          <w:lang w:val="fr-FR"/>
        </w:rPr>
        <w:t>132</w:t>
      </w:r>
      <w:r w:rsidR="00AF3E90" w:rsidRPr="00E95C74">
        <w:rPr>
          <w:spacing w:val="-2"/>
          <w:lang w:val="fr-FR"/>
        </w:rPr>
        <w:noBreakHyphen/>
      </w:r>
      <w:r w:rsidRPr="00E95C74">
        <w:rPr>
          <w:spacing w:val="-2"/>
          <w:lang w:val="fr-FR"/>
        </w:rPr>
        <w:t>2 du Code pénal). Le tribunal a conclu que les déclarations faites par l</w:t>
      </w:r>
      <w:r w:rsidR="0035332C" w:rsidRPr="00E95C74">
        <w:rPr>
          <w:spacing w:val="-2"/>
          <w:lang w:val="fr-FR"/>
        </w:rPr>
        <w:t>’</w:t>
      </w:r>
      <w:r w:rsidRPr="00E95C74">
        <w:rPr>
          <w:spacing w:val="-2"/>
          <w:lang w:val="fr-FR"/>
        </w:rPr>
        <w:t>accusé lors d</w:t>
      </w:r>
      <w:r w:rsidR="0035332C" w:rsidRPr="00E95C74">
        <w:rPr>
          <w:spacing w:val="-2"/>
          <w:lang w:val="fr-FR"/>
        </w:rPr>
        <w:t>’</w:t>
      </w:r>
      <w:r w:rsidRPr="00E95C74">
        <w:rPr>
          <w:spacing w:val="-2"/>
          <w:lang w:val="fr-FR"/>
        </w:rPr>
        <w:t>une entrevue télévisée sur une chaîne satellitaire s</w:t>
      </w:r>
      <w:r w:rsidR="0035332C" w:rsidRPr="00E95C74">
        <w:rPr>
          <w:spacing w:val="-2"/>
          <w:lang w:val="fr-FR"/>
        </w:rPr>
        <w:t>’</w:t>
      </w:r>
      <w:r w:rsidRPr="00E95C74">
        <w:rPr>
          <w:spacing w:val="-2"/>
          <w:lang w:val="fr-FR"/>
        </w:rPr>
        <w:t>inscrivaient dans le contexte des opinions politiques de l</w:t>
      </w:r>
      <w:r w:rsidR="0035332C" w:rsidRPr="00E95C74">
        <w:rPr>
          <w:spacing w:val="-2"/>
          <w:lang w:val="fr-FR"/>
        </w:rPr>
        <w:t>’</w:t>
      </w:r>
      <w:r w:rsidRPr="00E95C74">
        <w:rPr>
          <w:spacing w:val="-2"/>
          <w:lang w:val="fr-FR"/>
        </w:rPr>
        <w:t>accusé et ne constituaient donc pas une infraction. En examinant les chefs d</w:t>
      </w:r>
      <w:r w:rsidR="0035332C" w:rsidRPr="00E95C74">
        <w:rPr>
          <w:spacing w:val="-2"/>
          <w:lang w:val="fr-FR"/>
        </w:rPr>
        <w:t>’</w:t>
      </w:r>
      <w:r w:rsidRPr="00E95C74">
        <w:rPr>
          <w:spacing w:val="-2"/>
          <w:lang w:val="fr-FR"/>
        </w:rPr>
        <w:t>accusation susmentionnés, le tribunal s</w:t>
      </w:r>
      <w:r w:rsidR="0035332C" w:rsidRPr="00E95C74">
        <w:rPr>
          <w:spacing w:val="-2"/>
          <w:lang w:val="fr-FR"/>
        </w:rPr>
        <w:t>’</w:t>
      </w:r>
      <w:r w:rsidRPr="00E95C74">
        <w:rPr>
          <w:spacing w:val="-2"/>
          <w:lang w:val="fr-FR"/>
        </w:rPr>
        <w:t>est fondé sur le texte de l</w:t>
      </w:r>
      <w:r w:rsidR="0035332C" w:rsidRPr="00E95C74">
        <w:rPr>
          <w:spacing w:val="-2"/>
          <w:lang w:val="fr-FR"/>
        </w:rPr>
        <w:t>’</w:t>
      </w:r>
      <w:r w:rsidRPr="00E95C74">
        <w:rPr>
          <w:spacing w:val="-2"/>
          <w:lang w:val="fr-FR"/>
        </w:rPr>
        <w:t>article</w:t>
      </w:r>
      <w:r w:rsidR="00AF3E90" w:rsidRPr="00E95C74">
        <w:rPr>
          <w:spacing w:val="-2"/>
          <w:lang w:val="fr-FR"/>
        </w:rPr>
        <w:t> </w:t>
      </w:r>
      <w:r w:rsidRPr="00E95C74">
        <w:rPr>
          <w:spacing w:val="-2"/>
          <w:lang w:val="fr-FR"/>
        </w:rPr>
        <w:t>19 de la Loi fondamentale, telle que modifiée, qui est conforme aux dispositions du paragraphe</w:t>
      </w:r>
      <w:r w:rsidR="00AF3E90" w:rsidRPr="00E95C74">
        <w:rPr>
          <w:spacing w:val="-2"/>
          <w:lang w:val="fr-FR"/>
        </w:rPr>
        <w:t> </w:t>
      </w:r>
      <w:r w:rsidRPr="00E95C74">
        <w:rPr>
          <w:spacing w:val="-2"/>
          <w:lang w:val="fr-FR"/>
        </w:rPr>
        <w:t>2 de l</w:t>
      </w:r>
      <w:r w:rsidR="0035332C" w:rsidRPr="00E95C74">
        <w:rPr>
          <w:spacing w:val="-2"/>
          <w:lang w:val="fr-FR"/>
        </w:rPr>
        <w:t>’</w:t>
      </w:r>
      <w:r w:rsidRPr="00E95C74">
        <w:rPr>
          <w:spacing w:val="-2"/>
          <w:lang w:val="fr-FR"/>
        </w:rPr>
        <w:t>article</w:t>
      </w:r>
      <w:r w:rsidR="00AF3E90" w:rsidRPr="00E95C74">
        <w:rPr>
          <w:spacing w:val="-2"/>
          <w:lang w:val="fr-FR"/>
        </w:rPr>
        <w:t> </w:t>
      </w:r>
      <w:r w:rsidRPr="00E95C74">
        <w:rPr>
          <w:spacing w:val="-2"/>
          <w:lang w:val="fr-FR"/>
        </w:rPr>
        <w:t>19 du Pacte international relatif aux droits civils et politiques, de l</w:t>
      </w:r>
      <w:r w:rsidR="0035332C" w:rsidRPr="00E95C74">
        <w:rPr>
          <w:spacing w:val="-2"/>
          <w:lang w:val="fr-FR"/>
        </w:rPr>
        <w:t>’</w:t>
      </w:r>
      <w:r w:rsidRPr="00E95C74">
        <w:rPr>
          <w:spacing w:val="-2"/>
          <w:lang w:val="fr-FR"/>
        </w:rPr>
        <w:t>article 32 de la Charte arabe des droits de l</w:t>
      </w:r>
      <w:r w:rsidR="0035332C" w:rsidRPr="00E95C74">
        <w:rPr>
          <w:spacing w:val="-2"/>
          <w:lang w:val="fr-FR"/>
        </w:rPr>
        <w:t>’</w:t>
      </w:r>
      <w:r w:rsidRPr="00E95C74">
        <w:rPr>
          <w:spacing w:val="-2"/>
          <w:lang w:val="fr-FR"/>
        </w:rPr>
        <w:t>homme, de l</w:t>
      </w:r>
      <w:r w:rsidR="0035332C" w:rsidRPr="00E95C74">
        <w:rPr>
          <w:spacing w:val="-2"/>
          <w:lang w:val="fr-FR"/>
        </w:rPr>
        <w:t>’</w:t>
      </w:r>
      <w:r w:rsidRPr="00E95C74">
        <w:rPr>
          <w:spacing w:val="-2"/>
          <w:lang w:val="fr-FR"/>
        </w:rPr>
        <w:t>article 19 de la Déclaration universelle des droits de l</w:t>
      </w:r>
      <w:r w:rsidR="0035332C" w:rsidRPr="00E95C74">
        <w:rPr>
          <w:spacing w:val="-2"/>
          <w:lang w:val="fr-FR"/>
        </w:rPr>
        <w:t>’</w:t>
      </w:r>
      <w:r w:rsidRPr="00E95C74">
        <w:rPr>
          <w:spacing w:val="-2"/>
          <w:lang w:val="fr-FR"/>
        </w:rPr>
        <w:t>homme et de la résolution 144/53 de l</w:t>
      </w:r>
      <w:r w:rsidR="0035332C" w:rsidRPr="00E95C74">
        <w:rPr>
          <w:spacing w:val="-2"/>
          <w:lang w:val="fr-FR"/>
        </w:rPr>
        <w:t>’</w:t>
      </w:r>
      <w:r w:rsidRPr="00E95C74">
        <w:rPr>
          <w:spacing w:val="-2"/>
          <w:lang w:val="fr-FR"/>
        </w:rPr>
        <w:t>Assemblée générale (1998) qui, dans leur ensemble, consacrent le droit à la liberté d</w:t>
      </w:r>
      <w:r w:rsidR="0035332C" w:rsidRPr="00E95C74">
        <w:rPr>
          <w:spacing w:val="-2"/>
          <w:lang w:val="fr-FR"/>
        </w:rPr>
        <w:t>’</w:t>
      </w:r>
      <w:r w:rsidRPr="00E95C74">
        <w:rPr>
          <w:spacing w:val="-2"/>
          <w:lang w:val="fr-FR"/>
        </w:rPr>
        <w:t>expression.</w:t>
      </w:r>
    </w:p>
    <w:p w14:paraId="4728F8C3" w14:textId="77777777" w:rsidR="00D005FA" w:rsidRPr="00310D49" w:rsidRDefault="00D005FA" w:rsidP="004E0876">
      <w:pPr>
        <w:pStyle w:val="H23G"/>
        <w:rPr>
          <w:lang w:val="fr-FR"/>
        </w:rPr>
      </w:pPr>
      <w:r w:rsidRPr="00310D49">
        <w:rPr>
          <w:lang w:val="fr-FR"/>
        </w:rPr>
        <w:tab/>
      </w:r>
      <w:r w:rsidRPr="00310D49">
        <w:rPr>
          <w:lang w:val="fr-FR"/>
        </w:rPr>
        <w:tab/>
      </w:r>
      <w:r w:rsidRPr="008C09EA">
        <w:rPr>
          <w:lang w:val="fr-FR"/>
        </w:rPr>
        <w:t>Violations commises par Israël</w:t>
      </w:r>
      <w:r w:rsidRPr="00310D49">
        <w:rPr>
          <w:lang w:val="fr-FR"/>
        </w:rPr>
        <w:t xml:space="preserve"> contre les journalistes et les médias </w:t>
      </w:r>
    </w:p>
    <w:p w14:paraId="09DC3300" w14:textId="289478AD" w:rsidR="00D005FA" w:rsidRPr="00310D49" w:rsidRDefault="00D005FA" w:rsidP="004E0876">
      <w:pPr>
        <w:pStyle w:val="SingleTxtG"/>
        <w:rPr>
          <w:lang w:val="fr-FR"/>
        </w:rPr>
      </w:pPr>
      <w:r w:rsidRPr="00310D49">
        <w:rPr>
          <w:lang w:val="fr-FR"/>
        </w:rPr>
        <w:t>355.</w:t>
      </w:r>
      <w:r w:rsidRPr="00310D49">
        <w:rPr>
          <w:lang w:val="fr-FR"/>
        </w:rPr>
        <w:tab/>
        <w:t>Israël, Puissance occupante, entrave le travail des journalistes, y compris des journalistes palestiniens, dans le but de dissimuler la vérité en faisant taire les médias et en étouffant la liberté d</w:t>
      </w:r>
      <w:r w:rsidR="0035332C">
        <w:rPr>
          <w:lang w:val="fr-FR"/>
        </w:rPr>
        <w:t>’</w:t>
      </w:r>
      <w:r w:rsidRPr="00310D49">
        <w:rPr>
          <w:lang w:val="fr-FR"/>
        </w:rPr>
        <w:t>expression. L</w:t>
      </w:r>
      <w:r w:rsidR="0035332C">
        <w:rPr>
          <w:lang w:val="fr-FR"/>
        </w:rPr>
        <w:t>’</w:t>
      </w:r>
      <w:r w:rsidRPr="00310D49">
        <w:rPr>
          <w:lang w:val="fr-FR"/>
        </w:rPr>
        <w:t>année 2014 a connu des crimes sanglants visant des journalistes palestiniens, notamment à la suite de l</w:t>
      </w:r>
      <w:r w:rsidR="0035332C">
        <w:rPr>
          <w:lang w:val="fr-FR"/>
        </w:rPr>
        <w:t>’</w:t>
      </w:r>
      <w:r w:rsidRPr="00310D49">
        <w:rPr>
          <w:lang w:val="fr-FR"/>
        </w:rPr>
        <w:t>agression israélienne contre la bande de Gaza, où 17</w:t>
      </w:r>
      <w:r w:rsidR="008C09EA">
        <w:rPr>
          <w:lang w:val="fr-FR"/>
        </w:rPr>
        <w:t> </w:t>
      </w:r>
      <w:r w:rsidRPr="00310D49">
        <w:rPr>
          <w:lang w:val="fr-FR"/>
        </w:rPr>
        <w:t>journalistes, dont un italien, sont tombés en martyrs.</w:t>
      </w:r>
    </w:p>
    <w:p w14:paraId="5F9D3887" w14:textId="60E85AF2" w:rsidR="00D005FA" w:rsidRPr="00310D49" w:rsidRDefault="00D005FA" w:rsidP="004E0876">
      <w:pPr>
        <w:pStyle w:val="SingleTxtG"/>
        <w:rPr>
          <w:lang w:val="fr-FR"/>
        </w:rPr>
      </w:pPr>
      <w:r w:rsidRPr="00310D49">
        <w:rPr>
          <w:lang w:val="fr-FR"/>
        </w:rPr>
        <w:t>356.</w:t>
      </w:r>
      <w:r w:rsidRPr="00310D49">
        <w:rPr>
          <w:lang w:val="fr-FR"/>
        </w:rPr>
        <w:tab/>
        <w:t>En 2016, Israël, puissance occupante, a commis des agressions contre 176</w:t>
      </w:r>
      <w:r w:rsidR="008C09EA">
        <w:rPr>
          <w:lang w:val="fr-FR"/>
        </w:rPr>
        <w:t> </w:t>
      </w:r>
      <w:r w:rsidRPr="00310D49">
        <w:rPr>
          <w:lang w:val="fr-FR"/>
        </w:rPr>
        <w:t>journalistes et 18 organes de presse. En 2017, le nombre de journalistes agressés est passé à 458, tandis que celui des organes de presse s</w:t>
      </w:r>
      <w:r w:rsidR="0035332C">
        <w:rPr>
          <w:lang w:val="fr-FR"/>
        </w:rPr>
        <w:t>’</w:t>
      </w:r>
      <w:r w:rsidRPr="00310D49">
        <w:rPr>
          <w:lang w:val="fr-FR"/>
        </w:rPr>
        <w:t>est élevé à 48. Les violations israéliennes contre les journalistes et la liberté d</w:t>
      </w:r>
      <w:r w:rsidR="0035332C">
        <w:rPr>
          <w:lang w:val="fr-FR"/>
        </w:rPr>
        <w:t>’</w:t>
      </w:r>
      <w:r w:rsidRPr="00310D49">
        <w:rPr>
          <w:lang w:val="fr-FR"/>
        </w:rPr>
        <w:t>information se sont intensifiées en 2018, atteignant 679 violations allant de l</w:t>
      </w:r>
      <w:r w:rsidR="0035332C">
        <w:rPr>
          <w:lang w:val="fr-FR"/>
        </w:rPr>
        <w:t>’</w:t>
      </w:r>
      <w:r w:rsidRPr="00310D49">
        <w:rPr>
          <w:lang w:val="fr-FR"/>
        </w:rPr>
        <w:t>arrestation arbitraire à l</w:t>
      </w:r>
      <w:r w:rsidR="0035332C">
        <w:rPr>
          <w:lang w:val="fr-FR"/>
        </w:rPr>
        <w:t>’</w:t>
      </w:r>
      <w:r w:rsidRPr="00310D49">
        <w:rPr>
          <w:lang w:val="fr-FR"/>
        </w:rPr>
        <w:t>imposition de mesures arbitraires sévères telles que le versement d</w:t>
      </w:r>
      <w:r w:rsidR="0035332C">
        <w:rPr>
          <w:lang w:val="fr-FR"/>
        </w:rPr>
        <w:t>’</w:t>
      </w:r>
      <w:r w:rsidRPr="00310D49">
        <w:rPr>
          <w:lang w:val="fr-FR"/>
        </w:rPr>
        <w:t>une caution et l</w:t>
      </w:r>
      <w:r w:rsidR="0035332C">
        <w:rPr>
          <w:lang w:val="fr-FR"/>
        </w:rPr>
        <w:t>’</w:t>
      </w:r>
      <w:r w:rsidRPr="00310D49">
        <w:rPr>
          <w:lang w:val="fr-FR"/>
        </w:rPr>
        <w:t>assignation à résidence. S</w:t>
      </w:r>
      <w:r w:rsidR="0035332C">
        <w:rPr>
          <w:lang w:val="fr-FR"/>
        </w:rPr>
        <w:t>’</w:t>
      </w:r>
      <w:r w:rsidRPr="00310D49">
        <w:rPr>
          <w:lang w:val="fr-FR"/>
        </w:rPr>
        <w:t>y ajoutent les conséquences directes des agressions</w:t>
      </w:r>
      <w:r w:rsidR="00A53B5A">
        <w:rPr>
          <w:lang w:val="fr-FR"/>
        </w:rPr>
        <w:t> </w:t>
      </w:r>
      <w:r w:rsidRPr="00310D49">
        <w:rPr>
          <w:lang w:val="fr-FR"/>
        </w:rPr>
        <w:t>: la suffocation résultant de l</w:t>
      </w:r>
      <w:r w:rsidR="0035332C">
        <w:rPr>
          <w:lang w:val="fr-FR"/>
        </w:rPr>
        <w:t>’</w:t>
      </w:r>
      <w:r w:rsidRPr="00310D49">
        <w:rPr>
          <w:lang w:val="fr-FR"/>
        </w:rPr>
        <w:t xml:space="preserve">inhalation du gaz des grenades lacrymogènes et, pour de nombreux journalistes, les blessures par balles réelles ou en caoutchouc ou par des fragments de ces balles. </w:t>
      </w:r>
    </w:p>
    <w:p w14:paraId="2D8E6F5B" w14:textId="525768B4" w:rsidR="00D005FA" w:rsidRPr="00310D49" w:rsidRDefault="00D005FA" w:rsidP="004E0876">
      <w:pPr>
        <w:pStyle w:val="SingleTxtG"/>
        <w:rPr>
          <w:lang w:val="fr-FR"/>
        </w:rPr>
      </w:pPr>
      <w:r w:rsidRPr="00310D49">
        <w:rPr>
          <w:lang w:val="fr-FR"/>
        </w:rPr>
        <w:t>357.</w:t>
      </w:r>
      <w:r w:rsidRPr="00310D49">
        <w:rPr>
          <w:lang w:val="fr-FR"/>
        </w:rPr>
        <w:tab/>
        <w:t>En 2018, deux photographes, Yasser Murtaji et Ahmed Abu Hussein, sont tombés en martyrs après avoir été pris pour cible par des soldats de l</w:t>
      </w:r>
      <w:r w:rsidR="0035332C">
        <w:rPr>
          <w:lang w:val="fr-FR"/>
        </w:rPr>
        <w:t>’</w:t>
      </w:r>
      <w:r w:rsidRPr="00310D49">
        <w:rPr>
          <w:lang w:val="fr-FR"/>
        </w:rPr>
        <w:t>occupation israélienne, qui leur ont tiré dessus à balles réelles, alors qu</w:t>
      </w:r>
      <w:r w:rsidR="0035332C">
        <w:rPr>
          <w:lang w:val="fr-FR"/>
        </w:rPr>
        <w:t>’</w:t>
      </w:r>
      <w:r w:rsidRPr="00310D49">
        <w:rPr>
          <w:lang w:val="fr-FR"/>
        </w:rPr>
        <w:t>il couvrait les manifestations de la Grande Marche du retour dans la bande de Gaza en avril 2018. En outre, le journaliste Moaz Amarna a perdu l</w:t>
      </w:r>
      <w:r w:rsidR="0035332C">
        <w:rPr>
          <w:lang w:val="fr-FR"/>
        </w:rPr>
        <w:t>’</w:t>
      </w:r>
      <w:r w:rsidRPr="00310D49">
        <w:rPr>
          <w:lang w:val="fr-FR"/>
        </w:rPr>
        <w:t>œil gauche en novembre 2019, alors qu</w:t>
      </w:r>
      <w:r w:rsidR="0035332C">
        <w:rPr>
          <w:lang w:val="fr-FR"/>
        </w:rPr>
        <w:t>’</w:t>
      </w:r>
      <w:r w:rsidRPr="00310D49">
        <w:rPr>
          <w:lang w:val="fr-FR"/>
        </w:rPr>
        <w:t>il couvrait une attaque des forces d</w:t>
      </w:r>
      <w:r w:rsidR="0035332C">
        <w:rPr>
          <w:lang w:val="fr-FR"/>
        </w:rPr>
        <w:t>’</w:t>
      </w:r>
      <w:r w:rsidRPr="00310D49">
        <w:rPr>
          <w:lang w:val="fr-FR"/>
        </w:rPr>
        <w:t>occupation israélienne contre des manifestants palestiniens à Al-Khalil (Hébron).</w:t>
      </w:r>
    </w:p>
    <w:p w14:paraId="4C52C781" w14:textId="2A2E6EBC" w:rsidR="00D005FA" w:rsidRPr="00310D49" w:rsidRDefault="00D005FA" w:rsidP="004E0876">
      <w:pPr>
        <w:pStyle w:val="SingleTxtG"/>
        <w:rPr>
          <w:lang w:val="fr-FR"/>
        </w:rPr>
      </w:pPr>
      <w:r w:rsidRPr="00310D49">
        <w:rPr>
          <w:lang w:val="fr-FR"/>
        </w:rPr>
        <w:t>358.</w:t>
      </w:r>
      <w:r w:rsidRPr="00310D49">
        <w:rPr>
          <w:lang w:val="fr-FR"/>
        </w:rPr>
        <w:tab/>
        <w:t>En 2018, Israël a imposé de nouvelles restrictions législatives à l</w:t>
      </w:r>
      <w:r w:rsidR="0035332C">
        <w:rPr>
          <w:lang w:val="fr-FR"/>
        </w:rPr>
        <w:t>’</w:t>
      </w:r>
      <w:r w:rsidRPr="00310D49">
        <w:rPr>
          <w:lang w:val="fr-FR"/>
        </w:rPr>
        <w:t>exercice du droit à la liberté d</w:t>
      </w:r>
      <w:r w:rsidR="0035332C">
        <w:rPr>
          <w:lang w:val="fr-FR"/>
        </w:rPr>
        <w:t>’</w:t>
      </w:r>
      <w:r w:rsidRPr="00310D49">
        <w:rPr>
          <w:lang w:val="fr-FR"/>
        </w:rPr>
        <w:t>opinion et d</w:t>
      </w:r>
      <w:r w:rsidR="0035332C">
        <w:rPr>
          <w:lang w:val="fr-FR"/>
        </w:rPr>
        <w:t>’</w:t>
      </w:r>
      <w:r w:rsidRPr="00310D49">
        <w:rPr>
          <w:lang w:val="fr-FR"/>
        </w:rPr>
        <w:t>expression et à celui de la profession journalistique. Il s</w:t>
      </w:r>
      <w:r w:rsidR="0035332C">
        <w:rPr>
          <w:lang w:val="fr-FR"/>
        </w:rPr>
        <w:t>’</w:t>
      </w:r>
      <w:r w:rsidRPr="00310D49">
        <w:rPr>
          <w:lang w:val="fr-FR"/>
        </w:rPr>
        <w:t>agit de la loi portant interdiction de photographier ou de filmer les soldats israéliens, qui a été adoptée par la Knesset pour empêcher les journalistes de photographier ou de filmer les soldats de l</w:t>
      </w:r>
      <w:r w:rsidR="0035332C">
        <w:rPr>
          <w:lang w:val="fr-FR"/>
        </w:rPr>
        <w:t>’</w:t>
      </w:r>
      <w:r w:rsidRPr="00310D49">
        <w:rPr>
          <w:lang w:val="fr-FR"/>
        </w:rPr>
        <w:t>occupation et de dénoncer leurs crimes en imposant des sanctions à quiconque photographie ou filme les forces d</w:t>
      </w:r>
      <w:r w:rsidR="0035332C">
        <w:rPr>
          <w:lang w:val="fr-FR"/>
        </w:rPr>
        <w:t>’</w:t>
      </w:r>
      <w:r w:rsidRPr="00310D49">
        <w:rPr>
          <w:lang w:val="fr-FR"/>
        </w:rPr>
        <w:t>occupation, ainsi qu</w:t>
      </w:r>
      <w:r w:rsidR="0035332C">
        <w:rPr>
          <w:lang w:val="fr-FR"/>
        </w:rPr>
        <w:t>’</w:t>
      </w:r>
      <w:r w:rsidRPr="00310D49">
        <w:rPr>
          <w:lang w:val="fr-FR"/>
        </w:rPr>
        <w:t>en poursuivant arbitrairement les Palestiniens pour les empêcher d</w:t>
      </w:r>
      <w:r w:rsidR="0035332C">
        <w:rPr>
          <w:lang w:val="fr-FR"/>
        </w:rPr>
        <w:t>’</w:t>
      </w:r>
      <w:r w:rsidRPr="00310D49">
        <w:rPr>
          <w:lang w:val="fr-FR"/>
        </w:rPr>
        <w:t>exercer leur liberté d</w:t>
      </w:r>
      <w:r w:rsidR="0035332C">
        <w:rPr>
          <w:lang w:val="fr-FR"/>
        </w:rPr>
        <w:t>’</w:t>
      </w:r>
      <w:r w:rsidRPr="00310D49">
        <w:rPr>
          <w:lang w:val="fr-FR"/>
        </w:rPr>
        <w:t>opinion et d</w:t>
      </w:r>
      <w:r w:rsidR="0035332C">
        <w:rPr>
          <w:lang w:val="fr-FR"/>
        </w:rPr>
        <w:t>’</w:t>
      </w:r>
      <w:r w:rsidRPr="00310D49">
        <w:rPr>
          <w:lang w:val="fr-FR"/>
        </w:rPr>
        <w:t>expression.</w:t>
      </w:r>
    </w:p>
    <w:p w14:paraId="1EBC8AB7" w14:textId="48016443" w:rsidR="00D005FA" w:rsidRPr="00310D49" w:rsidRDefault="00D005FA" w:rsidP="009E2AB8">
      <w:pPr>
        <w:pStyle w:val="H1G"/>
        <w:rPr>
          <w:lang w:val="fr-FR"/>
        </w:rPr>
      </w:pPr>
      <w:r w:rsidRPr="00310D49">
        <w:rPr>
          <w:lang w:val="fr-FR"/>
        </w:rPr>
        <w:lastRenderedPageBreak/>
        <w:tab/>
      </w:r>
      <w:r w:rsidRPr="00310D49">
        <w:rPr>
          <w:lang w:val="fr-FR"/>
        </w:rPr>
        <w:tab/>
        <w:t>Article 20</w:t>
      </w:r>
      <w:bookmarkStart w:id="22" w:name="_Toc80715509"/>
      <w:bookmarkEnd w:id="22"/>
    </w:p>
    <w:p w14:paraId="422242B5" w14:textId="227060BC" w:rsidR="00D005FA" w:rsidRPr="00310D49" w:rsidRDefault="00D005FA" w:rsidP="004E0876">
      <w:pPr>
        <w:pStyle w:val="SingleTxtG"/>
        <w:rPr>
          <w:lang w:val="fr-FR"/>
        </w:rPr>
      </w:pPr>
      <w:r w:rsidRPr="00310D49">
        <w:rPr>
          <w:lang w:val="fr-FR"/>
        </w:rPr>
        <w:t>359.</w:t>
      </w:r>
      <w:r w:rsidRPr="00310D49">
        <w:rPr>
          <w:lang w:val="fr-FR"/>
        </w:rPr>
        <w:tab/>
        <w:t>La Déclaration d</w:t>
      </w:r>
      <w:r w:rsidR="0035332C">
        <w:rPr>
          <w:lang w:val="fr-FR"/>
        </w:rPr>
        <w:t>’</w:t>
      </w:r>
      <w:r w:rsidRPr="00310D49">
        <w:rPr>
          <w:lang w:val="fr-FR"/>
        </w:rPr>
        <w:t>indépendance confirme l</w:t>
      </w:r>
      <w:r w:rsidR="0035332C">
        <w:rPr>
          <w:lang w:val="fr-FR"/>
        </w:rPr>
        <w:t>’</w:t>
      </w:r>
      <w:r w:rsidRPr="00310D49">
        <w:rPr>
          <w:lang w:val="fr-FR"/>
        </w:rPr>
        <w:t>adhésion de l</w:t>
      </w:r>
      <w:r w:rsidR="0035332C">
        <w:rPr>
          <w:lang w:val="fr-FR"/>
        </w:rPr>
        <w:t>’</w:t>
      </w:r>
      <w:r w:rsidRPr="00310D49">
        <w:rPr>
          <w:lang w:val="fr-FR"/>
        </w:rPr>
        <w:t>État de Palestine aux principes et objectifs de l</w:t>
      </w:r>
      <w:r w:rsidR="0035332C">
        <w:rPr>
          <w:lang w:val="fr-FR"/>
        </w:rPr>
        <w:t>’</w:t>
      </w:r>
      <w:r w:rsidRPr="00310D49">
        <w:rPr>
          <w:lang w:val="fr-FR"/>
        </w:rPr>
        <w:t>Organisation des Nations Unies. En outre, l</w:t>
      </w:r>
      <w:r w:rsidR="0035332C">
        <w:rPr>
          <w:lang w:val="fr-FR"/>
        </w:rPr>
        <w:t>’</w:t>
      </w:r>
      <w:r w:rsidRPr="00310D49">
        <w:rPr>
          <w:lang w:val="fr-FR"/>
        </w:rPr>
        <w:t>article 150 du Code pénal dispose que tout écrit, discours ou acte qui a pour objectif ou pour résultat l</w:t>
      </w:r>
      <w:r w:rsidR="0035332C">
        <w:rPr>
          <w:lang w:val="fr-FR"/>
        </w:rPr>
        <w:t>’</w:t>
      </w:r>
      <w:r w:rsidRPr="00310D49">
        <w:rPr>
          <w:lang w:val="fr-FR"/>
        </w:rPr>
        <w:t>incitation au fanatisme religieux ou racial ou au conflit entre les différentes communautés et composantes de la nation est passible d</w:t>
      </w:r>
      <w:r w:rsidR="0035332C">
        <w:rPr>
          <w:lang w:val="fr-FR"/>
        </w:rPr>
        <w:t>’</w:t>
      </w:r>
      <w:r w:rsidRPr="00310D49">
        <w:rPr>
          <w:lang w:val="fr-FR"/>
        </w:rPr>
        <w:t>une peine d</w:t>
      </w:r>
      <w:r w:rsidR="0035332C">
        <w:rPr>
          <w:lang w:val="fr-FR"/>
        </w:rPr>
        <w:t>’</w:t>
      </w:r>
      <w:r w:rsidRPr="00310D49">
        <w:rPr>
          <w:lang w:val="fr-FR"/>
        </w:rPr>
        <w:t>emprisonnement et d</w:t>
      </w:r>
      <w:r w:rsidR="0035332C">
        <w:rPr>
          <w:lang w:val="fr-FR"/>
        </w:rPr>
        <w:t>’</w:t>
      </w:r>
      <w:r w:rsidRPr="00310D49">
        <w:rPr>
          <w:lang w:val="fr-FR"/>
        </w:rPr>
        <w:t xml:space="preserve">une amende. </w:t>
      </w:r>
    </w:p>
    <w:p w14:paraId="3765E462" w14:textId="51FEF520" w:rsidR="00D005FA" w:rsidRPr="00310D49" w:rsidRDefault="00D005FA" w:rsidP="004E0876">
      <w:pPr>
        <w:pStyle w:val="SingleTxtG"/>
        <w:rPr>
          <w:lang w:val="fr-FR"/>
        </w:rPr>
      </w:pPr>
      <w:r w:rsidRPr="00310D49">
        <w:rPr>
          <w:lang w:val="fr-FR"/>
        </w:rPr>
        <w:t>360.</w:t>
      </w:r>
      <w:r w:rsidRPr="00310D49">
        <w:rPr>
          <w:lang w:val="fr-FR"/>
        </w:rPr>
        <w:tab/>
        <w:t>Dans le même ordre d</w:t>
      </w:r>
      <w:r w:rsidR="0035332C">
        <w:rPr>
          <w:lang w:val="fr-FR"/>
        </w:rPr>
        <w:t>’</w:t>
      </w:r>
      <w:r w:rsidRPr="00310D49">
        <w:rPr>
          <w:lang w:val="fr-FR"/>
        </w:rPr>
        <w:t>idée, l</w:t>
      </w:r>
      <w:r w:rsidR="0035332C">
        <w:rPr>
          <w:lang w:val="fr-FR"/>
        </w:rPr>
        <w:t>’</w:t>
      </w:r>
      <w:r w:rsidRPr="00310D49">
        <w:rPr>
          <w:lang w:val="fr-FR"/>
        </w:rPr>
        <w:t>article</w:t>
      </w:r>
      <w:r w:rsidR="008C09EA">
        <w:rPr>
          <w:lang w:val="fr-FR"/>
        </w:rPr>
        <w:t> </w:t>
      </w:r>
      <w:r w:rsidRPr="00310D49">
        <w:rPr>
          <w:lang w:val="fr-FR"/>
        </w:rPr>
        <w:t>8</w:t>
      </w:r>
      <w:r w:rsidR="008C09EA">
        <w:rPr>
          <w:lang w:val="fr-FR"/>
        </w:rPr>
        <w:t> </w:t>
      </w:r>
      <w:r w:rsidRPr="00310D49">
        <w:rPr>
          <w:lang w:val="fr-FR"/>
        </w:rPr>
        <w:t>d) de la loi sur les publications et l</w:t>
      </w:r>
      <w:r w:rsidR="0035332C">
        <w:rPr>
          <w:lang w:val="fr-FR"/>
        </w:rPr>
        <w:t>’</w:t>
      </w:r>
      <w:r w:rsidRPr="00310D49">
        <w:rPr>
          <w:lang w:val="fr-FR"/>
        </w:rPr>
        <w:t>édition précise que le journaliste doit s</w:t>
      </w:r>
      <w:r w:rsidR="0035332C">
        <w:rPr>
          <w:lang w:val="fr-FR"/>
        </w:rPr>
        <w:t>’</w:t>
      </w:r>
      <w:r w:rsidRPr="00310D49">
        <w:rPr>
          <w:lang w:val="fr-FR"/>
        </w:rPr>
        <w:t>abstenir de publier toute information susceptible d</w:t>
      </w:r>
      <w:r w:rsidR="0035332C">
        <w:rPr>
          <w:lang w:val="fr-FR"/>
        </w:rPr>
        <w:t>’</w:t>
      </w:r>
      <w:r w:rsidRPr="00310D49">
        <w:rPr>
          <w:lang w:val="fr-FR"/>
        </w:rPr>
        <w:t>attiser la violence, le fanatisme et la haine ou d</w:t>
      </w:r>
      <w:r w:rsidR="0035332C">
        <w:rPr>
          <w:lang w:val="fr-FR"/>
        </w:rPr>
        <w:t>’</w:t>
      </w:r>
      <w:r w:rsidRPr="00310D49">
        <w:rPr>
          <w:lang w:val="fr-FR"/>
        </w:rPr>
        <w:t>inciter au racisme et au confessionnalisme, tandis que l</w:t>
      </w:r>
      <w:r w:rsidR="0035332C">
        <w:rPr>
          <w:lang w:val="fr-FR"/>
        </w:rPr>
        <w:t>’</w:t>
      </w:r>
      <w:r w:rsidRPr="00310D49">
        <w:rPr>
          <w:lang w:val="fr-FR"/>
        </w:rPr>
        <w:t>article 37 de ladite loi interdit les articles ou les matériels susceptibles de dénigrer les religions et les confessions dont la liberté est garantie par la loi, ainsi que les articles susceptibles de semer la haine, la discorde et les dissensions entre les membres de la société.</w:t>
      </w:r>
    </w:p>
    <w:p w14:paraId="5AF75A24" w14:textId="76AC0347" w:rsidR="00D005FA" w:rsidRPr="00310D49" w:rsidRDefault="00D005FA" w:rsidP="004E0876">
      <w:pPr>
        <w:pStyle w:val="SingleTxtG"/>
        <w:rPr>
          <w:lang w:val="fr-FR"/>
        </w:rPr>
      </w:pPr>
      <w:r w:rsidRPr="00310D49">
        <w:rPr>
          <w:lang w:val="fr-FR"/>
        </w:rPr>
        <w:t>361.</w:t>
      </w:r>
      <w:r w:rsidRPr="00310D49">
        <w:rPr>
          <w:lang w:val="fr-FR"/>
        </w:rPr>
        <w:tab/>
        <w:t>En outre, l</w:t>
      </w:r>
      <w:r w:rsidR="0035332C">
        <w:rPr>
          <w:lang w:val="fr-FR"/>
        </w:rPr>
        <w:t>’</w:t>
      </w:r>
      <w:r w:rsidRPr="00310D49">
        <w:rPr>
          <w:lang w:val="fr-FR"/>
        </w:rPr>
        <w:t>article 24 de la loi n</w:t>
      </w:r>
      <w:r w:rsidR="008C09EA">
        <w:rPr>
          <w:vertAlign w:val="superscript"/>
          <w:lang w:val="fr-FR"/>
        </w:rPr>
        <w:t>o</w:t>
      </w:r>
      <w:r w:rsidR="008C09EA" w:rsidRPr="008C09EA">
        <w:rPr>
          <w:lang w:val="fr-FR"/>
        </w:rPr>
        <w:t> </w:t>
      </w:r>
      <w:r w:rsidRPr="00310D49">
        <w:rPr>
          <w:lang w:val="fr-FR"/>
        </w:rPr>
        <w:t>10 de 2018 sur la cybercriminalité prévoit que quiconque crée un site Web, une application ou un compte électronique ou diffuse des informations en ligne ou sur tout autre média informatique, en vue de propager des informations exacerbant des tensions raciales et visant à promouvoir la discrimination raciale contre un groupe particulier pour des motifs liés à la race, à la confession, à la couleur de peau, à une caractéristique physique ou au handicap, est puni d</w:t>
      </w:r>
      <w:r w:rsidR="0035332C">
        <w:rPr>
          <w:lang w:val="fr-FR"/>
        </w:rPr>
        <w:t>’</w:t>
      </w:r>
      <w:r w:rsidRPr="00310D49">
        <w:rPr>
          <w:lang w:val="fr-FR"/>
        </w:rPr>
        <w:t>une peine d</w:t>
      </w:r>
      <w:r w:rsidR="0035332C">
        <w:rPr>
          <w:lang w:val="fr-FR"/>
        </w:rPr>
        <w:t>’</w:t>
      </w:r>
      <w:r w:rsidRPr="00310D49">
        <w:rPr>
          <w:lang w:val="fr-FR"/>
        </w:rPr>
        <w:t xml:space="preserve">emprisonnement et/ou </w:t>
      </w:r>
      <w:r w:rsidR="008C09EA">
        <w:rPr>
          <w:lang w:val="fr-FR"/>
        </w:rPr>
        <w:t>d</w:t>
      </w:r>
      <w:r w:rsidR="0035332C">
        <w:rPr>
          <w:lang w:val="fr-FR"/>
        </w:rPr>
        <w:t>’</w:t>
      </w:r>
      <w:r w:rsidRPr="00310D49">
        <w:rPr>
          <w:lang w:val="fr-FR"/>
        </w:rPr>
        <w:t xml:space="preserve">une amende. </w:t>
      </w:r>
    </w:p>
    <w:p w14:paraId="5E4A0F69" w14:textId="6455D6D1" w:rsidR="00D005FA" w:rsidRPr="00310D49" w:rsidRDefault="00D005FA" w:rsidP="004E0876">
      <w:pPr>
        <w:pStyle w:val="SingleTxtG"/>
        <w:rPr>
          <w:lang w:val="fr-FR"/>
        </w:rPr>
      </w:pPr>
      <w:r w:rsidRPr="00310D49">
        <w:rPr>
          <w:lang w:val="fr-FR"/>
        </w:rPr>
        <w:t>362.</w:t>
      </w:r>
      <w:r w:rsidRPr="00310D49">
        <w:rPr>
          <w:lang w:val="fr-FR"/>
        </w:rPr>
        <w:tab/>
        <w:t>L</w:t>
      </w:r>
      <w:r w:rsidR="0035332C">
        <w:rPr>
          <w:lang w:val="fr-FR"/>
        </w:rPr>
        <w:t>’</w:t>
      </w:r>
      <w:r w:rsidRPr="00310D49">
        <w:rPr>
          <w:lang w:val="fr-FR"/>
        </w:rPr>
        <w:t>article 66 du décret-loi relatif aux élections générales interdit le recours, dans le cadre d</w:t>
      </w:r>
      <w:r w:rsidR="0035332C">
        <w:rPr>
          <w:lang w:val="fr-FR"/>
        </w:rPr>
        <w:t>’</w:t>
      </w:r>
      <w:r w:rsidRPr="00310D49">
        <w:rPr>
          <w:lang w:val="fr-FR"/>
        </w:rPr>
        <w:t>une campagne électorale, aux discours, aux déclarations, aux communiqués ou aux affiches électorales à des fins d</w:t>
      </w:r>
      <w:r w:rsidR="0035332C">
        <w:rPr>
          <w:lang w:val="fr-FR"/>
        </w:rPr>
        <w:t>’</w:t>
      </w:r>
      <w:r w:rsidRPr="00310D49">
        <w:rPr>
          <w:lang w:val="fr-FR"/>
        </w:rPr>
        <w:t>incitation ou de dénigrement d</w:t>
      </w:r>
      <w:r w:rsidR="0035332C">
        <w:rPr>
          <w:lang w:val="fr-FR"/>
        </w:rPr>
        <w:t>’</w:t>
      </w:r>
      <w:r w:rsidRPr="00310D49">
        <w:rPr>
          <w:lang w:val="fr-FR"/>
        </w:rPr>
        <w:t>autres candidats, en raison de considérations fondées sur le sexe, la religion, la caste, la profession ou le handicap ou suscitant des dissensions portant atteinte à l</w:t>
      </w:r>
      <w:r w:rsidR="0035332C">
        <w:rPr>
          <w:lang w:val="fr-FR"/>
        </w:rPr>
        <w:t>’</w:t>
      </w:r>
      <w:r w:rsidRPr="00310D49">
        <w:rPr>
          <w:lang w:val="fr-FR"/>
        </w:rPr>
        <w:t xml:space="preserve">unité du peuple palestinien. </w:t>
      </w:r>
    </w:p>
    <w:p w14:paraId="5A3E2468" w14:textId="64D02134" w:rsidR="00D005FA" w:rsidRPr="00310D49" w:rsidRDefault="00D005FA" w:rsidP="004E0876">
      <w:pPr>
        <w:pStyle w:val="SingleTxtG"/>
        <w:rPr>
          <w:lang w:val="fr-FR"/>
        </w:rPr>
      </w:pPr>
      <w:r w:rsidRPr="00310D49">
        <w:rPr>
          <w:lang w:val="fr-FR"/>
        </w:rPr>
        <w:t>363.</w:t>
      </w:r>
      <w:r w:rsidRPr="00310D49">
        <w:rPr>
          <w:lang w:val="fr-FR"/>
        </w:rPr>
        <w:tab/>
        <w:t>À l</w:t>
      </w:r>
      <w:r w:rsidR="0035332C">
        <w:rPr>
          <w:lang w:val="fr-FR"/>
        </w:rPr>
        <w:t>’</w:t>
      </w:r>
      <w:r w:rsidRPr="00310D49">
        <w:rPr>
          <w:lang w:val="fr-FR"/>
        </w:rPr>
        <w:t>heure où l</w:t>
      </w:r>
      <w:r w:rsidR="0035332C">
        <w:rPr>
          <w:lang w:val="fr-FR"/>
        </w:rPr>
        <w:t>’</w:t>
      </w:r>
      <w:r w:rsidRPr="00310D49">
        <w:rPr>
          <w:lang w:val="fr-FR"/>
        </w:rPr>
        <w:t>État de Palestine est sous le joug de l</w:t>
      </w:r>
      <w:r w:rsidR="0035332C">
        <w:rPr>
          <w:lang w:val="fr-FR"/>
        </w:rPr>
        <w:t>’</w:t>
      </w:r>
      <w:r w:rsidRPr="00310D49">
        <w:rPr>
          <w:lang w:val="fr-FR"/>
        </w:rPr>
        <w:t>occupation coloniale israélienne, principale cause de l</w:t>
      </w:r>
      <w:r w:rsidR="0035332C">
        <w:rPr>
          <w:lang w:val="fr-FR"/>
        </w:rPr>
        <w:t>’</w:t>
      </w:r>
      <w:r w:rsidRPr="00310D49">
        <w:rPr>
          <w:lang w:val="fr-FR"/>
        </w:rPr>
        <w:t>incitation à la haine, Israël, puissance occupante, utilise le discours officiel israélien et ses plateformes médiatiques comme un moyen d</w:t>
      </w:r>
      <w:r w:rsidR="0035332C">
        <w:rPr>
          <w:lang w:val="fr-FR"/>
        </w:rPr>
        <w:t>’</w:t>
      </w:r>
      <w:r w:rsidRPr="00310D49">
        <w:rPr>
          <w:lang w:val="fr-FR"/>
        </w:rPr>
        <w:t>inciter à la haine raciale contre les Palestiniens et d</w:t>
      </w:r>
      <w:r w:rsidR="0035332C">
        <w:rPr>
          <w:lang w:val="fr-FR"/>
        </w:rPr>
        <w:t>’</w:t>
      </w:r>
      <w:r w:rsidRPr="00310D49">
        <w:rPr>
          <w:lang w:val="fr-FR"/>
        </w:rPr>
        <w:t>exacerber le racisme contre eux, de diffuser des articles, des</w:t>
      </w:r>
      <w:r w:rsidR="008C09EA">
        <w:rPr>
          <w:lang w:val="fr-FR"/>
        </w:rPr>
        <w:t> </w:t>
      </w:r>
      <w:r w:rsidRPr="00310D49">
        <w:rPr>
          <w:lang w:val="fr-FR"/>
        </w:rPr>
        <w:t>allégations et des idées incendiaires et racistes appelant au meurtre de Palestiniens, et de justifier les violations, les massacres et les crimes commis contre les Palestiniens. Parmi les articles racistes, on peut citer l</w:t>
      </w:r>
      <w:r w:rsidR="0035332C">
        <w:rPr>
          <w:lang w:val="fr-FR"/>
        </w:rPr>
        <w:t>’</w:t>
      </w:r>
      <w:r w:rsidRPr="00310D49">
        <w:rPr>
          <w:lang w:val="fr-FR"/>
        </w:rPr>
        <w:t>article «</w:t>
      </w:r>
      <w:r w:rsidR="008C09EA">
        <w:rPr>
          <w:lang w:val="fr-FR"/>
        </w:rPr>
        <w:t> </w:t>
      </w:r>
      <w:r w:rsidRPr="00310D49">
        <w:rPr>
          <w:lang w:val="fr-FR"/>
        </w:rPr>
        <w:t>Le nettoyage ethnique des Palestiniens a été une victoire pour la justice</w:t>
      </w:r>
      <w:r w:rsidR="008C09EA">
        <w:rPr>
          <w:lang w:val="fr-FR"/>
        </w:rPr>
        <w:t> </w:t>
      </w:r>
      <w:r w:rsidRPr="00310D49">
        <w:rPr>
          <w:lang w:val="fr-FR"/>
        </w:rPr>
        <w:t xml:space="preserve">», publié dans le quotidien </w:t>
      </w:r>
      <w:r w:rsidRPr="00310D49">
        <w:rPr>
          <w:i/>
          <w:iCs/>
          <w:lang w:val="fr-FR"/>
        </w:rPr>
        <w:t>Times of Israel</w:t>
      </w:r>
      <w:r w:rsidRPr="00310D49">
        <w:rPr>
          <w:lang w:val="fr-FR"/>
        </w:rPr>
        <w:t xml:space="preserve"> le 18</w:t>
      </w:r>
      <w:r w:rsidR="008C09EA">
        <w:rPr>
          <w:lang w:val="fr-FR"/>
        </w:rPr>
        <w:t> </w:t>
      </w:r>
      <w:r w:rsidRPr="00310D49">
        <w:rPr>
          <w:lang w:val="fr-FR"/>
        </w:rPr>
        <w:t>mai 2016.</w:t>
      </w:r>
    </w:p>
    <w:p w14:paraId="1D078DE3" w14:textId="1CD58980" w:rsidR="00D005FA" w:rsidRPr="00310D49" w:rsidRDefault="00D005FA" w:rsidP="004E0876">
      <w:pPr>
        <w:pStyle w:val="SingleTxtG"/>
        <w:rPr>
          <w:rFonts w:eastAsia="Calibri"/>
          <w:spacing w:val="-2"/>
          <w:lang w:val="fr-FR"/>
        </w:rPr>
      </w:pPr>
      <w:r w:rsidRPr="00310D49">
        <w:rPr>
          <w:lang w:val="fr-FR"/>
        </w:rPr>
        <w:t>364.</w:t>
      </w:r>
      <w:r w:rsidRPr="00310D49">
        <w:rPr>
          <w:lang w:val="fr-FR"/>
        </w:rPr>
        <w:tab/>
        <w:t>Le discours officiel israélien incite au dénigrement de la lutte du peuple palestinien, en particulier des prisonniers palestiniens. Ce discours vise à ériger en crimes la résistance légitime du peuple palestinien contre l</w:t>
      </w:r>
      <w:r w:rsidR="0035332C">
        <w:rPr>
          <w:lang w:val="fr-FR"/>
        </w:rPr>
        <w:t>’</w:t>
      </w:r>
      <w:r w:rsidRPr="00310D49">
        <w:rPr>
          <w:lang w:val="fr-FR"/>
        </w:rPr>
        <w:t>occupation israélienne et son droit à l</w:t>
      </w:r>
      <w:r w:rsidR="0035332C">
        <w:rPr>
          <w:lang w:val="fr-FR"/>
        </w:rPr>
        <w:t>’</w:t>
      </w:r>
      <w:r w:rsidRPr="00310D49">
        <w:rPr>
          <w:lang w:val="fr-FR"/>
        </w:rPr>
        <w:t>autodétermination, qui est consacré dans des résolutions internationales, et à promouvoir le récit israélien qui qualifie la lutte du peuple palestinien et des prisonniers palestiniens de «</w:t>
      </w:r>
      <w:r w:rsidR="008C09EA">
        <w:rPr>
          <w:lang w:val="fr-FR"/>
        </w:rPr>
        <w:t> </w:t>
      </w:r>
      <w:r w:rsidRPr="00310D49">
        <w:rPr>
          <w:lang w:val="fr-FR"/>
        </w:rPr>
        <w:t>terrorisme</w:t>
      </w:r>
      <w:r w:rsidR="008C09EA">
        <w:rPr>
          <w:lang w:val="fr-FR"/>
        </w:rPr>
        <w:t> </w:t>
      </w:r>
      <w:r w:rsidRPr="00310D49">
        <w:rPr>
          <w:lang w:val="fr-FR"/>
        </w:rPr>
        <w:t>». Israël, Puissance occupante, a lancé une campagne incendiaire contre les allocations versées aux familles des Palestiniens détenus arbitrairement par Israël, sous prétexte que ces allocations sont une forme de soutien au «</w:t>
      </w:r>
      <w:r w:rsidR="008C09EA">
        <w:rPr>
          <w:lang w:val="fr-FR"/>
        </w:rPr>
        <w:t> </w:t>
      </w:r>
      <w:r w:rsidRPr="00310D49">
        <w:rPr>
          <w:lang w:val="fr-FR"/>
        </w:rPr>
        <w:t>terrorisme</w:t>
      </w:r>
      <w:r w:rsidR="008C09EA">
        <w:rPr>
          <w:lang w:val="fr-FR"/>
        </w:rPr>
        <w:t> </w:t>
      </w:r>
      <w:r w:rsidRPr="00310D49">
        <w:rPr>
          <w:lang w:val="fr-FR"/>
        </w:rPr>
        <w:t>». Cette pratique est contraire aux règles du droit international, y compris les Conventions de Genève, dont la Quatrième dispose que «</w:t>
      </w:r>
      <w:r w:rsidR="008C09EA">
        <w:rPr>
          <w:lang w:val="fr-FR"/>
        </w:rPr>
        <w:t> </w:t>
      </w:r>
      <w:r w:rsidRPr="00310D49">
        <w:rPr>
          <w:lang w:val="fr-FR"/>
        </w:rPr>
        <w:t>[l]a Puissance détentrice devra pourvoir à l</w:t>
      </w:r>
      <w:r w:rsidR="0035332C">
        <w:rPr>
          <w:lang w:val="fr-FR"/>
        </w:rPr>
        <w:t>’</w:t>
      </w:r>
      <w:r w:rsidRPr="00310D49">
        <w:rPr>
          <w:lang w:val="fr-FR"/>
        </w:rPr>
        <w:t>entretien des personnes dépendant des internés, si elles sont sans moyens suffisants de subsistance ou incapables de gagner elles-mêmes leur vie</w:t>
      </w:r>
      <w:r w:rsidR="008C09EA">
        <w:rPr>
          <w:lang w:val="fr-FR"/>
        </w:rPr>
        <w:t> </w:t>
      </w:r>
      <w:r w:rsidRPr="00310D49">
        <w:rPr>
          <w:lang w:val="fr-FR"/>
        </w:rPr>
        <w:t>».</w:t>
      </w:r>
    </w:p>
    <w:p w14:paraId="45DB0AB7" w14:textId="7E1084A1" w:rsidR="00D005FA" w:rsidRPr="00310D49" w:rsidRDefault="00D005FA" w:rsidP="009E2AB8">
      <w:pPr>
        <w:pStyle w:val="H1G"/>
        <w:rPr>
          <w:lang w:val="fr-FR"/>
        </w:rPr>
      </w:pPr>
      <w:r w:rsidRPr="00310D49">
        <w:rPr>
          <w:lang w:val="fr-FR"/>
        </w:rPr>
        <w:tab/>
      </w:r>
      <w:r w:rsidRPr="00310D49">
        <w:rPr>
          <w:lang w:val="fr-FR"/>
        </w:rPr>
        <w:tab/>
        <w:t>Article 21</w:t>
      </w:r>
      <w:bookmarkStart w:id="23" w:name="_Toc80715510"/>
      <w:bookmarkEnd w:id="23"/>
    </w:p>
    <w:p w14:paraId="7F36F2BB" w14:textId="519BB904" w:rsidR="00D005FA" w:rsidRPr="00310D49" w:rsidRDefault="00D005FA" w:rsidP="004E0876">
      <w:pPr>
        <w:pStyle w:val="SingleTxtG"/>
        <w:rPr>
          <w:lang w:val="fr-FR"/>
        </w:rPr>
      </w:pPr>
      <w:r w:rsidRPr="00310D49">
        <w:rPr>
          <w:lang w:val="fr-FR"/>
        </w:rPr>
        <w:t>365.</w:t>
      </w:r>
      <w:r w:rsidRPr="00310D49">
        <w:rPr>
          <w:lang w:val="fr-FR"/>
        </w:rPr>
        <w:tab/>
        <w:t>L</w:t>
      </w:r>
      <w:r w:rsidR="0035332C">
        <w:rPr>
          <w:lang w:val="fr-FR"/>
        </w:rPr>
        <w:t>’</w:t>
      </w:r>
      <w:r w:rsidRPr="00310D49">
        <w:rPr>
          <w:lang w:val="fr-FR"/>
        </w:rPr>
        <w:t>article</w:t>
      </w:r>
      <w:r w:rsidR="008C09EA">
        <w:rPr>
          <w:lang w:val="fr-FR"/>
        </w:rPr>
        <w:t> </w:t>
      </w:r>
      <w:r w:rsidRPr="00310D49">
        <w:rPr>
          <w:lang w:val="fr-FR"/>
        </w:rPr>
        <w:t>26 (al</w:t>
      </w:r>
      <w:r w:rsidR="008C09EA">
        <w:rPr>
          <w:lang w:val="fr-FR"/>
        </w:rPr>
        <w:t>. </w:t>
      </w:r>
      <w:r w:rsidRPr="00310D49">
        <w:rPr>
          <w:lang w:val="fr-FR"/>
        </w:rPr>
        <w:t>5) de la Loi fondamentale, telle que modifiée, garantit le droit d</w:t>
      </w:r>
      <w:r w:rsidR="0035332C">
        <w:rPr>
          <w:lang w:val="fr-FR"/>
        </w:rPr>
        <w:t>’</w:t>
      </w:r>
      <w:r w:rsidRPr="00310D49">
        <w:rPr>
          <w:lang w:val="fr-FR"/>
        </w:rPr>
        <w:t>organiser des réunions privées sans présence policière et des réunions, cortèges et rassemblements publics dans les limites fixées par la loi. Ce droit est régi par la loi n</w:t>
      </w:r>
      <w:r w:rsidR="008C09EA" w:rsidRPr="008C09EA">
        <w:rPr>
          <w:vertAlign w:val="superscript"/>
          <w:lang w:val="fr-FR"/>
        </w:rPr>
        <w:t>o</w:t>
      </w:r>
      <w:r w:rsidR="008C09EA">
        <w:rPr>
          <w:lang w:val="fr-FR"/>
        </w:rPr>
        <w:t> </w:t>
      </w:r>
      <w:r w:rsidRPr="00310D49">
        <w:rPr>
          <w:lang w:val="fr-FR"/>
        </w:rPr>
        <w:t>12 de 1998 sur les rassemblements publics selon laquelle le rassemblement public s</w:t>
      </w:r>
      <w:r w:rsidR="0035332C">
        <w:rPr>
          <w:lang w:val="fr-FR"/>
        </w:rPr>
        <w:t>’</w:t>
      </w:r>
      <w:r w:rsidRPr="00310D49">
        <w:rPr>
          <w:lang w:val="fr-FR"/>
        </w:rPr>
        <w:t>entend de « [t]oute réunion publique à laquelle ont été conviées au moins 50</w:t>
      </w:r>
      <w:r w:rsidR="008C09EA">
        <w:rPr>
          <w:lang w:val="fr-FR"/>
        </w:rPr>
        <w:t> </w:t>
      </w:r>
      <w:r w:rsidRPr="00310D49">
        <w:rPr>
          <w:lang w:val="fr-FR"/>
        </w:rPr>
        <w:t>personnes pour se rassembler dans un lieu public ouvert, y compris les places publiques, les places, les stades, les parcs et autres lieux similaires ».</w:t>
      </w:r>
    </w:p>
    <w:p w14:paraId="7A0AF17B" w14:textId="35F522B1" w:rsidR="00D005FA" w:rsidRPr="00310D49" w:rsidRDefault="00D005FA" w:rsidP="004E0876">
      <w:pPr>
        <w:pStyle w:val="SingleTxtG"/>
        <w:rPr>
          <w:lang w:val="fr-FR"/>
        </w:rPr>
      </w:pPr>
      <w:r w:rsidRPr="00310D49">
        <w:rPr>
          <w:lang w:val="fr-FR"/>
        </w:rPr>
        <w:lastRenderedPageBreak/>
        <w:t>366.</w:t>
      </w:r>
      <w:r w:rsidRPr="00310D49">
        <w:rPr>
          <w:lang w:val="fr-FR"/>
        </w:rPr>
        <w:tab/>
        <w:t>Tout rassemblement sur la voie publique doit faire l</w:t>
      </w:r>
      <w:r w:rsidR="0035332C">
        <w:rPr>
          <w:lang w:val="fr-FR"/>
        </w:rPr>
        <w:t>’</w:t>
      </w:r>
      <w:r w:rsidRPr="00310D49">
        <w:rPr>
          <w:lang w:val="fr-FR"/>
        </w:rPr>
        <w:t>objet d</w:t>
      </w:r>
      <w:r w:rsidR="0035332C">
        <w:rPr>
          <w:lang w:val="fr-FR"/>
        </w:rPr>
        <w:t>’</w:t>
      </w:r>
      <w:r w:rsidRPr="00310D49">
        <w:rPr>
          <w:lang w:val="fr-FR"/>
        </w:rPr>
        <w:t>une déclaration écrite préalable adressée au Gouverneur ou au directeur de la police au moins 48</w:t>
      </w:r>
      <w:r w:rsidR="008C09EA">
        <w:rPr>
          <w:lang w:val="fr-FR"/>
        </w:rPr>
        <w:t> </w:t>
      </w:r>
      <w:r w:rsidRPr="00310D49">
        <w:rPr>
          <w:lang w:val="fr-FR"/>
        </w:rPr>
        <w:t>heures avant la tenue dudit rassemblement. La déclaration préalable doit préciser les informations suivantes</w:t>
      </w:r>
      <w:r w:rsidR="00A53B5A">
        <w:rPr>
          <w:lang w:val="fr-FR"/>
        </w:rPr>
        <w:t> </w:t>
      </w:r>
      <w:r w:rsidRPr="00310D49">
        <w:rPr>
          <w:lang w:val="fr-FR"/>
        </w:rPr>
        <w:t>: le lieu, l</w:t>
      </w:r>
      <w:r w:rsidR="0035332C">
        <w:rPr>
          <w:lang w:val="fr-FR"/>
        </w:rPr>
        <w:t>’</w:t>
      </w:r>
      <w:r w:rsidRPr="00310D49">
        <w:rPr>
          <w:lang w:val="fr-FR"/>
        </w:rPr>
        <w:t>heure et l</w:t>
      </w:r>
      <w:r w:rsidR="0035332C">
        <w:rPr>
          <w:lang w:val="fr-FR"/>
        </w:rPr>
        <w:t>’</w:t>
      </w:r>
      <w:r w:rsidRPr="00310D49">
        <w:rPr>
          <w:lang w:val="fr-FR"/>
        </w:rPr>
        <w:t>objet du rassemblement. Le Gouverneur ou le directeur de la police a le droit d</w:t>
      </w:r>
      <w:r w:rsidR="0035332C">
        <w:rPr>
          <w:lang w:val="fr-FR"/>
        </w:rPr>
        <w:t>’</w:t>
      </w:r>
      <w:r w:rsidRPr="00310D49">
        <w:rPr>
          <w:lang w:val="fr-FR"/>
        </w:rPr>
        <w:t>établir un règlement fixant la durée ou l</w:t>
      </w:r>
      <w:r w:rsidR="0035332C">
        <w:rPr>
          <w:lang w:val="fr-FR"/>
        </w:rPr>
        <w:t>’</w:t>
      </w:r>
      <w:r w:rsidRPr="00310D49">
        <w:rPr>
          <w:lang w:val="fr-FR"/>
        </w:rPr>
        <w:t>itinéraire du rassemblement dans le but d</w:t>
      </w:r>
      <w:r w:rsidR="0035332C">
        <w:rPr>
          <w:lang w:val="fr-FR"/>
        </w:rPr>
        <w:t>’</w:t>
      </w:r>
      <w:r w:rsidRPr="00310D49">
        <w:rPr>
          <w:lang w:val="fr-FR"/>
        </w:rPr>
        <w:t xml:space="preserve">encadrer le trafic routier, à condition que les organisateurs reçoivent ce règlement par écrit au plus tard </w:t>
      </w:r>
      <w:r w:rsidR="008C09EA">
        <w:rPr>
          <w:lang w:val="fr-FR"/>
        </w:rPr>
        <w:t>vingt-quatre</w:t>
      </w:r>
      <w:r w:rsidRPr="00310D49">
        <w:rPr>
          <w:lang w:val="fr-FR"/>
        </w:rPr>
        <w:t xml:space="preserve"> heures après réception de la notification. Au cas où les organisateurs ne reçoivent pas de réponse écrite, ils ont le droit de tenir le rassemblement sur la voie publique à la date prévue, conformément à ce qui est indiqué dans la déclaration préalable.</w:t>
      </w:r>
    </w:p>
    <w:p w14:paraId="10DEFE23" w14:textId="5F885B4F" w:rsidR="00D005FA" w:rsidRPr="00310D49" w:rsidRDefault="00D005FA" w:rsidP="004E0876">
      <w:pPr>
        <w:pStyle w:val="SingleTxtG"/>
        <w:rPr>
          <w:lang w:val="fr-FR"/>
        </w:rPr>
      </w:pPr>
      <w:r w:rsidRPr="00310D49">
        <w:rPr>
          <w:lang w:val="fr-FR"/>
        </w:rPr>
        <w:t>367.</w:t>
      </w:r>
      <w:r w:rsidRPr="00310D49">
        <w:rPr>
          <w:lang w:val="fr-FR"/>
        </w:rPr>
        <w:tab/>
        <w:t>L</w:t>
      </w:r>
      <w:r w:rsidR="0035332C">
        <w:rPr>
          <w:lang w:val="fr-FR"/>
        </w:rPr>
        <w:t>’</w:t>
      </w:r>
      <w:r w:rsidRPr="00310D49">
        <w:rPr>
          <w:lang w:val="fr-FR"/>
        </w:rPr>
        <w:t>arrêté du Ministre de l</w:t>
      </w:r>
      <w:r w:rsidR="0035332C">
        <w:rPr>
          <w:lang w:val="fr-FR"/>
        </w:rPr>
        <w:t>’</w:t>
      </w:r>
      <w:r w:rsidRPr="00310D49">
        <w:rPr>
          <w:lang w:val="fr-FR"/>
        </w:rPr>
        <w:t>intérieur n</w:t>
      </w:r>
      <w:r w:rsidR="001E6349" w:rsidRPr="001E6349">
        <w:rPr>
          <w:vertAlign w:val="superscript"/>
          <w:lang w:val="fr-FR"/>
        </w:rPr>
        <w:t>o</w:t>
      </w:r>
      <w:r w:rsidR="001E6349">
        <w:rPr>
          <w:lang w:val="fr-FR"/>
        </w:rPr>
        <w:t> </w:t>
      </w:r>
      <w:r w:rsidRPr="00310D49">
        <w:rPr>
          <w:lang w:val="fr-FR"/>
        </w:rPr>
        <w:t>1 de 2000 portant règlement d</w:t>
      </w:r>
      <w:r w:rsidR="0035332C">
        <w:rPr>
          <w:lang w:val="fr-FR"/>
        </w:rPr>
        <w:t>’</w:t>
      </w:r>
      <w:r w:rsidRPr="00310D49">
        <w:rPr>
          <w:lang w:val="fr-FR"/>
        </w:rPr>
        <w:t>application de la loi sur les rassemblements sur la voie publique prévoit des mesures réglementaires, notamment celle autorisant le chef de la police à demander une rencontre avec les organisateurs pour discuter des détails du rassemblement sur la voie publique, s</w:t>
      </w:r>
      <w:r w:rsidR="0035332C">
        <w:rPr>
          <w:lang w:val="fr-FR"/>
        </w:rPr>
        <w:t>’</w:t>
      </w:r>
      <w:r w:rsidRPr="00310D49">
        <w:rPr>
          <w:lang w:val="fr-FR"/>
        </w:rPr>
        <w:t>assurer que le lieu de rassemblement prévu est éloigné des zones en proie à des tensions ou que le rassemblement n</w:t>
      </w:r>
      <w:r w:rsidR="0035332C">
        <w:rPr>
          <w:lang w:val="fr-FR"/>
        </w:rPr>
        <w:t>’</w:t>
      </w:r>
      <w:r w:rsidRPr="00310D49">
        <w:rPr>
          <w:lang w:val="fr-FR"/>
        </w:rPr>
        <w:t>est pas préjudiciable à la loi et à l</w:t>
      </w:r>
      <w:r w:rsidR="0035332C">
        <w:rPr>
          <w:lang w:val="fr-FR"/>
        </w:rPr>
        <w:t>’</w:t>
      </w:r>
      <w:r w:rsidRPr="00310D49">
        <w:rPr>
          <w:lang w:val="fr-FR"/>
        </w:rPr>
        <w:t xml:space="preserve">ordre public. </w:t>
      </w:r>
      <w:r w:rsidR="00C308F4" w:rsidRPr="00C308F4">
        <w:rPr>
          <w:lang w:val="fr-FR"/>
        </w:rPr>
        <w:t>Il appartient au chef de la police de mettre en place</w:t>
      </w:r>
      <w:r w:rsidR="00C308F4" w:rsidRPr="00C308F4">
        <w:rPr>
          <w:lang w:val="fr-FR"/>
        </w:rPr>
        <w:t xml:space="preserve"> </w:t>
      </w:r>
      <w:r w:rsidRPr="00310D49">
        <w:rPr>
          <w:lang w:val="fr-FR"/>
        </w:rPr>
        <w:t>des contrôles de sécurité pour protéger la population et assurer la sécurité publique.</w:t>
      </w:r>
    </w:p>
    <w:p w14:paraId="55C84155" w14:textId="3731F79F" w:rsidR="00D005FA" w:rsidRPr="00310D49" w:rsidRDefault="00D005FA" w:rsidP="004E0876">
      <w:pPr>
        <w:pStyle w:val="SingleTxtG"/>
        <w:rPr>
          <w:lang w:val="fr-FR"/>
        </w:rPr>
      </w:pPr>
      <w:r w:rsidRPr="00310D49">
        <w:rPr>
          <w:lang w:val="fr-FR"/>
        </w:rPr>
        <w:t>368.</w:t>
      </w:r>
      <w:r w:rsidRPr="00310D49">
        <w:rPr>
          <w:lang w:val="fr-FR"/>
        </w:rPr>
        <w:tab/>
        <w:t>Le règlement d</w:t>
      </w:r>
      <w:r w:rsidR="0035332C">
        <w:rPr>
          <w:lang w:val="fr-FR"/>
        </w:rPr>
        <w:t>’</w:t>
      </w:r>
      <w:r w:rsidRPr="00310D49">
        <w:rPr>
          <w:lang w:val="fr-FR"/>
        </w:rPr>
        <w:t>application dispose que la réponse de la police à la déclaration écrite préalable d</w:t>
      </w:r>
      <w:r w:rsidR="0035332C">
        <w:rPr>
          <w:lang w:val="fr-FR"/>
        </w:rPr>
        <w:t>’</w:t>
      </w:r>
      <w:r w:rsidRPr="00310D49">
        <w:rPr>
          <w:lang w:val="fr-FR"/>
        </w:rPr>
        <w:t>un rassemblement sur la voie publique doit prendre la forme d</w:t>
      </w:r>
      <w:r w:rsidR="0035332C">
        <w:rPr>
          <w:lang w:val="fr-FR"/>
        </w:rPr>
        <w:t>’</w:t>
      </w:r>
      <w:r w:rsidRPr="00310D49">
        <w:rPr>
          <w:lang w:val="fr-FR"/>
        </w:rPr>
        <w:t>une autorisation écrite précisant les conditions et procédures de sécurité prévues par le chef de la police, ainsi que toute autre condition. La police a également le droit de mettre fin à un rassemblement et de le disperser conformément aux dispositions de la loi, lorsque le rassemblement en question s</w:t>
      </w:r>
      <w:r w:rsidR="0035332C">
        <w:rPr>
          <w:lang w:val="fr-FR"/>
        </w:rPr>
        <w:t>’</w:t>
      </w:r>
      <w:r w:rsidRPr="00310D49">
        <w:rPr>
          <w:lang w:val="fr-FR"/>
        </w:rPr>
        <w:t>écarte de l</w:t>
      </w:r>
      <w:r w:rsidR="0035332C">
        <w:rPr>
          <w:lang w:val="fr-FR"/>
        </w:rPr>
        <w:t>’</w:t>
      </w:r>
      <w:r w:rsidRPr="00310D49">
        <w:rPr>
          <w:lang w:val="fr-FR"/>
        </w:rPr>
        <w:t xml:space="preserve">objet pour lequel il a été organisé, ne respecte pas les conditions dans lesquelles il a été autorisé ou entraîne </w:t>
      </w:r>
      <w:r w:rsidRPr="007C5787">
        <w:rPr>
          <w:lang w:val="fr-FR"/>
        </w:rPr>
        <w:t>des troubles</w:t>
      </w:r>
      <w:r w:rsidRPr="00310D49">
        <w:rPr>
          <w:lang w:val="fr-FR"/>
        </w:rPr>
        <w:t xml:space="preserve"> à la sécurité et à l</w:t>
      </w:r>
      <w:r w:rsidR="0035332C">
        <w:rPr>
          <w:lang w:val="fr-FR"/>
        </w:rPr>
        <w:t>’</w:t>
      </w:r>
      <w:r w:rsidRPr="00310D49">
        <w:rPr>
          <w:lang w:val="fr-FR"/>
        </w:rPr>
        <w:t>ordre public, ou lorsque des débordements qui menacent la sécurité des citoyens ou leurs biens sont observés en marge des cortèges.</w:t>
      </w:r>
    </w:p>
    <w:p w14:paraId="7E7F31B1" w14:textId="54C9DC16" w:rsidR="00D005FA" w:rsidRPr="00310D49" w:rsidRDefault="00D005FA" w:rsidP="004E0876">
      <w:pPr>
        <w:pStyle w:val="SingleTxtG"/>
        <w:rPr>
          <w:lang w:val="fr-FR"/>
        </w:rPr>
      </w:pPr>
      <w:r w:rsidRPr="00310D49">
        <w:rPr>
          <w:lang w:val="fr-FR"/>
        </w:rPr>
        <w:t>369.</w:t>
      </w:r>
      <w:r w:rsidRPr="00310D49">
        <w:rPr>
          <w:lang w:val="fr-FR"/>
        </w:rPr>
        <w:tab/>
        <w:t>Le Code de conduite sur le recours à la force et l</w:t>
      </w:r>
      <w:r w:rsidR="0035332C">
        <w:rPr>
          <w:lang w:val="fr-FR"/>
        </w:rPr>
        <w:t>’</w:t>
      </w:r>
      <w:r w:rsidRPr="00310D49">
        <w:rPr>
          <w:lang w:val="fr-FR"/>
        </w:rPr>
        <w:t>utilisation des armes à feu à l</w:t>
      </w:r>
      <w:r w:rsidR="0035332C">
        <w:rPr>
          <w:lang w:val="fr-FR"/>
        </w:rPr>
        <w:t>’</w:t>
      </w:r>
      <w:r w:rsidRPr="00310D49">
        <w:rPr>
          <w:lang w:val="fr-FR"/>
        </w:rPr>
        <w:t>intention des membres des forces de sécurité a tenu compte des normes internationales et des principes de nécessité, de proportionnalité, de gradualité et de responsabilité, conciliant ainsi les impératifs du maintien de la sécurité et de l</w:t>
      </w:r>
      <w:r w:rsidR="0035332C">
        <w:rPr>
          <w:lang w:val="fr-FR"/>
        </w:rPr>
        <w:t>’</w:t>
      </w:r>
      <w:r w:rsidRPr="00310D49">
        <w:rPr>
          <w:lang w:val="fr-FR"/>
        </w:rPr>
        <w:t>ordre public et les impératifs de la sécurité des citoyens à travers l</w:t>
      </w:r>
      <w:r w:rsidR="0035332C">
        <w:rPr>
          <w:lang w:val="fr-FR"/>
        </w:rPr>
        <w:t>’</w:t>
      </w:r>
      <w:r w:rsidRPr="00310D49">
        <w:rPr>
          <w:lang w:val="fr-FR"/>
        </w:rPr>
        <w:t>interdiction de l</w:t>
      </w:r>
      <w:r w:rsidR="0035332C">
        <w:rPr>
          <w:lang w:val="fr-FR"/>
        </w:rPr>
        <w:t>’</w:t>
      </w:r>
      <w:r w:rsidRPr="00310D49">
        <w:rPr>
          <w:lang w:val="fr-FR"/>
        </w:rPr>
        <w:t>usage arbitraire de la force et des armes à feu. À cet égard, l</w:t>
      </w:r>
      <w:r w:rsidR="0035332C">
        <w:rPr>
          <w:lang w:val="fr-FR"/>
        </w:rPr>
        <w:t>’</w:t>
      </w:r>
      <w:r w:rsidRPr="00310D49">
        <w:rPr>
          <w:lang w:val="fr-FR"/>
        </w:rPr>
        <w:t>article</w:t>
      </w:r>
      <w:r w:rsidR="001E6349">
        <w:rPr>
          <w:lang w:val="fr-FR"/>
        </w:rPr>
        <w:t> </w:t>
      </w:r>
      <w:r w:rsidRPr="00310D49">
        <w:rPr>
          <w:lang w:val="fr-FR"/>
        </w:rPr>
        <w:t>20 du Code de conduite précise les procédures de dispersion des rassemblements non violents, tandis que l</w:t>
      </w:r>
      <w:r w:rsidR="0035332C">
        <w:rPr>
          <w:lang w:val="fr-FR"/>
        </w:rPr>
        <w:t>’</w:t>
      </w:r>
      <w:r w:rsidRPr="00310D49">
        <w:rPr>
          <w:lang w:val="fr-FR"/>
        </w:rPr>
        <w:t>article</w:t>
      </w:r>
      <w:r w:rsidR="001E6349">
        <w:rPr>
          <w:lang w:val="fr-FR"/>
        </w:rPr>
        <w:t> </w:t>
      </w:r>
      <w:r w:rsidRPr="00310D49">
        <w:rPr>
          <w:lang w:val="fr-FR"/>
        </w:rPr>
        <w:t>22 dudit Code de conduite prévoit les procédures de dispersion des rassemblements illégaux.</w:t>
      </w:r>
    </w:p>
    <w:p w14:paraId="70A24F01" w14:textId="0F28115D" w:rsidR="00D005FA" w:rsidRPr="00310D49" w:rsidRDefault="00D005FA" w:rsidP="004E0876">
      <w:pPr>
        <w:pStyle w:val="SingleTxtG"/>
        <w:rPr>
          <w:lang w:val="fr-FR"/>
        </w:rPr>
      </w:pPr>
      <w:r w:rsidRPr="00310D49">
        <w:rPr>
          <w:lang w:val="fr-FR"/>
        </w:rPr>
        <w:t>370.</w:t>
      </w:r>
      <w:r w:rsidRPr="00310D49">
        <w:rPr>
          <w:lang w:val="fr-FR"/>
        </w:rPr>
        <w:tab/>
        <w:t>Dans le cadre du dispositif d</w:t>
      </w:r>
      <w:r w:rsidR="0035332C">
        <w:rPr>
          <w:lang w:val="fr-FR"/>
        </w:rPr>
        <w:t>’</w:t>
      </w:r>
      <w:r w:rsidRPr="00310D49">
        <w:rPr>
          <w:lang w:val="fr-FR"/>
        </w:rPr>
        <w:t>application du principe de responsabilité et suite aux événements qui se sont déroulés lors du sit-in devant le complexe judiciaire d</w:t>
      </w:r>
      <w:r w:rsidR="0035332C">
        <w:rPr>
          <w:lang w:val="fr-FR"/>
        </w:rPr>
        <w:t>’</w:t>
      </w:r>
      <w:r w:rsidRPr="00310D49">
        <w:rPr>
          <w:lang w:val="fr-FR"/>
        </w:rPr>
        <w:t>Al-Bireh et de Bethléem en mars 2017, une commission d</w:t>
      </w:r>
      <w:r w:rsidR="0035332C">
        <w:rPr>
          <w:lang w:val="fr-FR"/>
        </w:rPr>
        <w:t>’</w:t>
      </w:r>
      <w:r w:rsidRPr="00310D49">
        <w:rPr>
          <w:lang w:val="fr-FR"/>
        </w:rPr>
        <w:t>enquête, composée de membres de la Commission indépendante pour les droits de l</w:t>
      </w:r>
      <w:r w:rsidR="0035332C">
        <w:rPr>
          <w:lang w:val="fr-FR"/>
        </w:rPr>
        <w:t>’</w:t>
      </w:r>
      <w:r w:rsidRPr="00310D49">
        <w:rPr>
          <w:lang w:val="fr-FR"/>
        </w:rPr>
        <w:t>homme et de l</w:t>
      </w:r>
      <w:r w:rsidR="0035332C">
        <w:rPr>
          <w:lang w:val="fr-FR"/>
        </w:rPr>
        <w:t>’</w:t>
      </w:r>
      <w:r w:rsidRPr="00310D49">
        <w:rPr>
          <w:lang w:val="fr-FR"/>
        </w:rPr>
        <w:t>Ordre des avocats, a été constituée par décret du Premier ministre et du Ministre de l</w:t>
      </w:r>
      <w:r w:rsidR="0035332C">
        <w:rPr>
          <w:lang w:val="fr-FR"/>
        </w:rPr>
        <w:t>’</w:t>
      </w:r>
      <w:r w:rsidRPr="00310D49">
        <w:rPr>
          <w:lang w:val="fr-FR"/>
        </w:rPr>
        <w:t>intérieur pour établir la vérité sur ce qui s</w:t>
      </w:r>
      <w:r w:rsidR="0035332C">
        <w:rPr>
          <w:lang w:val="fr-FR"/>
        </w:rPr>
        <w:t>’</w:t>
      </w:r>
      <w:r w:rsidRPr="00310D49">
        <w:rPr>
          <w:lang w:val="fr-FR"/>
        </w:rPr>
        <w:t>était passé ce jour-là. À la lumière des conclusions auxquelles la commission d</w:t>
      </w:r>
      <w:r w:rsidR="0035332C">
        <w:rPr>
          <w:lang w:val="fr-FR"/>
        </w:rPr>
        <w:t>’</w:t>
      </w:r>
      <w:r w:rsidRPr="00310D49">
        <w:rPr>
          <w:lang w:val="fr-FR"/>
        </w:rPr>
        <w:t>enquête est parvenue, le Premier ministre a signé le document relatif à l</w:t>
      </w:r>
      <w:r w:rsidR="0035332C">
        <w:rPr>
          <w:lang w:val="fr-FR"/>
        </w:rPr>
        <w:t>’</w:t>
      </w:r>
      <w:r w:rsidRPr="00310D49">
        <w:rPr>
          <w:lang w:val="fr-FR"/>
        </w:rPr>
        <w:t>application des recommandations de ladite commission sur les événements du « complexe judiciaire ».</w:t>
      </w:r>
    </w:p>
    <w:p w14:paraId="1DBDD55F" w14:textId="168EA756" w:rsidR="00D005FA" w:rsidRPr="00310D49" w:rsidRDefault="00D005FA" w:rsidP="004E0876">
      <w:pPr>
        <w:pStyle w:val="SingleTxtG"/>
        <w:rPr>
          <w:lang w:val="fr-FR"/>
        </w:rPr>
      </w:pPr>
      <w:r w:rsidRPr="00310D49">
        <w:rPr>
          <w:lang w:val="fr-FR"/>
        </w:rPr>
        <w:t>371.</w:t>
      </w:r>
      <w:r w:rsidRPr="00310D49">
        <w:rPr>
          <w:lang w:val="fr-FR"/>
        </w:rPr>
        <w:tab/>
        <w:t>Les différents gouvernorats du pays, en particulier Ramallah, ont connu depuis septembre 2018 une série de protestations publiques contre le décret-loi sur la sécurité sociale. Ces protestations pacifiques ont duré plus de cinq mois pendant lesquels les forces de sécurité avaient fait preuve d</w:t>
      </w:r>
      <w:r w:rsidR="0035332C">
        <w:rPr>
          <w:lang w:val="fr-FR"/>
        </w:rPr>
        <w:t>’</w:t>
      </w:r>
      <w:r w:rsidRPr="00310D49">
        <w:rPr>
          <w:lang w:val="fr-FR"/>
        </w:rPr>
        <w:t>une grande discipline pour faire respecter la liberté de réunion pacifique et d</w:t>
      </w:r>
      <w:r w:rsidR="0035332C">
        <w:rPr>
          <w:lang w:val="fr-FR"/>
        </w:rPr>
        <w:t>’</w:t>
      </w:r>
      <w:r w:rsidRPr="00310D49">
        <w:rPr>
          <w:lang w:val="fr-FR"/>
        </w:rPr>
        <w:t>expression. Aucun incident violent n</w:t>
      </w:r>
      <w:r w:rsidR="0035332C">
        <w:rPr>
          <w:lang w:val="fr-FR"/>
        </w:rPr>
        <w:t>’</w:t>
      </w:r>
      <w:r w:rsidRPr="00310D49">
        <w:rPr>
          <w:lang w:val="fr-FR"/>
        </w:rPr>
        <w:t>a été signalé lors de ces protestations qui se sont soldées fin janvier 2019 par la prise en compte des revendications des manifestants et l</w:t>
      </w:r>
      <w:r w:rsidR="0035332C">
        <w:rPr>
          <w:lang w:val="fr-FR"/>
        </w:rPr>
        <w:t>’</w:t>
      </w:r>
      <w:r w:rsidRPr="00310D49">
        <w:rPr>
          <w:lang w:val="fr-FR"/>
        </w:rPr>
        <w:t>abrogation du décret-loi sur la sécurité sociale.</w:t>
      </w:r>
    </w:p>
    <w:p w14:paraId="16AF68AB" w14:textId="45F9D611" w:rsidR="00D005FA" w:rsidRPr="00310D49" w:rsidRDefault="00D005FA" w:rsidP="004E0876">
      <w:pPr>
        <w:pStyle w:val="SingleTxtG"/>
        <w:rPr>
          <w:lang w:val="fr-FR"/>
        </w:rPr>
      </w:pPr>
      <w:r w:rsidRPr="00310D49">
        <w:rPr>
          <w:lang w:val="fr-FR"/>
        </w:rPr>
        <w:t>372.</w:t>
      </w:r>
      <w:r w:rsidRPr="00310D49">
        <w:rPr>
          <w:lang w:val="fr-FR"/>
        </w:rPr>
        <w:tab/>
        <w:t>En juin 2018, des militants des droits humains ont organisé une manifestation publique pacifique à Bethléem pour appuyer une série de revendications politiques. Pendant cette manifestation, les forces de sécurité ont fait preuve de discipline et se sont retirées dès qu</w:t>
      </w:r>
      <w:r w:rsidR="0035332C">
        <w:rPr>
          <w:lang w:val="fr-FR"/>
        </w:rPr>
        <w:t>’</w:t>
      </w:r>
      <w:r w:rsidRPr="00310D49">
        <w:rPr>
          <w:lang w:val="fr-FR"/>
        </w:rPr>
        <w:t>elles se sont assurées que la sécurité et l</w:t>
      </w:r>
      <w:r w:rsidR="0035332C">
        <w:rPr>
          <w:lang w:val="fr-FR"/>
        </w:rPr>
        <w:t>’</w:t>
      </w:r>
      <w:r w:rsidRPr="00310D49">
        <w:rPr>
          <w:lang w:val="fr-FR"/>
        </w:rPr>
        <w:t>ordre public n</w:t>
      </w:r>
      <w:r w:rsidR="0035332C">
        <w:rPr>
          <w:lang w:val="fr-FR"/>
        </w:rPr>
        <w:t>’</w:t>
      </w:r>
      <w:r w:rsidRPr="00310D49">
        <w:rPr>
          <w:lang w:val="fr-FR"/>
        </w:rPr>
        <w:t>étaient pas menacés ou troublés. Seule la police de la circulation est restée présente pour encadrer le trafic routier et garantir le droit de passage.</w:t>
      </w:r>
    </w:p>
    <w:p w14:paraId="624F22B7" w14:textId="5E449A1F" w:rsidR="00D005FA" w:rsidRPr="00310D49" w:rsidRDefault="00D005FA" w:rsidP="004E0876">
      <w:pPr>
        <w:pStyle w:val="SingleTxtG"/>
        <w:rPr>
          <w:lang w:val="fr-FR"/>
        </w:rPr>
      </w:pPr>
      <w:r w:rsidRPr="00310D49">
        <w:rPr>
          <w:lang w:val="fr-FR"/>
        </w:rPr>
        <w:lastRenderedPageBreak/>
        <w:t>373.</w:t>
      </w:r>
      <w:r w:rsidRPr="00310D49">
        <w:rPr>
          <w:lang w:val="fr-FR"/>
        </w:rPr>
        <w:tab/>
        <w:t xml:space="preserve">Les Palestiniens ont organisé une grande vague de manifestations pacifiques hebdomadaires le long de la clôture qui entoure la bande de Gaza assiégée, exigeant le droit au </w:t>
      </w:r>
      <w:r w:rsidRPr="00C308F4">
        <w:rPr>
          <w:lang w:val="fr-FR"/>
        </w:rPr>
        <w:t xml:space="preserve">retour des réfugiés palestiniens inscrit dans la résolution </w:t>
      </w:r>
      <w:r w:rsidR="00C308F4" w:rsidRPr="00C308F4">
        <w:rPr>
          <w:lang w:val="fr-FR"/>
        </w:rPr>
        <w:t>n</w:t>
      </w:r>
      <w:r w:rsidR="00C308F4" w:rsidRPr="00C308F4">
        <w:rPr>
          <w:vertAlign w:val="superscript"/>
          <w:lang w:val="fr-FR"/>
        </w:rPr>
        <w:t>o</w:t>
      </w:r>
      <w:r w:rsidR="00C308F4" w:rsidRPr="00C308F4">
        <w:rPr>
          <w:lang w:val="fr-FR"/>
        </w:rPr>
        <w:t xml:space="preserve"> 194 </w:t>
      </w:r>
      <w:r w:rsidRPr="00C308F4">
        <w:rPr>
          <w:lang w:val="fr-FR"/>
        </w:rPr>
        <w:t>de l</w:t>
      </w:r>
      <w:r w:rsidR="0035332C">
        <w:rPr>
          <w:lang w:val="fr-FR"/>
        </w:rPr>
        <w:t>’</w:t>
      </w:r>
      <w:r w:rsidRPr="00C308F4">
        <w:rPr>
          <w:lang w:val="fr-FR"/>
        </w:rPr>
        <w:t>Assemblée générale des Nations Unies, et</w:t>
      </w:r>
      <w:r w:rsidRPr="00310D49">
        <w:rPr>
          <w:lang w:val="fr-FR"/>
        </w:rPr>
        <w:t xml:space="preserve"> la levée du blocus illégal imposé par Israël, puissance occupante, à la bande de Gaza. Selon le rapport de la Commission d</w:t>
      </w:r>
      <w:r w:rsidR="0035332C">
        <w:rPr>
          <w:lang w:val="fr-FR"/>
        </w:rPr>
        <w:t>’</w:t>
      </w:r>
      <w:r w:rsidRPr="00310D49">
        <w:rPr>
          <w:lang w:val="fr-FR"/>
        </w:rPr>
        <w:t>enquête indépendante des Nations Unies sur les manifestations à Gaza, les manifestations étaient de «</w:t>
      </w:r>
      <w:r w:rsidR="001E6349">
        <w:rPr>
          <w:lang w:val="fr-FR"/>
        </w:rPr>
        <w:t> </w:t>
      </w:r>
      <w:r w:rsidRPr="00310D49">
        <w:rPr>
          <w:lang w:val="fr-FR"/>
        </w:rPr>
        <w:t>nature civile</w:t>
      </w:r>
      <w:r w:rsidR="001E6349">
        <w:rPr>
          <w:lang w:val="fr-FR"/>
        </w:rPr>
        <w:t> </w:t>
      </w:r>
      <w:r w:rsidRPr="00310D49">
        <w:rPr>
          <w:lang w:val="fr-FR"/>
        </w:rPr>
        <w:t>» et les manifestants n</w:t>
      </w:r>
      <w:r w:rsidR="0035332C">
        <w:rPr>
          <w:lang w:val="fr-FR"/>
        </w:rPr>
        <w:t>’</w:t>
      </w:r>
      <w:r w:rsidRPr="00310D49">
        <w:rPr>
          <w:lang w:val="fr-FR"/>
        </w:rPr>
        <w:t>étaient généralement pas armés, tandis que les forces d</w:t>
      </w:r>
      <w:r w:rsidR="0035332C">
        <w:rPr>
          <w:lang w:val="fr-FR"/>
        </w:rPr>
        <w:t>’</w:t>
      </w:r>
      <w:r w:rsidRPr="00310D49">
        <w:rPr>
          <w:lang w:val="fr-FR"/>
        </w:rPr>
        <w:t>occupation israéliennes ont utilisé une force excessive contre eux, ce qui a fait des milliers de morts et blessés parmi les manifestants, dont des enfants, des femmes, des personnes handicapées, des journalistes et des ambulanciers, qui ont été délibérément pris pour cible.</w:t>
      </w:r>
    </w:p>
    <w:p w14:paraId="10F3A1F9" w14:textId="3E8C1F78" w:rsidR="00D005FA" w:rsidRPr="00310D49" w:rsidRDefault="00D005FA" w:rsidP="004E0876">
      <w:pPr>
        <w:pStyle w:val="H1G"/>
        <w:rPr>
          <w:lang w:val="fr-FR"/>
        </w:rPr>
      </w:pPr>
      <w:r w:rsidRPr="00310D49">
        <w:rPr>
          <w:lang w:val="fr-FR"/>
        </w:rPr>
        <w:tab/>
      </w:r>
      <w:r w:rsidRPr="00310D49">
        <w:rPr>
          <w:lang w:val="fr-FR"/>
        </w:rPr>
        <w:tab/>
        <w:t>Article 22</w:t>
      </w:r>
      <w:bookmarkStart w:id="24" w:name="_Toc80715511"/>
      <w:bookmarkEnd w:id="24"/>
    </w:p>
    <w:p w14:paraId="6D99789D" w14:textId="7362F5FE" w:rsidR="00D005FA" w:rsidRPr="00310D49" w:rsidRDefault="00D005FA" w:rsidP="009E2AB8">
      <w:pPr>
        <w:pStyle w:val="SingleTxtG"/>
        <w:keepNext/>
        <w:keepLines/>
        <w:rPr>
          <w:lang w:val="fr-FR"/>
        </w:rPr>
      </w:pPr>
      <w:r w:rsidRPr="00310D49">
        <w:rPr>
          <w:lang w:val="fr-FR"/>
        </w:rPr>
        <w:t>374.</w:t>
      </w:r>
      <w:r w:rsidRPr="00310D49">
        <w:rPr>
          <w:lang w:val="fr-FR"/>
        </w:rPr>
        <w:tab/>
        <w:t>La Déclaration d</w:t>
      </w:r>
      <w:r w:rsidR="0035332C">
        <w:rPr>
          <w:lang w:val="fr-FR"/>
        </w:rPr>
        <w:t>’</w:t>
      </w:r>
      <w:r w:rsidRPr="00310D49">
        <w:rPr>
          <w:lang w:val="fr-FR"/>
        </w:rPr>
        <w:t>indépendance palestinienne prévoit que les Palestiniens jouissent de la pleine égalité en matière de droits, dans le cadre d</w:t>
      </w:r>
      <w:r w:rsidR="0035332C">
        <w:rPr>
          <w:lang w:val="fr-FR"/>
        </w:rPr>
        <w:t>’</w:t>
      </w:r>
      <w:r w:rsidRPr="00310D49">
        <w:rPr>
          <w:lang w:val="fr-FR"/>
        </w:rPr>
        <w:t>un régime parlementaire démocratique fondé sur la liberté d</w:t>
      </w:r>
      <w:r w:rsidR="0035332C">
        <w:rPr>
          <w:lang w:val="fr-FR"/>
        </w:rPr>
        <w:t>’</w:t>
      </w:r>
      <w:r w:rsidRPr="00310D49">
        <w:rPr>
          <w:lang w:val="fr-FR"/>
        </w:rPr>
        <w:t>opinion et la liberté de former des partis. L</w:t>
      </w:r>
      <w:r w:rsidR="0035332C">
        <w:rPr>
          <w:lang w:val="fr-FR"/>
        </w:rPr>
        <w:t>’</w:t>
      </w:r>
      <w:r w:rsidRPr="00310D49">
        <w:rPr>
          <w:lang w:val="fr-FR"/>
        </w:rPr>
        <w:t>article</w:t>
      </w:r>
      <w:r w:rsidR="001E6349">
        <w:rPr>
          <w:lang w:val="fr-FR"/>
        </w:rPr>
        <w:t> </w:t>
      </w:r>
      <w:r w:rsidRPr="00310D49">
        <w:rPr>
          <w:lang w:val="fr-FR"/>
        </w:rPr>
        <w:t>26 de la Loi fondamentale, telle que modifiée, dispose que les Palestiniens ont le droit de participer, individuellement et collectivement, à la vie politique. Ils ont en particulier le droit de former des partis politiques et d</w:t>
      </w:r>
      <w:r w:rsidR="0035332C">
        <w:rPr>
          <w:lang w:val="fr-FR"/>
        </w:rPr>
        <w:t>’</w:t>
      </w:r>
      <w:r w:rsidRPr="00310D49">
        <w:rPr>
          <w:lang w:val="fr-FR"/>
        </w:rPr>
        <w:t>y adhérer conformément à la loi et de former des syndicats, des associations, des unions, des ligues, des clubs et des organisations populaires conformément à la loi.</w:t>
      </w:r>
    </w:p>
    <w:p w14:paraId="33B510DA" w14:textId="77777777" w:rsidR="00D005FA" w:rsidRPr="00310D49" w:rsidRDefault="00D005FA" w:rsidP="004E0876">
      <w:pPr>
        <w:pStyle w:val="H23G"/>
        <w:rPr>
          <w:lang w:val="fr-FR"/>
        </w:rPr>
      </w:pPr>
      <w:r w:rsidRPr="00310D49">
        <w:rPr>
          <w:lang w:val="fr-FR"/>
        </w:rPr>
        <w:tab/>
      </w:r>
      <w:r w:rsidRPr="00310D49">
        <w:rPr>
          <w:lang w:val="fr-FR"/>
        </w:rPr>
        <w:tab/>
        <w:t>Associations</w:t>
      </w:r>
    </w:p>
    <w:p w14:paraId="445451BD" w14:textId="32304D46" w:rsidR="00D005FA" w:rsidRPr="00310D49" w:rsidRDefault="00D005FA" w:rsidP="004E0876">
      <w:pPr>
        <w:pStyle w:val="SingleTxtG"/>
        <w:rPr>
          <w:lang w:val="fr-FR"/>
        </w:rPr>
      </w:pPr>
      <w:r w:rsidRPr="00310D49">
        <w:rPr>
          <w:lang w:val="fr-FR"/>
        </w:rPr>
        <w:t>375.</w:t>
      </w:r>
      <w:r w:rsidRPr="00310D49">
        <w:rPr>
          <w:lang w:val="fr-FR"/>
        </w:rPr>
        <w:tab/>
        <w:t>Les associations ont toujours joué un rôle de premier plan dans l</w:t>
      </w:r>
      <w:r w:rsidR="0035332C">
        <w:rPr>
          <w:lang w:val="fr-FR"/>
        </w:rPr>
        <w:t>’</w:t>
      </w:r>
      <w:r w:rsidRPr="00310D49">
        <w:rPr>
          <w:lang w:val="fr-FR"/>
        </w:rPr>
        <w:t>histoire de la société palestinienne, et ce dans de nombreux domaines, y compris la culture, l</w:t>
      </w:r>
      <w:r w:rsidR="0035332C">
        <w:rPr>
          <w:lang w:val="fr-FR"/>
        </w:rPr>
        <w:t>’</w:t>
      </w:r>
      <w:r w:rsidRPr="00310D49">
        <w:rPr>
          <w:lang w:val="fr-FR"/>
        </w:rPr>
        <w:t>action sociale, les droits de l</w:t>
      </w:r>
      <w:r w:rsidR="0035332C">
        <w:rPr>
          <w:lang w:val="fr-FR"/>
        </w:rPr>
        <w:t>’</w:t>
      </w:r>
      <w:r w:rsidRPr="00310D49">
        <w:rPr>
          <w:lang w:val="fr-FR"/>
        </w:rPr>
        <w:t>homme, le bénévolat et le volontariat et le secteur des services. Des dispositions législatives régissent le droit de former des associations et d</w:t>
      </w:r>
      <w:r w:rsidR="0035332C">
        <w:rPr>
          <w:lang w:val="fr-FR"/>
        </w:rPr>
        <w:t>’</w:t>
      </w:r>
      <w:r w:rsidRPr="00310D49">
        <w:rPr>
          <w:lang w:val="fr-FR"/>
        </w:rPr>
        <w:t xml:space="preserve">exercer toutes activités à but non lucratif. À cet </w:t>
      </w:r>
      <w:r w:rsidRPr="00C308F4">
        <w:rPr>
          <w:lang w:val="fr-FR"/>
        </w:rPr>
        <w:t xml:space="preserve">égard, la loi </w:t>
      </w:r>
      <w:r w:rsidR="00C308F4" w:rsidRPr="00C308F4">
        <w:rPr>
          <w:lang w:val="fr-FR"/>
        </w:rPr>
        <w:t xml:space="preserve">de 2000 </w:t>
      </w:r>
      <w:r w:rsidRPr="00C308F4">
        <w:rPr>
          <w:lang w:val="fr-FR"/>
        </w:rPr>
        <w:t>relative aux associations caritatives et aux organisations</w:t>
      </w:r>
      <w:r w:rsidRPr="00310D49">
        <w:rPr>
          <w:lang w:val="fr-FR"/>
        </w:rPr>
        <w:t xml:space="preserve"> de la société civile et son règlement d</w:t>
      </w:r>
      <w:r w:rsidR="0035332C">
        <w:rPr>
          <w:lang w:val="fr-FR"/>
        </w:rPr>
        <w:t>’</w:t>
      </w:r>
      <w:r w:rsidRPr="00310D49">
        <w:rPr>
          <w:lang w:val="fr-FR"/>
        </w:rPr>
        <w:t>application prévoient les dispositions relatives à la formation d</w:t>
      </w:r>
      <w:r w:rsidR="0035332C">
        <w:rPr>
          <w:lang w:val="fr-FR"/>
        </w:rPr>
        <w:t>’</w:t>
      </w:r>
      <w:r w:rsidRPr="00310D49">
        <w:rPr>
          <w:lang w:val="fr-FR"/>
        </w:rPr>
        <w:t>associations et d</w:t>
      </w:r>
      <w:r w:rsidR="0035332C">
        <w:rPr>
          <w:lang w:val="fr-FR"/>
        </w:rPr>
        <w:t>’</w:t>
      </w:r>
      <w:r w:rsidRPr="00310D49">
        <w:rPr>
          <w:lang w:val="fr-FR"/>
        </w:rPr>
        <w:t>organisations de la société civile. L</w:t>
      </w:r>
      <w:r w:rsidR="0035332C">
        <w:rPr>
          <w:lang w:val="fr-FR"/>
        </w:rPr>
        <w:t>’</w:t>
      </w:r>
      <w:r w:rsidRPr="00310D49">
        <w:rPr>
          <w:lang w:val="fr-FR"/>
        </w:rPr>
        <w:t>article premier de ladite loi dispose ce qui suit</w:t>
      </w:r>
      <w:r w:rsidR="00A53B5A">
        <w:rPr>
          <w:lang w:val="fr-FR"/>
        </w:rPr>
        <w:t> </w:t>
      </w:r>
      <w:r w:rsidRPr="00310D49">
        <w:rPr>
          <w:lang w:val="fr-FR"/>
        </w:rPr>
        <w:t>: «</w:t>
      </w:r>
      <w:r w:rsidR="001E6349">
        <w:rPr>
          <w:lang w:val="fr-FR"/>
        </w:rPr>
        <w:t> </w:t>
      </w:r>
      <w:r w:rsidRPr="00310D49">
        <w:rPr>
          <w:lang w:val="fr-FR"/>
        </w:rPr>
        <w:t>Les Palestiniens ont le droit d</w:t>
      </w:r>
      <w:r w:rsidR="0035332C">
        <w:rPr>
          <w:lang w:val="fr-FR"/>
        </w:rPr>
        <w:t>’</w:t>
      </w:r>
      <w:r w:rsidRPr="00310D49">
        <w:rPr>
          <w:lang w:val="fr-FR"/>
        </w:rPr>
        <w:t>exercer librement des activités sociales, culturelles, techniques et scientifiques et de constituer des associations et organisations civiles, dans le respect des dispositions de la présente loi</w:t>
      </w:r>
      <w:r w:rsidR="001E6349">
        <w:rPr>
          <w:lang w:val="fr-FR"/>
        </w:rPr>
        <w:t>. </w:t>
      </w:r>
      <w:r w:rsidRPr="00310D49">
        <w:rPr>
          <w:lang w:val="fr-FR"/>
        </w:rPr>
        <w:t>».</w:t>
      </w:r>
    </w:p>
    <w:p w14:paraId="71D091A1" w14:textId="1B9ECE99" w:rsidR="00D005FA" w:rsidRPr="00310D49" w:rsidRDefault="00D005FA" w:rsidP="004E0876">
      <w:pPr>
        <w:pStyle w:val="SingleTxtG"/>
        <w:rPr>
          <w:lang w:val="fr-FR"/>
        </w:rPr>
      </w:pPr>
      <w:r w:rsidRPr="00310D49">
        <w:rPr>
          <w:lang w:val="fr-FR"/>
        </w:rPr>
        <w:t>376.</w:t>
      </w:r>
      <w:r w:rsidRPr="00310D49">
        <w:rPr>
          <w:lang w:val="fr-FR"/>
        </w:rPr>
        <w:tab/>
        <w:t>Conformément à l</w:t>
      </w:r>
      <w:r w:rsidR="0035332C">
        <w:rPr>
          <w:lang w:val="fr-FR"/>
        </w:rPr>
        <w:t>’</w:t>
      </w:r>
      <w:r w:rsidRPr="00310D49">
        <w:rPr>
          <w:lang w:val="fr-FR"/>
        </w:rPr>
        <w:t>article 4 de la loi susmentionnée, l</w:t>
      </w:r>
      <w:r w:rsidR="0035332C">
        <w:rPr>
          <w:lang w:val="fr-FR"/>
        </w:rPr>
        <w:t>’</w:t>
      </w:r>
      <w:r w:rsidRPr="00310D49">
        <w:rPr>
          <w:lang w:val="fr-FR"/>
        </w:rPr>
        <w:t>enregistrement d</w:t>
      </w:r>
      <w:r w:rsidR="0035332C">
        <w:rPr>
          <w:lang w:val="fr-FR"/>
        </w:rPr>
        <w:t>’</w:t>
      </w:r>
      <w:r w:rsidRPr="00310D49">
        <w:rPr>
          <w:lang w:val="fr-FR"/>
        </w:rPr>
        <w:t>une association s</w:t>
      </w:r>
      <w:r w:rsidR="0035332C">
        <w:rPr>
          <w:lang w:val="fr-FR"/>
        </w:rPr>
        <w:t>’</w:t>
      </w:r>
      <w:r w:rsidRPr="00310D49">
        <w:rPr>
          <w:lang w:val="fr-FR"/>
        </w:rPr>
        <w:t>effectue comme suit</w:t>
      </w:r>
      <w:r w:rsidR="00A53B5A">
        <w:rPr>
          <w:lang w:val="fr-FR"/>
        </w:rPr>
        <w:t> </w:t>
      </w:r>
      <w:r w:rsidRPr="00310D49">
        <w:rPr>
          <w:lang w:val="fr-FR"/>
        </w:rPr>
        <w:t>: La demande d</w:t>
      </w:r>
      <w:r w:rsidR="0035332C">
        <w:rPr>
          <w:lang w:val="fr-FR"/>
        </w:rPr>
        <w:t>’</w:t>
      </w:r>
      <w:r w:rsidRPr="00310D49">
        <w:rPr>
          <w:lang w:val="fr-FR"/>
        </w:rPr>
        <w:t>enregistrement est déposée auprès du service compétent du Ministère de l</w:t>
      </w:r>
      <w:r w:rsidR="0035332C">
        <w:rPr>
          <w:lang w:val="fr-FR"/>
        </w:rPr>
        <w:t>’</w:t>
      </w:r>
      <w:r w:rsidRPr="00310D49">
        <w:rPr>
          <w:lang w:val="fr-FR"/>
        </w:rPr>
        <w:t>intérieur, puis le Ministre de l</w:t>
      </w:r>
      <w:r w:rsidR="0035332C">
        <w:rPr>
          <w:lang w:val="fr-FR"/>
        </w:rPr>
        <w:t>’</w:t>
      </w:r>
      <w:r w:rsidRPr="00310D49">
        <w:rPr>
          <w:lang w:val="fr-FR"/>
        </w:rPr>
        <w:t>intérieur se prononce sur l</w:t>
      </w:r>
      <w:r w:rsidR="0035332C">
        <w:rPr>
          <w:lang w:val="fr-FR"/>
        </w:rPr>
        <w:t>’</w:t>
      </w:r>
      <w:r w:rsidRPr="00310D49">
        <w:rPr>
          <w:lang w:val="fr-FR"/>
        </w:rPr>
        <w:t>enregistrement de l</w:t>
      </w:r>
      <w:r w:rsidR="0035332C">
        <w:rPr>
          <w:lang w:val="fr-FR"/>
        </w:rPr>
        <w:t>’</w:t>
      </w:r>
      <w:r w:rsidRPr="00310D49">
        <w:rPr>
          <w:lang w:val="fr-FR"/>
        </w:rPr>
        <w:t>association ou de l</w:t>
      </w:r>
      <w:r w:rsidR="0035332C">
        <w:rPr>
          <w:lang w:val="fr-FR"/>
        </w:rPr>
        <w:t>’</w:t>
      </w:r>
      <w:r w:rsidRPr="00310D49">
        <w:rPr>
          <w:lang w:val="fr-FR"/>
        </w:rPr>
        <w:t>organisation dans un délai de deux mois à compter de la date de dépôt de la demande. Au cas où le Ministre ne prend aucune décision dans les deux mois qui suivent la date de réception de la demande, l</w:t>
      </w:r>
      <w:r w:rsidR="0035332C">
        <w:rPr>
          <w:lang w:val="fr-FR"/>
        </w:rPr>
        <w:t>’</w:t>
      </w:r>
      <w:r w:rsidRPr="00310D49">
        <w:rPr>
          <w:lang w:val="fr-FR"/>
        </w:rPr>
        <w:t>association ou l</w:t>
      </w:r>
      <w:r w:rsidR="0035332C">
        <w:rPr>
          <w:lang w:val="fr-FR"/>
        </w:rPr>
        <w:t>’</w:t>
      </w:r>
      <w:r w:rsidRPr="00310D49">
        <w:rPr>
          <w:lang w:val="fr-FR"/>
        </w:rPr>
        <w:t>organisation est réputée enregistrée au regard de la loi. En revanche, lorsque le Ministre de l</w:t>
      </w:r>
      <w:r w:rsidR="0035332C">
        <w:rPr>
          <w:lang w:val="fr-FR"/>
        </w:rPr>
        <w:t>’</w:t>
      </w:r>
      <w:r w:rsidRPr="00310D49">
        <w:rPr>
          <w:lang w:val="fr-FR"/>
        </w:rPr>
        <w:t>intérieur décide de rejeter la demande d</w:t>
      </w:r>
      <w:r w:rsidR="0035332C">
        <w:rPr>
          <w:lang w:val="fr-FR"/>
        </w:rPr>
        <w:t>’</w:t>
      </w:r>
      <w:r w:rsidRPr="00310D49">
        <w:rPr>
          <w:lang w:val="fr-FR"/>
        </w:rPr>
        <w:t>enregistrement, il doit motiver sa décision. Les demandeurs ont alors le droit de contester cette décision de refus auprès du tribunal compétent dans un délai maximum de trente jours à compter de la date à laquelle elle leur avait été notifiée par écrit. Par ailleurs, selon l</w:t>
      </w:r>
      <w:r w:rsidR="0035332C">
        <w:rPr>
          <w:lang w:val="fr-FR"/>
        </w:rPr>
        <w:t>’</w:t>
      </w:r>
      <w:r w:rsidRPr="00310D49">
        <w:rPr>
          <w:lang w:val="fr-FR"/>
        </w:rPr>
        <w:t>article 14 de ladite loi, les associations et organisations sont exonérées des impôts et des droits de douane sur les fonds mobiliers et immobiliers nécessaires à la mise en œuvre de leurs objectifs statutaires. Il convient de souligner que le nombre d</w:t>
      </w:r>
      <w:r w:rsidR="0035332C">
        <w:rPr>
          <w:lang w:val="fr-FR"/>
        </w:rPr>
        <w:t>’</w:t>
      </w:r>
      <w:r w:rsidRPr="00310D49">
        <w:rPr>
          <w:lang w:val="fr-FR"/>
        </w:rPr>
        <w:t>associations enregistrées dans l</w:t>
      </w:r>
      <w:r w:rsidR="0035332C">
        <w:rPr>
          <w:lang w:val="fr-FR"/>
        </w:rPr>
        <w:t>’</w:t>
      </w:r>
      <w:r w:rsidRPr="00310D49">
        <w:rPr>
          <w:lang w:val="fr-FR"/>
        </w:rPr>
        <w:t>État de Palestine a atteint 3</w:t>
      </w:r>
      <w:r w:rsidR="001E6349">
        <w:rPr>
          <w:lang w:val="fr-FR"/>
        </w:rPr>
        <w:t> </w:t>
      </w:r>
      <w:r w:rsidRPr="00310D49">
        <w:rPr>
          <w:lang w:val="fr-FR"/>
        </w:rPr>
        <w:t>982 en 2018.</w:t>
      </w:r>
    </w:p>
    <w:p w14:paraId="696FC2C0" w14:textId="77777777" w:rsidR="00D005FA" w:rsidRPr="00310D49" w:rsidRDefault="00D005FA" w:rsidP="004E0876">
      <w:pPr>
        <w:pStyle w:val="H23G"/>
        <w:rPr>
          <w:lang w:val="fr-FR"/>
        </w:rPr>
      </w:pPr>
      <w:r w:rsidRPr="00310D49">
        <w:rPr>
          <w:lang w:val="fr-FR"/>
        </w:rPr>
        <w:tab/>
      </w:r>
      <w:r w:rsidRPr="00310D49">
        <w:rPr>
          <w:lang w:val="fr-FR"/>
        </w:rPr>
        <w:tab/>
        <w:t>Partis politiques</w:t>
      </w:r>
    </w:p>
    <w:p w14:paraId="7F8F23ED" w14:textId="60B6392C" w:rsidR="00D005FA" w:rsidRPr="00310D49" w:rsidRDefault="00D005FA" w:rsidP="004E0876">
      <w:pPr>
        <w:pStyle w:val="SingleTxtG"/>
        <w:rPr>
          <w:lang w:val="fr-FR"/>
        </w:rPr>
      </w:pPr>
      <w:r w:rsidRPr="00310D49">
        <w:rPr>
          <w:lang w:val="fr-FR"/>
        </w:rPr>
        <w:t>377.</w:t>
      </w:r>
      <w:r w:rsidRPr="00310D49">
        <w:rPr>
          <w:lang w:val="fr-FR"/>
        </w:rPr>
        <w:tab/>
        <w:t>Les partis et factions palestiniens ont joué un rôle important dans l</w:t>
      </w:r>
      <w:r w:rsidR="0035332C">
        <w:rPr>
          <w:lang w:val="fr-FR"/>
        </w:rPr>
        <w:t>’</w:t>
      </w:r>
      <w:r w:rsidRPr="00310D49">
        <w:rPr>
          <w:lang w:val="fr-FR"/>
        </w:rPr>
        <w:t>histoire nationale palestinienne et se sont constitués principalement en tant que factions et forces de résistance à l</w:t>
      </w:r>
      <w:r w:rsidR="0035332C">
        <w:rPr>
          <w:lang w:val="fr-FR"/>
        </w:rPr>
        <w:t>’</w:t>
      </w:r>
      <w:r w:rsidRPr="00310D49">
        <w:rPr>
          <w:lang w:val="fr-FR"/>
        </w:rPr>
        <w:t>occupation. Forts de leur légitimité révolutionnaire et populaire, ces factions et forces politiques ont pu continuer d</w:t>
      </w:r>
      <w:r w:rsidR="0035332C">
        <w:rPr>
          <w:lang w:val="fr-FR"/>
        </w:rPr>
        <w:t>’</w:t>
      </w:r>
      <w:r w:rsidRPr="00310D49">
        <w:rPr>
          <w:lang w:val="fr-FR"/>
        </w:rPr>
        <w:t>exister et nombre d</w:t>
      </w:r>
      <w:r w:rsidR="0035332C">
        <w:rPr>
          <w:lang w:val="fr-FR"/>
        </w:rPr>
        <w:t>’</w:t>
      </w:r>
      <w:r w:rsidRPr="00310D49">
        <w:rPr>
          <w:lang w:val="fr-FR"/>
        </w:rPr>
        <w:t>entre eux ont rejoint l</w:t>
      </w:r>
      <w:r w:rsidR="0035332C">
        <w:rPr>
          <w:lang w:val="fr-FR"/>
        </w:rPr>
        <w:t>’</w:t>
      </w:r>
      <w:r w:rsidRPr="00310D49">
        <w:rPr>
          <w:lang w:val="fr-FR"/>
        </w:rPr>
        <w:t>Organisation de libération de la Palestine, le seul représentant légitime du peuple palestinien. L</w:t>
      </w:r>
      <w:r w:rsidR="0035332C">
        <w:rPr>
          <w:lang w:val="fr-FR"/>
        </w:rPr>
        <w:t>’</w:t>
      </w:r>
      <w:r w:rsidRPr="00310D49">
        <w:rPr>
          <w:lang w:val="fr-FR"/>
        </w:rPr>
        <w:t>organisation interne de ces factions et forces politiques est régie par leurs statut et règlement respectifs. Par ailleurs, la Loi fondamentale, telle que modifiée, réaffirme le droit de former des partis politiques et d</w:t>
      </w:r>
      <w:r w:rsidR="0035332C">
        <w:rPr>
          <w:lang w:val="fr-FR"/>
        </w:rPr>
        <w:t>’</w:t>
      </w:r>
      <w:r w:rsidRPr="00310D49">
        <w:rPr>
          <w:lang w:val="fr-FR"/>
        </w:rPr>
        <w:t>y adhérer, tandis que les articles 48 à 53 de la loi électorale n</w:t>
      </w:r>
      <w:r w:rsidR="00A10C9C" w:rsidRPr="00A10C9C">
        <w:rPr>
          <w:vertAlign w:val="superscript"/>
          <w:lang w:val="fr-FR"/>
        </w:rPr>
        <w:t>o</w:t>
      </w:r>
      <w:r w:rsidR="00A10C9C">
        <w:rPr>
          <w:lang w:val="fr-FR"/>
        </w:rPr>
        <w:t> </w:t>
      </w:r>
      <w:r w:rsidRPr="00310D49">
        <w:rPr>
          <w:lang w:val="fr-FR"/>
        </w:rPr>
        <w:t xml:space="preserve">13 de 1995 </w:t>
      </w:r>
      <w:r w:rsidRPr="00310D49">
        <w:rPr>
          <w:lang w:val="fr-FR"/>
        </w:rPr>
        <w:lastRenderedPageBreak/>
        <w:t>contiennent les dispositions relatives à la procédure d</w:t>
      </w:r>
      <w:r w:rsidR="0035332C">
        <w:rPr>
          <w:lang w:val="fr-FR"/>
        </w:rPr>
        <w:t>’</w:t>
      </w:r>
      <w:r w:rsidRPr="00310D49">
        <w:rPr>
          <w:lang w:val="fr-FR"/>
        </w:rPr>
        <w:t>enregistrement des partis politiques aux fins de la participation aux élections.</w:t>
      </w:r>
    </w:p>
    <w:p w14:paraId="316235AE" w14:textId="356BD456" w:rsidR="00D005FA" w:rsidRPr="00310D49" w:rsidRDefault="00D005FA" w:rsidP="004E0876">
      <w:pPr>
        <w:pStyle w:val="SingleTxtG"/>
        <w:rPr>
          <w:lang w:val="fr-FR"/>
        </w:rPr>
      </w:pPr>
      <w:r w:rsidRPr="00310D49">
        <w:rPr>
          <w:lang w:val="fr-FR"/>
        </w:rPr>
        <w:t>378.</w:t>
      </w:r>
      <w:r w:rsidRPr="00310D49">
        <w:rPr>
          <w:lang w:val="fr-FR"/>
        </w:rPr>
        <w:tab/>
        <w:t>Israël, puissance occupante, viole le droit des Palestiniens de former des partis politiques et d</w:t>
      </w:r>
      <w:r w:rsidR="0035332C">
        <w:rPr>
          <w:lang w:val="fr-FR"/>
        </w:rPr>
        <w:t>’</w:t>
      </w:r>
      <w:r w:rsidRPr="00310D49">
        <w:rPr>
          <w:lang w:val="fr-FR"/>
        </w:rPr>
        <w:t>y adhérer, puisque les factions et les partis palestiniens sont illégaux en vertu des lois promulguées par l</w:t>
      </w:r>
      <w:r w:rsidR="0035332C">
        <w:rPr>
          <w:lang w:val="fr-FR"/>
        </w:rPr>
        <w:t>’</w:t>
      </w:r>
      <w:r w:rsidRPr="00310D49">
        <w:rPr>
          <w:lang w:val="fr-FR"/>
        </w:rPr>
        <w:t>occupant israélien et les ordonnances rendues par son armée. Dans ce contexte, les autorités d</w:t>
      </w:r>
      <w:r w:rsidR="0035332C">
        <w:rPr>
          <w:lang w:val="fr-FR"/>
        </w:rPr>
        <w:t>’</w:t>
      </w:r>
      <w:r w:rsidRPr="00310D49">
        <w:rPr>
          <w:lang w:val="fr-FR"/>
        </w:rPr>
        <w:t>occupation qualifient l</w:t>
      </w:r>
      <w:r w:rsidR="0035332C">
        <w:rPr>
          <w:lang w:val="fr-FR"/>
        </w:rPr>
        <w:t>’</w:t>
      </w:r>
      <w:r w:rsidRPr="00310D49">
        <w:rPr>
          <w:lang w:val="fr-FR"/>
        </w:rPr>
        <w:t>affiliation à des partis politiques palestiniens d</w:t>
      </w:r>
      <w:r w:rsidR="0035332C">
        <w:rPr>
          <w:lang w:val="fr-FR"/>
        </w:rPr>
        <w:t>’</w:t>
      </w:r>
      <w:r w:rsidRPr="00310D49">
        <w:rPr>
          <w:lang w:val="fr-FR"/>
        </w:rPr>
        <w:t>infraction, ce qui expose leurs membres à des arrestations arbitraires. Israël viole également le droit des Palestiniens de former des associations et des organisations. Entre 2000 et 2009, l</w:t>
      </w:r>
      <w:r w:rsidR="0035332C">
        <w:rPr>
          <w:lang w:val="fr-FR"/>
        </w:rPr>
        <w:t>’</w:t>
      </w:r>
      <w:r w:rsidRPr="00310D49">
        <w:rPr>
          <w:lang w:val="fr-FR"/>
        </w:rPr>
        <w:t>occupant israélien a fermé plus de 35</w:t>
      </w:r>
      <w:r w:rsidR="00A10C9C">
        <w:rPr>
          <w:lang w:val="fr-FR"/>
        </w:rPr>
        <w:t> </w:t>
      </w:r>
      <w:r w:rsidRPr="00310D49">
        <w:rPr>
          <w:lang w:val="fr-FR"/>
        </w:rPr>
        <w:t>organisations dans la ville occupée de Jérusalem, y compris le Club des prisonniers palestiniens.</w:t>
      </w:r>
    </w:p>
    <w:p w14:paraId="1FB23459" w14:textId="77777777" w:rsidR="00D005FA" w:rsidRPr="00310D49" w:rsidRDefault="00D005FA" w:rsidP="004E0876">
      <w:pPr>
        <w:pStyle w:val="H23G"/>
        <w:rPr>
          <w:bCs/>
          <w:lang w:val="fr-FR"/>
        </w:rPr>
      </w:pPr>
      <w:r w:rsidRPr="00310D49">
        <w:rPr>
          <w:lang w:val="fr-FR"/>
        </w:rPr>
        <w:tab/>
      </w:r>
      <w:r w:rsidRPr="00310D49">
        <w:rPr>
          <w:lang w:val="fr-FR"/>
        </w:rPr>
        <w:tab/>
        <w:t>Syndicats</w:t>
      </w:r>
    </w:p>
    <w:p w14:paraId="128EEF89" w14:textId="4DD4D9BB" w:rsidR="00D005FA" w:rsidRPr="00310D49" w:rsidRDefault="00D005FA" w:rsidP="004E0876">
      <w:pPr>
        <w:pStyle w:val="SingleTxtG"/>
        <w:rPr>
          <w:lang w:val="fr-FR"/>
        </w:rPr>
      </w:pPr>
      <w:r w:rsidRPr="00310D49">
        <w:rPr>
          <w:lang w:val="fr-FR"/>
        </w:rPr>
        <w:t>379.</w:t>
      </w:r>
      <w:r w:rsidRPr="00310D49">
        <w:rPr>
          <w:lang w:val="fr-FR"/>
        </w:rPr>
        <w:tab/>
        <w:t>Le mouvement syndical palestinien est apparu au début des années 1920. Le Code du travail (loi n</w:t>
      </w:r>
      <w:r w:rsidR="00A10C9C" w:rsidRPr="00A10C9C">
        <w:rPr>
          <w:vertAlign w:val="superscript"/>
          <w:lang w:val="fr-FR"/>
        </w:rPr>
        <w:t>o</w:t>
      </w:r>
      <w:r w:rsidR="00A10C9C">
        <w:rPr>
          <w:lang w:val="fr-FR"/>
        </w:rPr>
        <w:t> </w:t>
      </w:r>
      <w:r w:rsidRPr="00310D49">
        <w:rPr>
          <w:lang w:val="fr-FR"/>
        </w:rPr>
        <w:t>7 de 2000) régit le droit de former des syndicats et le Ministère du travail est chargé d</w:t>
      </w:r>
      <w:r w:rsidR="0035332C">
        <w:rPr>
          <w:lang w:val="fr-FR"/>
        </w:rPr>
        <w:t>’</w:t>
      </w:r>
      <w:r w:rsidRPr="00310D49">
        <w:rPr>
          <w:lang w:val="fr-FR"/>
        </w:rPr>
        <w:t>enregistrer les syndicats et de suivre leur travail. Jusqu</w:t>
      </w:r>
      <w:r w:rsidR="0035332C">
        <w:rPr>
          <w:lang w:val="fr-FR"/>
        </w:rPr>
        <w:t>’</w:t>
      </w:r>
      <w:r w:rsidRPr="00310D49">
        <w:rPr>
          <w:lang w:val="fr-FR"/>
        </w:rPr>
        <w:t>en 2019, le pays comptait 566</w:t>
      </w:r>
      <w:r w:rsidR="00A10C9C">
        <w:rPr>
          <w:lang w:val="fr-FR"/>
        </w:rPr>
        <w:t> </w:t>
      </w:r>
      <w:r w:rsidRPr="00310D49">
        <w:rPr>
          <w:lang w:val="fr-FR"/>
        </w:rPr>
        <w:t>organisations syndicales enregistrées auprès dudit Ministère.</w:t>
      </w:r>
    </w:p>
    <w:p w14:paraId="10880CE6" w14:textId="54ACEA1D" w:rsidR="00D005FA" w:rsidRPr="00310D49" w:rsidRDefault="00D005FA" w:rsidP="004E0876">
      <w:pPr>
        <w:pStyle w:val="SingleTxtG"/>
        <w:rPr>
          <w:lang w:val="fr-FR"/>
        </w:rPr>
      </w:pPr>
      <w:r w:rsidRPr="00310D49">
        <w:rPr>
          <w:lang w:val="fr-FR"/>
        </w:rPr>
        <w:t>380.</w:t>
      </w:r>
      <w:r w:rsidRPr="00310D49">
        <w:rPr>
          <w:lang w:val="fr-FR"/>
        </w:rPr>
        <w:tab/>
        <w:t>En juin 2019, les personnes affiliées à des syndicats professionnels représentaient 19,3 % de la population active totale. Les hommes syndiqués représentaient 17,2</w:t>
      </w:r>
      <w:r w:rsidR="00A10C9C">
        <w:rPr>
          <w:lang w:val="fr-FR"/>
        </w:rPr>
        <w:t> </w:t>
      </w:r>
      <w:r w:rsidRPr="00310D49">
        <w:rPr>
          <w:lang w:val="fr-FR"/>
        </w:rPr>
        <w:t>% de la population active masculine, tandis que les femmes syndiquées représentaient 30,7</w:t>
      </w:r>
      <w:r w:rsidR="00A10C9C">
        <w:rPr>
          <w:lang w:val="fr-FR"/>
        </w:rPr>
        <w:t> </w:t>
      </w:r>
      <w:r w:rsidRPr="00310D49">
        <w:rPr>
          <w:lang w:val="fr-FR"/>
        </w:rPr>
        <w:t xml:space="preserve">% de la population active féminine. </w:t>
      </w:r>
    </w:p>
    <w:p w14:paraId="4E639AE3" w14:textId="37302DE0" w:rsidR="00D005FA" w:rsidRPr="00310D49" w:rsidRDefault="00D005FA" w:rsidP="004E0876">
      <w:pPr>
        <w:pStyle w:val="SingleTxtG"/>
        <w:rPr>
          <w:lang w:val="fr-FR"/>
        </w:rPr>
      </w:pPr>
      <w:r w:rsidRPr="00310D49">
        <w:rPr>
          <w:lang w:val="fr-FR"/>
        </w:rPr>
        <w:t>381.</w:t>
      </w:r>
      <w:r w:rsidRPr="00310D49">
        <w:rPr>
          <w:lang w:val="fr-FR"/>
        </w:rPr>
        <w:tab/>
        <w:t>Selon l</w:t>
      </w:r>
      <w:r w:rsidR="0035332C">
        <w:rPr>
          <w:lang w:val="fr-FR"/>
        </w:rPr>
        <w:t>’</w:t>
      </w:r>
      <w:r w:rsidRPr="00310D49">
        <w:rPr>
          <w:lang w:val="fr-FR"/>
        </w:rPr>
        <w:t>article 67 du Code du travail, qui régit le droit de grève, la partie appelant à la grève doit adresser par écrit un préavis de grève à l</w:t>
      </w:r>
      <w:r w:rsidR="0035332C">
        <w:rPr>
          <w:lang w:val="fr-FR"/>
        </w:rPr>
        <w:t>’</w:t>
      </w:r>
      <w:r w:rsidRPr="00310D49">
        <w:rPr>
          <w:lang w:val="fr-FR"/>
        </w:rPr>
        <w:t>autre partie et au Ministère du travail deux semaines avant la mise en œuvre de cette mesure, délai porté à quatre semaines concernant les établissements publics. Le préavis de grève doit être signé par 51</w:t>
      </w:r>
      <w:r w:rsidR="00A10C9C">
        <w:rPr>
          <w:lang w:val="fr-FR"/>
        </w:rPr>
        <w:t> </w:t>
      </w:r>
      <w:r w:rsidRPr="00310D49">
        <w:rPr>
          <w:lang w:val="fr-FR"/>
        </w:rPr>
        <w:t>% des employés de l</w:t>
      </w:r>
      <w:r w:rsidR="0035332C">
        <w:rPr>
          <w:lang w:val="fr-FR"/>
        </w:rPr>
        <w:t>’</w:t>
      </w:r>
      <w:r w:rsidRPr="00310D49">
        <w:rPr>
          <w:lang w:val="fr-FR"/>
        </w:rPr>
        <w:t>entreprise en cas de grève et 51</w:t>
      </w:r>
      <w:r w:rsidR="00A10C9C">
        <w:rPr>
          <w:lang w:val="fr-FR"/>
        </w:rPr>
        <w:t> </w:t>
      </w:r>
      <w:r w:rsidRPr="00310D49">
        <w:rPr>
          <w:lang w:val="fr-FR"/>
        </w:rPr>
        <w:t>% des membres du conseil d</w:t>
      </w:r>
      <w:r w:rsidR="0035332C">
        <w:rPr>
          <w:lang w:val="fr-FR"/>
        </w:rPr>
        <w:t>’</w:t>
      </w:r>
      <w:r w:rsidRPr="00310D49">
        <w:rPr>
          <w:lang w:val="fr-FR"/>
        </w:rPr>
        <w:t>administration s</w:t>
      </w:r>
      <w:r w:rsidR="0035332C">
        <w:rPr>
          <w:lang w:val="fr-FR"/>
        </w:rPr>
        <w:t>’</w:t>
      </w:r>
      <w:r w:rsidRPr="00310D49">
        <w:rPr>
          <w:lang w:val="fr-FR"/>
        </w:rPr>
        <w:t>agissant d</w:t>
      </w:r>
      <w:r w:rsidR="0035332C">
        <w:rPr>
          <w:lang w:val="fr-FR"/>
        </w:rPr>
        <w:t>’</w:t>
      </w:r>
      <w:r w:rsidRPr="00310D49">
        <w:rPr>
          <w:lang w:val="fr-FR"/>
        </w:rPr>
        <w:t>une fermeture d</w:t>
      </w:r>
      <w:r w:rsidR="0035332C">
        <w:rPr>
          <w:lang w:val="fr-FR"/>
        </w:rPr>
        <w:t>’</w:t>
      </w:r>
      <w:r w:rsidRPr="00310D49">
        <w:rPr>
          <w:lang w:val="fr-FR"/>
        </w:rPr>
        <w:t>établissement. Ledit article dispose également qu</w:t>
      </w:r>
      <w:r w:rsidR="0035332C">
        <w:rPr>
          <w:lang w:val="fr-FR"/>
        </w:rPr>
        <w:t>’</w:t>
      </w:r>
      <w:r w:rsidRPr="00310D49">
        <w:rPr>
          <w:lang w:val="fr-FR"/>
        </w:rPr>
        <w:t>une grève ne peut avoir lieu pendant le déroulement de négociations collectives visant à régler un différend.</w:t>
      </w:r>
    </w:p>
    <w:p w14:paraId="5E39CD4E" w14:textId="598D4495" w:rsidR="00D005FA" w:rsidRPr="00310D49" w:rsidRDefault="00D005FA" w:rsidP="004E0876">
      <w:pPr>
        <w:pStyle w:val="SingleTxtG"/>
        <w:rPr>
          <w:lang w:val="fr-FR"/>
        </w:rPr>
      </w:pPr>
      <w:r w:rsidRPr="00310D49">
        <w:rPr>
          <w:lang w:val="fr-FR"/>
        </w:rPr>
        <w:t>382.</w:t>
      </w:r>
      <w:r w:rsidRPr="00310D49">
        <w:rPr>
          <w:lang w:val="fr-FR"/>
        </w:rPr>
        <w:tab/>
        <w:t>En coopération avec les institutions partenaires, un comité ministériel a été constitué pour élaborer un «</w:t>
      </w:r>
      <w:r w:rsidR="00A10C9C">
        <w:rPr>
          <w:lang w:val="fr-FR"/>
        </w:rPr>
        <w:t> </w:t>
      </w:r>
      <w:r w:rsidRPr="00310D49">
        <w:rPr>
          <w:lang w:val="fr-FR"/>
        </w:rPr>
        <w:t>projet de loi sur l</w:t>
      </w:r>
      <w:r w:rsidR="0035332C">
        <w:rPr>
          <w:lang w:val="fr-FR"/>
        </w:rPr>
        <w:t>’</w:t>
      </w:r>
      <w:r w:rsidRPr="00310D49">
        <w:rPr>
          <w:lang w:val="fr-FR"/>
        </w:rPr>
        <w:t>organisation des syndicats</w:t>
      </w:r>
      <w:r w:rsidR="00A10C9C">
        <w:rPr>
          <w:lang w:val="fr-FR"/>
        </w:rPr>
        <w:t> </w:t>
      </w:r>
      <w:r w:rsidRPr="00310D49">
        <w:rPr>
          <w:lang w:val="fr-FR"/>
        </w:rPr>
        <w:t>» et l</w:t>
      </w:r>
      <w:r w:rsidR="0035332C">
        <w:rPr>
          <w:lang w:val="fr-FR"/>
        </w:rPr>
        <w:t>’</w:t>
      </w:r>
      <w:r w:rsidRPr="00310D49">
        <w:rPr>
          <w:lang w:val="fr-FR"/>
        </w:rPr>
        <w:t>examiner au regard des normes de la liberté syndicale et du pluralisme syndical. Le projet de loi régit la formation des syndicats de salariés, des syndicats patronaux et des syndicats de fonctionnaires.</w:t>
      </w:r>
    </w:p>
    <w:p w14:paraId="6A86172E" w14:textId="77777777" w:rsidR="00D005FA" w:rsidRPr="00310D49" w:rsidRDefault="00D005FA" w:rsidP="004E0876">
      <w:pPr>
        <w:pStyle w:val="H1G"/>
        <w:rPr>
          <w:lang w:val="fr-FR"/>
        </w:rPr>
      </w:pPr>
      <w:r w:rsidRPr="00310D49">
        <w:rPr>
          <w:lang w:val="fr-FR"/>
        </w:rPr>
        <w:tab/>
      </w:r>
      <w:r w:rsidRPr="00310D49">
        <w:rPr>
          <w:lang w:val="fr-FR"/>
        </w:rPr>
        <w:tab/>
        <w:t>Article 23</w:t>
      </w:r>
      <w:bookmarkStart w:id="25" w:name="_Toc80715512"/>
      <w:bookmarkEnd w:id="25"/>
    </w:p>
    <w:p w14:paraId="3534247E" w14:textId="6DB39EE8" w:rsidR="00D005FA" w:rsidRPr="00310D49" w:rsidRDefault="00D005FA" w:rsidP="004E0876">
      <w:pPr>
        <w:pStyle w:val="SingleTxtG"/>
        <w:rPr>
          <w:lang w:val="fr-FR"/>
        </w:rPr>
      </w:pPr>
      <w:r w:rsidRPr="00310D49">
        <w:rPr>
          <w:lang w:val="fr-FR"/>
        </w:rPr>
        <w:t>383.</w:t>
      </w:r>
      <w:r w:rsidRPr="00310D49">
        <w:rPr>
          <w:lang w:val="fr-FR"/>
        </w:rPr>
        <w:tab/>
        <w:t>Conformément au Code du statut personnel, le « mariage » est un contrat entre un homme et une femme qu</w:t>
      </w:r>
      <w:r w:rsidR="0035332C">
        <w:rPr>
          <w:lang w:val="fr-FR"/>
        </w:rPr>
        <w:t>’</w:t>
      </w:r>
      <w:r w:rsidRPr="00310D49">
        <w:rPr>
          <w:lang w:val="fr-FR"/>
        </w:rPr>
        <w:t>il est en droit d</w:t>
      </w:r>
      <w:r w:rsidR="0035332C">
        <w:rPr>
          <w:lang w:val="fr-FR"/>
        </w:rPr>
        <w:t>’</w:t>
      </w:r>
      <w:r w:rsidRPr="00310D49">
        <w:rPr>
          <w:lang w:val="fr-FR"/>
        </w:rPr>
        <w:t>épouser en vue de fonder un foyer et d</w:t>
      </w:r>
      <w:r w:rsidR="0035332C">
        <w:rPr>
          <w:lang w:val="fr-FR"/>
        </w:rPr>
        <w:t>’</w:t>
      </w:r>
      <w:r w:rsidRPr="00310D49">
        <w:rPr>
          <w:lang w:val="fr-FR"/>
        </w:rPr>
        <w:t>avoir des enfants. Les questions relatives au statut personnel sont régies en Cisjordanie par le Code du statut personnel promulgué par la loi n</w:t>
      </w:r>
      <w:r w:rsidR="00A10C9C" w:rsidRPr="00A10C9C">
        <w:rPr>
          <w:vertAlign w:val="superscript"/>
          <w:lang w:val="fr-FR"/>
        </w:rPr>
        <w:t>o</w:t>
      </w:r>
      <w:r w:rsidR="00A10C9C">
        <w:rPr>
          <w:lang w:val="fr-FR"/>
        </w:rPr>
        <w:t> </w:t>
      </w:r>
      <w:r w:rsidRPr="00310D49">
        <w:rPr>
          <w:lang w:val="fr-FR"/>
        </w:rPr>
        <w:t>61 de 1976 et, dans la bande de Gaza, par la loi n</w:t>
      </w:r>
      <w:r w:rsidR="00A10C9C" w:rsidRPr="00A10C9C">
        <w:rPr>
          <w:vertAlign w:val="superscript"/>
          <w:lang w:val="fr-FR"/>
        </w:rPr>
        <w:t>o</w:t>
      </w:r>
      <w:r w:rsidR="00A10C9C">
        <w:rPr>
          <w:lang w:val="fr-FR"/>
        </w:rPr>
        <w:t> </w:t>
      </w:r>
      <w:r w:rsidRPr="00310D49">
        <w:rPr>
          <w:lang w:val="fr-FR"/>
        </w:rPr>
        <w:t>303 de 1954 sur les droits de la famille. Les lois sur le statut personnel en vigueur dans le Royaume hachémite de Jordanie, notamment le Code du statut personnel jordanien promulgué par la loi n</w:t>
      </w:r>
      <w:r w:rsidR="00A10C9C" w:rsidRPr="00A10C9C">
        <w:rPr>
          <w:vertAlign w:val="superscript"/>
          <w:lang w:val="fr-FR"/>
        </w:rPr>
        <w:t>o</w:t>
      </w:r>
      <w:r w:rsidR="00A10C9C">
        <w:rPr>
          <w:lang w:val="fr-FR"/>
        </w:rPr>
        <w:t> </w:t>
      </w:r>
      <w:r w:rsidRPr="00310D49">
        <w:rPr>
          <w:lang w:val="fr-FR"/>
        </w:rPr>
        <w:t>36 de 2010, sont appliquées par le tribunal charaïque de Jérusalem. Ces lois se réfèrent, dans leurs dispositions, à la charia, tandis que chacune des communautés chrétiennes dispose de son propre code de statut personnel et de son propre tribunal ecclésiastique.</w:t>
      </w:r>
    </w:p>
    <w:p w14:paraId="2C68B504" w14:textId="2F5EC9E7" w:rsidR="00D005FA" w:rsidRPr="00310D49" w:rsidRDefault="00D005FA" w:rsidP="004E0876">
      <w:pPr>
        <w:pStyle w:val="SingleTxtG"/>
        <w:rPr>
          <w:lang w:val="fr-FR"/>
        </w:rPr>
      </w:pPr>
      <w:r w:rsidRPr="00310D49">
        <w:rPr>
          <w:lang w:val="fr-FR"/>
        </w:rPr>
        <w:t>384.</w:t>
      </w:r>
      <w:r w:rsidRPr="00310D49">
        <w:rPr>
          <w:lang w:val="fr-FR"/>
        </w:rPr>
        <w:tab/>
        <w:t>Les lois sur le statut personnel des musulmans et des chrétiens ont en commun des principes généraux en matière de mariage, dont les plus importants sont</w:t>
      </w:r>
      <w:r w:rsidR="00A53B5A">
        <w:rPr>
          <w:lang w:val="fr-FR"/>
        </w:rPr>
        <w:t> </w:t>
      </w:r>
      <w:r w:rsidRPr="00310D49">
        <w:rPr>
          <w:lang w:val="fr-FR"/>
        </w:rPr>
        <w:t>: le mariage ne peut être contracté qu</w:t>
      </w:r>
      <w:r w:rsidR="0035332C">
        <w:rPr>
          <w:lang w:val="fr-FR"/>
        </w:rPr>
        <w:t>’</w:t>
      </w:r>
      <w:r w:rsidRPr="00310D49">
        <w:rPr>
          <w:lang w:val="fr-FR"/>
        </w:rPr>
        <w:t xml:space="preserve">entre un homme et une femme, le plein et libre consentement des deux parties est considéré comme une condition essentielle pour que le mariage soit valide </w:t>
      </w:r>
      <w:r w:rsidR="00C308F4" w:rsidRPr="00C308F4">
        <w:rPr>
          <w:lang w:val="fr-FR"/>
        </w:rPr>
        <w:t>et les documents de statut personnel doivent obligatoirement être enregistrés auprès</w:t>
      </w:r>
      <w:r w:rsidRPr="00C308F4">
        <w:rPr>
          <w:lang w:val="fr-FR"/>
        </w:rPr>
        <w:t xml:space="preserve"> des tribunaux charaïques ou ecclésiastiques</w:t>
      </w:r>
      <w:r w:rsidRPr="00310D49">
        <w:rPr>
          <w:lang w:val="fr-FR"/>
        </w:rPr>
        <w:t>.</w:t>
      </w:r>
    </w:p>
    <w:p w14:paraId="47F5199E" w14:textId="77777777" w:rsidR="00D005FA" w:rsidRPr="00310D49" w:rsidRDefault="00D005FA" w:rsidP="00E95C74">
      <w:pPr>
        <w:pStyle w:val="H23G"/>
        <w:rPr>
          <w:bCs/>
          <w:lang w:val="fr-FR"/>
        </w:rPr>
      </w:pPr>
      <w:r w:rsidRPr="00310D49">
        <w:rPr>
          <w:lang w:val="fr-FR"/>
        </w:rPr>
        <w:lastRenderedPageBreak/>
        <w:tab/>
      </w:r>
      <w:r w:rsidRPr="00310D49">
        <w:rPr>
          <w:lang w:val="fr-FR"/>
        </w:rPr>
        <w:tab/>
        <w:t>Âge au mariage</w:t>
      </w:r>
    </w:p>
    <w:p w14:paraId="20E4A0F6" w14:textId="4F490C6B" w:rsidR="00D005FA" w:rsidRPr="00310D49" w:rsidRDefault="00D005FA" w:rsidP="00E95C74">
      <w:pPr>
        <w:pStyle w:val="SingleTxtG"/>
        <w:keepNext/>
        <w:keepLines/>
        <w:rPr>
          <w:lang w:val="fr-FR"/>
        </w:rPr>
      </w:pPr>
      <w:r w:rsidRPr="00310D49">
        <w:rPr>
          <w:lang w:val="fr-FR"/>
        </w:rPr>
        <w:t>385.</w:t>
      </w:r>
      <w:r w:rsidRPr="00310D49">
        <w:rPr>
          <w:lang w:val="fr-FR"/>
        </w:rPr>
        <w:tab/>
        <w:t>Dans le cadre de la mise en œuvre de ses obligations au titre des conventions relatives aux droits de l</w:t>
      </w:r>
      <w:r w:rsidR="0035332C">
        <w:rPr>
          <w:lang w:val="fr-FR"/>
        </w:rPr>
        <w:t>’</w:t>
      </w:r>
      <w:r w:rsidRPr="00310D49">
        <w:rPr>
          <w:lang w:val="fr-FR"/>
        </w:rPr>
        <w:t>homme et des recommandations des organes conventionnels, dont les premières étaient celles formulées par le Comité pour l</w:t>
      </w:r>
      <w:r w:rsidR="0035332C">
        <w:rPr>
          <w:lang w:val="fr-FR"/>
        </w:rPr>
        <w:t>’</w:t>
      </w:r>
      <w:r w:rsidRPr="00310D49">
        <w:rPr>
          <w:lang w:val="fr-FR"/>
        </w:rPr>
        <w:t>élimination de toutes les formes de discrimination à l</w:t>
      </w:r>
      <w:r w:rsidR="0035332C">
        <w:rPr>
          <w:lang w:val="fr-FR"/>
        </w:rPr>
        <w:t>’</w:t>
      </w:r>
      <w:r w:rsidRPr="00310D49">
        <w:rPr>
          <w:lang w:val="fr-FR"/>
        </w:rPr>
        <w:t>égard des femmes, l</w:t>
      </w:r>
      <w:r w:rsidR="0035332C">
        <w:rPr>
          <w:lang w:val="fr-FR"/>
        </w:rPr>
        <w:t>’</w:t>
      </w:r>
      <w:r w:rsidRPr="00310D49">
        <w:rPr>
          <w:lang w:val="fr-FR"/>
        </w:rPr>
        <w:t>État de Palestine a promulgué le décret-loi n</w:t>
      </w:r>
      <w:r w:rsidR="00A10C9C" w:rsidRPr="00A10C9C">
        <w:rPr>
          <w:vertAlign w:val="superscript"/>
          <w:lang w:val="fr-FR"/>
        </w:rPr>
        <w:t>o</w:t>
      </w:r>
      <w:r w:rsidR="00A10C9C">
        <w:rPr>
          <w:lang w:val="fr-FR"/>
        </w:rPr>
        <w:t> </w:t>
      </w:r>
      <w:r w:rsidRPr="00310D49">
        <w:rPr>
          <w:lang w:val="fr-FR"/>
        </w:rPr>
        <w:t>21 de 2019 portant modification des textes de loi régissant le statut personnel concernant la fixation de l</w:t>
      </w:r>
      <w:r w:rsidR="0035332C">
        <w:rPr>
          <w:lang w:val="fr-FR"/>
        </w:rPr>
        <w:t>’</w:t>
      </w:r>
      <w:r w:rsidRPr="00310D49">
        <w:rPr>
          <w:lang w:val="fr-FR"/>
        </w:rPr>
        <w:t>âge minimum du mariage dans le pays. Ce décret-loi prévoit que parmi les conditions justifiant de la capacité matrimoniale figurent les suivantes</w:t>
      </w:r>
      <w:r w:rsidR="00A53B5A">
        <w:rPr>
          <w:lang w:val="fr-FR"/>
        </w:rPr>
        <w:t> </w:t>
      </w:r>
      <w:r w:rsidRPr="00310D49">
        <w:rPr>
          <w:lang w:val="fr-FR"/>
        </w:rPr>
        <w:t>: les deux parties au contrat de mariage doivent être saines d</w:t>
      </w:r>
      <w:r w:rsidR="0035332C">
        <w:rPr>
          <w:lang w:val="fr-FR"/>
        </w:rPr>
        <w:t>’</w:t>
      </w:r>
      <w:r w:rsidRPr="00310D49">
        <w:rPr>
          <w:lang w:val="fr-FR"/>
        </w:rPr>
        <w:t>esprit et chacune d</w:t>
      </w:r>
      <w:r w:rsidR="0035332C">
        <w:rPr>
          <w:lang w:val="fr-FR"/>
        </w:rPr>
        <w:t>’</w:t>
      </w:r>
      <w:r w:rsidRPr="00310D49">
        <w:rPr>
          <w:lang w:val="fr-FR"/>
        </w:rPr>
        <w:t xml:space="preserve">elles doit avoir dix-huit ans révolus, selon le calendrier grégorien, au moment de contracter mariage. </w:t>
      </w:r>
    </w:p>
    <w:p w14:paraId="7DFFB9AE" w14:textId="77777777" w:rsidR="00D005FA" w:rsidRPr="00310D49" w:rsidRDefault="00D005FA" w:rsidP="004E0876">
      <w:pPr>
        <w:pStyle w:val="H23G"/>
        <w:rPr>
          <w:bCs/>
          <w:lang w:val="fr-FR"/>
        </w:rPr>
      </w:pPr>
      <w:r w:rsidRPr="00310D49">
        <w:rPr>
          <w:lang w:val="fr-FR"/>
        </w:rPr>
        <w:tab/>
      </w:r>
      <w:r w:rsidRPr="00310D49">
        <w:rPr>
          <w:lang w:val="fr-FR"/>
        </w:rPr>
        <w:tab/>
      </w:r>
      <w:r>
        <w:rPr>
          <w:lang w:val="fr-FR"/>
        </w:rPr>
        <w:t>D</w:t>
      </w:r>
      <w:r w:rsidRPr="00310D49">
        <w:rPr>
          <w:lang w:val="fr-FR"/>
        </w:rPr>
        <w:t>evoirs et droits respectifs des époux</w:t>
      </w:r>
    </w:p>
    <w:p w14:paraId="568350E1" w14:textId="26FA5DC5" w:rsidR="00D005FA" w:rsidRPr="00310D49" w:rsidRDefault="00D005FA" w:rsidP="009E2AB8">
      <w:pPr>
        <w:pStyle w:val="SingleTxtG"/>
        <w:keepNext/>
        <w:keepLines/>
        <w:rPr>
          <w:lang w:val="fr-FR"/>
        </w:rPr>
      </w:pPr>
      <w:r w:rsidRPr="00310D49">
        <w:rPr>
          <w:lang w:val="fr-FR"/>
        </w:rPr>
        <w:t>386.</w:t>
      </w:r>
      <w:r w:rsidRPr="00310D49">
        <w:rPr>
          <w:lang w:val="fr-FR"/>
        </w:rPr>
        <w:tab/>
        <w:t>La relation conjugale est fondée sur la réciprocité des droits et des devoirs entre époux. L</w:t>
      </w:r>
      <w:r w:rsidR="0035332C">
        <w:rPr>
          <w:lang w:val="fr-FR"/>
        </w:rPr>
        <w:t>’</w:t>
      </w:r>
      <w:r w:rsidRPr="00310D49">
        <w:rPr>
          <w:lang w:val="fr-FR"/>
        </w:rPr>
        <w:t>époux est tenu de bien traiter son épouse et vice versa, et l</w:t>
      </w:r>
      <w:r w:rsidR="0035332C">
        <w:rPr>
          <w:lang w:val="fr-FR"/>
        </w:rPr>
        <w:t>’</w:t>
      </w:r>
      <w:r w:rsidRPr="00310D49">
        <w:rPr>
          <w:lang w:val="fr-FR"/>
        </w:rPr>
        <w:t>épouse est tenue d</w:t>
      </w:r>
      <w:r w:rsidR="0035332C">
        <w:rPr>
          <w:lang w:val="fr-FR"/>
        </w:rPr>
        <w:t>’</w:t>
      </w:r>
      <w:r w:rsidRPr="00310D49">
        <w:rPr>
          <w:lang w:val="fr-FR"/>
        </w:rPr>
        <w:t>obéir à son mari eu égard aux droits légitimes des conjoints. Le mari est également tenu de subvenir aux besoins de son épouse. Les responsabilités des parents recouvrent l</w:t>
      </w:r>
      <w:r w:rsidR="0035332C">
        <w:rPr>
          <w:lang w:val="fr-FR"/>
        </w:rPr>
        <w:t>’</w:t>
      </w:r>
      <w:r w:rsidRPr="00310D49">
        <w:rPr>
          <w:lang w:val="fr-FR"/>
        </w:rPr>
        <w:t>éducation des enfants et la gestion de leur patrimoine jusqu</w:t>
      </w:r>
      <w:r w:rsidR="0035332C">
        <w:rPr>
          <w:lang w:val="fr-FR"/>
        </w:rPr>
        <w:t>’</w:t>
      </w:r>
      <w:r w:rsidRPr="00310D49">
        <w:rPr>
          <w:lang w:val="fr-FR"/>
        </w:rPr>
        <w:t>à ce qu</w:t>
      </w:r>
      <w:r w:rsidR="0035332C">
        <w:rPr>
          <w:lang w:val="fr-FR"/>
        </w:rPr>
        <w:t>’</w:t>
      </w:r>
      <w:r w:rsidRPr="00310D49">
        <w:rPr>
          <w:lang w:val="fr-FR"/>
        </w:rPr>
        <w:t>ils atteignent l</w:t>
      </w:r>
      <w:r w:rsidR="0035332C">
        <w:rPr>
          <w:lang w:val="fr-FR"/>
        </w:rPr>
        <w:t>’</w:t>
      </w:r>
      <w:r w:rsidRPr="00310D49">
        <w:rPr>
          <w:lang w:val="fr-FR"/>
        </w:rPr>
        <w:t>âge de la majorité. Ces deux tutelles reviennent en priorité au père même lorsque la mère a la garde des enfants ou lorsque ces derniers sont confiés à des proches. Les lois applicables font obligation à l</w:t>
      </w:r>
      <w:r w:rsidR="0035332C">
        <w:rPr>
          <w:lang w:val="fr-FR"/>
        </w:rPr>
        <w:t>’</w:t>
      </w:r>
      <w:r w:rsidRPr="00310D49">
        <w:rPr>
          <w:lang w:val="fr-FR"/>
        </w:rPr>
        <w:t>épouse de vivre dans la résidence de son époux et de le suivre là où il établit sa résidence, le contrat de mariage ne pouvant prévoir une clause qui en dispose autrement. L</w:t>
      </w:r>
      <w:r w:rsidR="0035332C">
        <w:rPr>
          <w:lang w:val="fr-FR"/>
        </w:rPr>
        <w:t>’</w:t>
      </w:r>
      <w:r w:rsidRPr="00310D49">
        <w:rPr>
          <w:lang w:val="fr-FR"/>
        </w:rPr>
        <w:t>épouse n</w:t>
      </w:r>
      <w:r w:rsidR="0035332C">
        <w:rPr>
          <w:lang w:val="fr-FR"/>
        </w:rPr>
        <w:t>’</w:t>
      </w:r>
      <w:r w:rsidRPr="00310D49">
        <w:rPr>
          <w:lang w:val="fr-FR"/>
        </w:rPr>
        <w:t>a le droit de refuser de vivre dans la résidence de son époux et de le suivre là où il établit sa résidence que pour un motif légitime sur lequel doit s</w:t>
      </w:r>
      <w:r w:rsidR="0035332C">
        <w:rPr>
          <w:lang w:val="fr-FR"/>
        </w:rPr>
        <w:t>’</w:t>
      </w:r>
      <w:r w:rsidRPr="00310D49">
        <w:rPr>
          <w:lang w:val="fr-FR"/>
        </w:rPr>
        <w:t>appuyer la décision du tribunal. Par ailleurs, les lois sur le statut personnel interdisent à la mère ayant la garde des enfants de voyager avec eux à l</w:t>
      </w:r>
      <w:r w:rsidR="0035332C">
        <w:rPr>
          <w:lang w:val="fr-FR"/>
        </w:rPr>
        <w:t>’</w:t>
      </w:r>
      <w:r w:rsidRPr="00310D49">
        <w:rPr>
          <w:lang w:val="fr-FR"/>
        </w:rPr>
        <w:t>étranger, sauf avec l</w:t>
      </w:r>
      <w:r w:rsidR="0035332C">
        <w:rPr>
          <w:lang w:val="fr-FR"/>
        </w:rPr>
        <w:t>’</w:t>
      </w:r>
      <w:r w:rsidRPr="00310D49">
        <w:rPr>
          <w:lang w:val="fr-FR"/>
        </w:rPr>
        <w:t>approbation du tuteur légal.</w:t>
      </w:r>
    </w:p>
    <w:p w14:paraId="06C2AD92" w14:textId="77777777" w:rsidR="00D005FA" w:rsidRPr="00310D49" w:rsidRDefault="00D005FA" w:rsidP="004E0876">
      <w:pPr>
        <w:pStyle w:val="SingleTxtG"/>
        <w:rPr>
          <w:lang w:val="fr-FR"/>
        </w:rPr>
      </w:pPr>
      <w:r w:rsidRPr="00310D49">
        <w:rPr>
          <w:lang w:val="fr-FR"/>
        </w:rPr>
        <w:t>387.</w:t>
      </w:r>
      <w:r w:rsidRPr="00310D49">
        <w:rPr>
          <w:lang w:val="fr-FR"/>
        </w:rPr>
        <w:tab/>
        <w:t>Les époux ont des patrimoines séparés, chacun ayant le droit de posséder des fonds et des biens et de les gérer librement. En cas de divorce, chacun des époux conserve la propriété sur les fonds et les biens qui lui appartiennent, y compris ceux acquis pendant le mariage.</w:t>
      </w:r>
    </w:p>
    <w:p w14:paraId="758967BE" w14:textId="77777777" w:rsidR="00D005FA" w:rsidRPr="00310D49" w:rsidRDefault="00D005FA" w:rsidP="004E0876">
      <w:pPr>
        <w:pStyle w:val="H23G"/>
        <w:rPr>
          <w:lang w:val="fr-FR"/>
        </w:rPr>
      </w:pPr>
      <w:r w:rsidRPr="00310D49">
        <w:rPr>
          <w:lang w:val="fr-FR"/>
        </w:rPr>
        <w:tab/>
      </w:r>
      <w:r w:rsidRPr="00310D49">
        <w:rPr>
          <w:lang w:val="fr-FR"/>
        </w:rPr>
        <w:tab/>
        <w:t>Divorce et séparation</w:t>
      </w:r>
    </w:p>
    <w:p w14:paraId="335DDC96" w14:textId="360A1185" w:rsidR="00D005FA" w:rsidRPr="00310D49" w:rsidRDefault="00D005FA" w:rsidP="004E0876">
      <w:pPr>
        <w:pStyle w:val="SingleTxtG"/>
        <w:rPr>
          <w:lang w:val="fr-FR"/>
        </w:rPr>
      </w:pPr>
      <w:r w:rsidRPr="00310D49">
        <w:rPr>
          <w:lang w:val="fr-FR"/>
        </w:rPr>
        <w:t>388.</w:t>
      </w:r>
      <w:r w:rsidRPr="00310D49">
        <w:rPr>
          <w:lang w:val="fr-FR"/>
        </w:rPr>
        <w:tab/>
        <w:t>L</w:t>
      </w:r>
      <w:r w:rsidR="0035332C">
        <w:rPr>
          <w:lang w:val="fr-FR"/>
        </w:rPr>
        <w:t>’</w:t>
      </w:r>
      <w:r w:rsidRPr="00310D49">
        <w:rPr>
          <w:lang w:val="fr-FR"/>
        </w:rPr>
        <w:t>homme dispose du droit, pour un motif quelconque, de divorcer unilatéralement de son épouse, même sans le consentement de cette dernière. Il peut également mandater une autre personne pour divorcer de son épouse. Il doit enregistrer ce divorce auprès d</w:t>
      </w:r>
      <w:r w:rsidR="0035332C">
        <w:rPr>
          <w:lang w:val="fr-FR"/>
        </w:rPr>
        <w:t>’</w:t>
      </w:r>
      <w:r w:rsidRPr="00310D49">
        <w:rPr>
          <w:lang w:val="fr-FR"/>
        </w:rPr>
        <w:t>un tribunal charaïque qui notifie à l</w:t>
      </w:r>
      <w:r w:rsidR="0035332C">
        <w:rPr>
          <w:lang w:val="fr-FR"/>
        </w:rPr>
        <w:t>’</w:t>
      </w:r>
      <w:r w:rsidRPr="00310D49">
        <w:rPr>
          <w:lang w:val="fr-FR"/>
        </w:rPr>
        <w:t>épouse le divorce par défaut dans un délai d</w:t>
      </w:r>
      <w:r w:rsidR="0035332C">
        <w:rPr>
          <w:lang w:val="fr-FR"/>
        </w:rPr>
        <w:t>’</w:t>
      </w:r>
      <w:r w:rsidRPr="00310D49">
        <w:rPr>
          <w:lang w:val="fr-FR"/>
        </w:rPr>
        <w:t>une semaine après son enregistrement. La femme a le droit d</w:t>
      </w:r>
      <w:r w:rsidR="0035332C">
        <w:rPr>
          <w:lang w:val="fr-FR"/>
        </w:rPr>
        <w:t>’</w:t>
      </w:r>
      <w:r w:rsidRPr="00310D49">
        <w:rPr>
          <w:lang w:val="fr-FR"/>
        </w:rPr>
        <w:t>exiger dans le contrat de mariage le droit de décider elle-même de divorcer. Elle a également le droit de dissoudre le mariage pour manquement du mari à ses obligations conjugales prévues par la loi et par le contrat de mariage, en introduisant auprès du tribunal charaïque une demande de séparation. La femme a en outre le droit de demander unilatéralement à son mari de divorcer d</w:t>
      </w:r>
      <w:r w:rsidR="0035332C">
        <w:rPr>
          <w:lang w:val="fr-FR"/>
        </w:rPr>
        <w:t>’</w:t>
      </w:r>
      <w:r w:rsidRPr="00310D49">
        <w:rPr>
          <w:lang w:val="fr-FR"/>
        </w:rPr>
        <w:t>elle en le dispensant, en échange, de lui verser ses droits en totalité ou en partie. Elle a enfin le droit de rompre la relation conjugale avant la consommation du mariage, en introduisant une demande de divorce auprès d</w:t>
      </w:r>
      <w:r w:rsidR="0035332C">
        <w:rPr>
          <w:lang w:val="fr-FR"/>
        </w:rPr>
        <w:t>’</w:t>
      </w:r>
      <w:r w:rsidRPr="00310D49">
        <w:rPr>
          <w:lang w:val="fr-FR"/>
        </w:rPr>
        <w:t>un tribunal charaïque. La femme a, d</w:t>
      </w:r>
      <w:r w:rsidR="0035332C">
        <w:rPr>
          <w:lang w:val="fr-FR"/>
        </w:rPr>
        <w:t>’</w:t>
      </w:r>
      <w:r w:rsidRPr="00310D49">
        <w:rPr>
          <w:lang w:val="fr-FR"/>
        </w:rPr>
        <w:t>autre part, le droit de réclamer devant le juge réparation pour divorce arbitraire et injustifié décidé par son mari. La décision d</w:t>
      </w:r>
      <w:r w:rsidR="0035332C">
        <w:rPr>
          <w:lang w:val="fr-FR"/>
        </w:rPr>
        <w:t>’</w:t>
      </w:r>
      <w:r w:rsidRPr="00310D49">
        <w:rPr>
          <w:lang w:val="fr-FR"/>
        </w:rPr>
        <w:t>indemnisation décidée par le tribunal n</w:t>
      </w:r>
      <w:r w:rsidR="0035332C">
        <w:rPr>
          <w:lang w:val="fr-FR"/>
        </w:rPr>
        <w:t>’</w:t>
      </w:r>
      <w:r w:rsidRPr="00310D49">
        <w:rPr>
          <w:lang w:val="fr-FR"/>
        </w:rPr>
        <w:t>a pas d</w:t>
      </w:r>
      <w:r w:rsidR="0035332C">
        <w:rPr>
          <w:lang w:val="fr-FR"/>
        </w:rPr>
        <w:t>’</w:t>
      </w:r>
      <w:r w:rsidRPr="00310D49">
        <w:rPr>
          <w:lang w:val="fr-FR"/>
        </w:rPr>
        <w:t>incidence sur les autres droits conjugaux de la femme divorcée, y compris la pension de viduité. Quant aux communautés chrétiennes, certaines acceptent le divorce, comme les communautés orthodoxes, et d</w:t>
      </w:r>
      <w:r w:rsidR="0035332C">
        <w:rPr>
          <w:lang w:val="fr-FR"/>
        </w:rPr>
        <w:t>’</w:t>
      </w:r>
      <w:r w:rsidRPr="00310D49">
        <w:rPr>
          <w:lang w:val="fr-FR"/>
        </w:rPr>
        <w:t>autres acceptent la séparation, comme les communautés catholiques.</w:t>
      </w:r>
    </w:p>
    <w:p w14:paraId="32E42402" w14:textId="77777777" w:rsidR="00D005FA" w:rsidRPr="00310D49" w:rsidRDefault="00D005FA" w:rsidP="004E0876">
      <w:pPr>
        <w:pStyle w:val="H23G"/>
        <w:rPr>
          <w:bCs/>
          <w:lang w:val="fr-FR"/>
        </w:rPr>
      </w:pPr>
      <w:r w:rsidRPr="00310D49">
        <w:rPr>
          <w:lang w:val="fr-FR"/>
        </w:rPr>
        <w:tab/>
      </w:r>
      <w:r w:rsidRPr="00310D49">
        <w:rPr>
          <w:lang w:val="fr-FR"/>
        </w:rPr>
        <w:tab/>
        <w:t>Garde des enfants</w:t>
      </w:r>
    </w:p>
    <w:p w14:paraId="75463F6F" w14:textId="6DE6638A" w:rsidR="00D005FA" w:rsidRPr="00310D49" w:rsidRDefault="00D005FA" w:rsidP="004E0876">
      <w:pPr>
        <w:pStyle w:val="SingleTxtG"/>
        <w:rPr>
          <w:lang w:val="fr-FR"/>
        </w:rPr>
      </w:pPr>
      <w:r w:rsidRPr="00310D49">
        <w:rPr>
          <w:lang w:val="fr-FR"/>
        </w:rPr>
        <w:t>389.</w:t>
      </w:r>
      <w:r w:rsidRPr="00310D49">
        <w:rPr>
          <w:lang w:val="fr-FR"/>
        </w:rPr>
        <w:tab/>
        <w:t>Le Code du statut personnel accorde le droit de la garde des enfants à leur mère tant qu</w:t>
      </w:r>
      <w:r w:rsidR="0035332C">
        <w:rPr>
          <w:lang w:val="fr-FR"/>
        </w:rPr>
        <w:t>’</w:t>
      </w:r>
      <w:r w:rsidRPr="00310D49">
        <w:rPr>
          <w:lang w:val="fr-FR"/>
        </w:rPr>
        <w:t>elle est apte à assumer cette garde. Après la mère, le droit de garde revient aux autres femmes de la famille selon l</w:t>
      </w:r>
      <w:r w:rsidR="0035332C">
        <w:rPr>
          <w:lang w:val="fr-FR"/>
        </w:rPr>
        <w:t>’</w:t>
      </w:r>
      <w:r w:rsidRPr="00310D49">
        <w:rPr>
          <w:lang w:val="fr-FR"/>
        </w:rPr>
        <w:t>ordre établi par l</w:t>
      </w:r>
      <w:r w:rsidR="0035332C">
        <w:rPr>
          <w:lang w:val="fr-FR"/>
        </w:rPr>
        <w:t>’</w:t>
      </w:r>
      <w:r w:rsidRPr="00310D49">
        <w:rPr>
          <w:lang w:val="fr-FR"/>
        </w:rPr>
        <w:t>école hanafite. La mère est déchue du droit de garde lorsqu</w:t>
      </w:r>
      <w:r w:rsidR="0035332C">
        <w:rPr>
          <w:lang w:val="fr-FR"/>
        </w:rPr>
        <w:t>’</w:t>
      </w:r>
      <w:r w:rsidRPr="00310D49">
        <w:rPr>
          <w:lang w:val="fr-FR"/>
        </w:rPr>
        <w:t>elle se remarie avec un autre homme et la garde lui est restituée lorsque le motif pour lequel elle en a été déchue n</w:t>
      </w:r>
      <w:r w:rsidR="0035332C">
        <w:rPr>
          <w:lang w:val="fr-FR"/>
        </w:rPr>
        <w:t>’</w:t>
      </w:r>
      <w:r w:rsidRPr="00310D49">
        <w:rPr>
          <w:lang w:val="fr-FR"/>
        </w:rPr>
        <w:t>existe plus.</w:t>
      </w:r>
    </w:p>
    <w:p w14:paraId="22FC75F2" w14:textId="246ABE56" w:rsidR="00D005FA" w:rsidRPr="00310D49" w:rsidRDefault="00D005FA" w:rsidP="004E0876">
      <w:pPr>
        <w:pStyle w:val="SingleTxtG"/>
        <w:rPr>
          <w:lang w:val="fr-FR"/>
        </w:rPr>
      </w:pPr>
      <w:r w:rsidRPr="00310D49">
        <w:rPr>
          <w:lang w:val="fr-FR"/>
        </w:rPr>
        <w:t>390.</w:t>
      </w:r>
      <w:r w:rsidRPr="00310D49">
        <w:rPr>
          <w:lang w:val="fr-FR"/>
        </w:rPr>
        <w:tab/>
        <w:t>Selon le Code du statut personnel de 1976, la garde des enfants par la mère dure jusqu</w:t>
      </w:r>
      <w:r w:rsidR="0035332C">
        <w:rPr>
          <w:lang w:val="fr-FR"/>
        </w:rPr>
        <w:t>’</w:t>
      </w:r>
      <w:r w:rsidRPr="00310D49">
        <w:rPr>
          <w:lang w:val="fr-FR"/>
        </w:rPr>
        <w:t>à ce qu</w:t>
      </w:r>
      <w:r w:rsidR="0035332C">
        <w:rPr>
          <w:lang w:val="fr-FR"/>
        </w:rPr>
        <w:t>’</w:t>
      </w:r>
      <w:r w:rsidRPr="00310D49">
        <w:rPr>
          <w:lang w:val="fr-FR"/>
        </w:rPr>
        <w:t>ils atteignent la puberté, tandis que la garde de l</w:t>
      </w:r>
      <w:r w:rsidR="0035332C">
        <w:rPr>
          <w:lang w:val="fr-FR"/>
        </w:rPr>
        <w:t>’</w:t>
      </w:r>
      <w:r w:rsidRPr="00310D49">
        <w:rPr>
          <w:lang w:val="fr-FR"/>
        </w:rPr>
        <w:t xml:space="preserve">enfant par une femme autre </w:t>
      </w:r>
      <w:r w:rsidRPr="00310D49">
        <w:rPr>
          <w:lang w:val="fr-FR"/>
        </w:rPr>
        <w:lastRenderedPageBreak/>
        <w:t>que sa mère prend fin lorsque ce dernier atteint 9 ans s</w:t>
      </w:r>
      <w:r w:rsidR="0035332C">
        <w:rPr>
          <w:lang w:val="fr-FR"/>
        </w:rPr>
        <w:t>’</w:t>
      </w:r>
      <w:r w:rsidRPr="00310D49">
        <w:rPr>
          <w:lang w:val="fr-FR"/>
        </w:rPr>
        <w:t>il s</w:t>
      </w:r>
      <w:r w:rsidR="0035332C">
        <w:rPr>
          <w:lang w:val="fr-FR"/>
        </w:rPr>
        <w:t>’</w:t>
      </w:r>
      <w:r w:rsidRPr="00310D49">
        <w:rPr>
          <w:lang w:val="fr-FR"/>
        </w:rPr>
        <w:t>agit d</w:t>
      </w:r>
      <w:r w:rsidR="0035332C">
        <w:rPr>
          <w:lang w:val="fr-FR"/>
        </w:rPr>
        <w:t>’</w:t>
      </w:r>
      <w:r w:rsidRPr="00310D49">
        <w:rPr>
          <w:lang w:val="fr-FR"/>
        </w:rPr>
        <w:t>un garçon et 11 ans s</w:t>
      </w:r>
      <w:r w:rsidR="0035332C">
        <w:rPr>
          <w:lang w:val="fr-FR"/>
        </w:rPr>
        <w:t>’</w:t>
      </w:r>
      <w:r w:rsidRPr="00310D49">
        <w:rPr>
          <w:lang w:val="fr-FR"/>
        </w:rPr>
        <w:t>il s</w:t>
      </w:r>
      <w:r w:rsidR="0035332C">
        <w:rPr>
          <w:lang w:val="fr-FR"/>
        </w:rPr>
        <w:t>’</w:t>
      </w:r>
      <w:r w:rsidRPr="00310D49">
        <w:rPr>
          <w:lang w:val="fr-FR"/>
        </w:rPr>
        <w:t>agit d</w:t>
      </w:r>
      <w:r w:rsidR="0035332C">
        <w:rPr>
          <w:lang w:val="fr-FR"/>
        </w:rPr>
        <w:t>’</w:t>
      </w:r>
      <w:r w:rsidRPr="00310D49">
        <w:rPr>
          <w:lang w:val="fr-FR"/>
        </w:rPr>
        <w:t>une fille. En revanche, conformément à la loi sur les droits de la famille, la garde, qu</w:t>
      </w:r>
      <w:r w:rsidR="0035332C">
        <w:rPr>
          <w:lang w:val="fr-FR"/>
        </w:rPr>
        <w:t>’</w:t>
      </w:r>
      <w:r w:rsidRPr="00310D49">
        <w:rPr>
          <w:lang w:val="fr-FR"/>
        </w:rPr>
        <w:t>elle soit exercée par la mère ou par une autre femme, dure jusqu</w:t>
      </w:r>
      <w:r w:rsidR="0035332C">
        <w:rPr>
          <w:lang w:val="fr-FR"/>
        </w:rPr>
        <w:t>’</w:t>
      </w:r>
      <w:r w:rsidRPr="00310D49">
        <w:rPr>
          <w:lang w:val="fr-FR"/>
        </w:rPr>
        <w:t>à l</w:t>
      </w:r>
      <w:r w:rsidR="0035332C">
        <w:rPr>
          <w:lang w:val="fr-FR"/>
        </w:rPr>
        <w:t>’</w:t>
      </w:r>
      <w:r w:rsidRPr="00310D49">
        <w:rPr>
          <w:lang w:val="fr-FR"/>
        </w:rPr>
        <w:t>âge de 7 ans pour le garçon et de 9 ans pour la fille. Le magistrat peut autoriser la prolongation de la période de garde jusqu</w:t>
      </w:r>
      <w:r w:rsidR="0035332C">
        <w:rPr>
          <w:lang w:val="fr-FR"/>
        </w:rPr>
        <w:t>’</w:t>
      </w:r>
      <w:r w:rsidRPr="00310D49">
        <w:rPr>
          <w:lang w:val="fr-FR"/>
        </w:rPr>
        <w:t>à 9 ans pour les garçons et 11 ans pour les filles lorsque leur intérêt l</w:t>
      </w:r>
      <w:r w:rsidR="0035332C">
        <w:rPr>
          <w:lang w:val="fr-FR"/>
        </w:rPr>
        <w:t>’</w:t>
      </w:r>
      <w:r w:rsidRPr="00310D49">
        <w:rPr>
          <w:lang w:val="fr-FR"/>
        </w:rPr>
        <w:t xml:space="preserve">exige. </w:t>
      </w:r>
    </w:p>
    <w:p w14:paraId="4A4578B0" w14:textId="2DCC469C" w:rsidR="00D005FA" w:rsidRPr="00310D49" w:rsidRDefault="00D005FA" w:rsidP="004E0876">
      <w:pPr>
        <w:pStyle w:val="SingleTxtG"/>
        <w:rPr>
          <w:lang w:val="fr-FR"/>
        </w:rPr>
      </w:pPr>
      <w:r w:rsidRPr="00310D49">
        <w:rPr>
          <w:lang w:val="fr-FR"/>
        </w:rPr>
        <w:t>391.</w:t>
      </w:r>
      <w:r w:rsidRPr="00310D49">
        <w:rPr>
          <w:lang w:val="fr-FR"/>
        </w:rPr>
        <w:tab/>
        <w:t>En ce qui concerne le droit de visite et d</w:t>
      </w:r>
      <w:r w:rsidR="0035332C">
        <w:rPr>
          <w:lang w:val="fr-FR"/>
        </w:rPr>
        <w:t>’</w:t>
      </w:r>
      <w:r w:rsidRPr="00310D49">
        <w:rPr>
          <w:lang w:val="fr-FR"/>
        </w:rPr>
        <w:t>hébergement des enfants, la circulaire n</w:t>
      </w:r>
      <w:r w:rsidR="008C2A7D">
        <w:rPr>
          <w:vertAlign w:val="superscript"/>
          <w:lang w:val="fr-FR"/>
        </w:rPr>
        <w:t>o</w:t>
      </w:r>
      <w:r w:rsidR="008C2A7D" w:rsidRPr="008C2A7D">
        <w:rPr>
          <w:lang w:val="fr-FR"/>
        </w:rPr>
        <w:t> </w:t>
      </w:r>
      <w:r w:rsidRPr="00310D49">
        <w:rPr>
          <w:lang w:val="fr-FR"/>
        </w:rPr>
        <w:t>59/2012 le Bureau du Grand Cadi de Palestine prévoit que le parent qui n</w:t>
      </w:r>
      <w:r w:rsidR="0035332C">
        <w:rPr>
          <w:lang w:val="fr-FR"/>
        </w:rPr>
        <w:t>’</w:t>
      </w:r>
      <w:r w:rsidRPr="00310D49">
        <w:rPr>
          <w:lang w:val="fr-FR"/>
        </w:rPr>
        <w:t>a pas la garde de l</w:t>
      </w:r>
      <w:r w:rsidR="0035332C">
        <w:rPr>
          <w:lang w:val="fr-FR"/>
        </w:rPr>
        <w:t>’</w:t>
      </w:r>
      <w:r w:rsidRPr="00310D49">
        <w:rPr>
          <w:lang w:val="fr-FR"/>
        </w:rPr>
        <w:t>enfant a le droit de l</w:t>
      </w:r>
      <w:r w:rsidR="0035332C">
        <w:rPr>
          <w:lang w:val="fr-FR"/>
        </w:rPr>
        <w:t>’</w:t>
      </w:r>
      <w:r w:rsidRPr="00310D49">
        <w:rPr>
          <w:lang w:val="fr-FR"/>
        </w:rPr>
        <w:t>héberger une fois par semaine pendant vingt-quatre heures, compte dûment tenu de l</w:t>
      </w:r>
      <w:r w:rsidR="0035332C">
        <w:rPr>
          <w:lang w:val="fr-FR"/>
        </w:rPr>
        <w:t>’</w:t>
      </w:r>
      <w:r w:rsidRPr="00310D49">
        <w:rPr>
          <w:lang w:val="fr-FR"/>
        </w:rPr>
        <w:t>âge de l</w:t>
      </w:r>
      <w:r w:rsidR="0035332C">
        <w:rPr>
          <w:lang w:val="fr-FR"/>
        </w:rPr>
        <w:t>’</w:t>
      </w:r>
      <w:r w:rsidRPr="00310D49">
        <w:rPr>
          <w:lang w:val="fr-FR"/>
        </w:rPr>
        <w:t>enfant, de sa situation, ainsi que de son intérêt. La durée d</w:t>
      </w:r>
      <w:r w:rsidR="0035332C">
        <w:rPr>
          <w:lang w:val="fr-FR"/>
        </w:rPr>
        <w:t>’</w:t>
      </w:r>
      <w:r w:rsidRPr="00310D49">
        <w:rPr>
          <w:lang w:val="fr-FR"/>
        </w:rPr>
        <w:t>hébergement peut être prolongée d</w:t>
      </w:r>
      <w:r w:rsidR="0035332C">
        <w:rPr>
          <w:lang w:val="fr-FR"/>
        </w:rPr>
        <w:t>’</w:t>
      </w:r>
      <w:r w:rsidRPr="00310D49">
        <w:rPr>
          <w:lang w:val="fr-FR"/>
        </w:rPr>
        <w:t>un commun accord, moyennant une garantie judiciaire. Par ailleurs, la réconciliation familiale joue un rôle important dans la détermination et la réalisation de l</w:t>
      </w:r>
      <w:r w:rsidR="0035332C">
        <w:rPr>
          <w:lang w:val="fr-FR"/>
        </w:rPr>
        <w:t>’</w:t>
      </w:r>
      <w:r w:rsidRPr="00310D49">
        <w:rPr>
          <w:lang w:val="fr-FR"/>
        </w:rPr>
        <w:t>intérêt supérieur de l</w:t>
      </w:r>
      <w:r w:rsidR="0035332C">
        <w:rPr>
          <w:lang w:val="fr-FR"/>
        </w:rPr>
        <w:t>’</w:t>
      </w:r>
      <w:r w:rsidRPr="00310D49">
        <w:rPr>
          <w:lang w:val="fr-FR"/>
        </w:rPr>
        <w:t>enfant.</w:t>
      </w:r>
    </w:p>
    <w:p w14:paraId="6633E57B" w14:textId="77777777" w:rsidR="00D005FA" w:rsidRPr="00310D49" w:rsidRDefault="00D005FA" w:rsidP="004E0876">
      <w:pPr>
        <w:pStyle w:val="H23G"/>
        <w:rPr>
          <w:lang w:val="fr-FR"/>
        </w:rPr>
      </w:pPr>
      <w:r w:rsidRPr="00310D49">
        <w:rPr>
          <w:lang w:val="fr-FR"/>
        </w:rPr>
        <w:tab/>
      </w:r>
      <w:r w:rsidRPr="00310D49">
        <w:rPr>
          <w:lang w:val="fr-FR"/>
        </w:rPr>
        <w:tab/>
        <w:t>Regroupement familial</w:t>
      </w:r>
    </w:p>
    <w:p w14:paraId="6FF78EF3" w14:textId="1D2F89D8" w:rsidR="00D005FA" w:rsidRPr="00310D49" w:rsidRDefault="00D005FA" w:rsidP="004E0876">
      <w:pPr>
        <w:pStyle w:val="SingleTxtG"/>
        <w:rPr>
          <w:lang w:val="fr-FR"/>
        </w:rPr>
      </w:pPr>
      <w:r w:rsidRPr="00310D49">
        <w:rPr>
          <w:lang w:val="fr-FR"/>
        </w:rPr>
        <w:t>392.</w:t>
      </w:r>
      <w:r w:rsidRPr="00310D49">
        <w:rPr>
          <w:lang w:val="fr-FR"/>
        </w:rPr>
        <w:tab/>
        <w:t>En raison du contrôle exercé par l</w:t>
      </w:r>
      <w:r w:rsidR="0035332C">
        <w:rPr>
          <w:lang w:val="fr-FR"/>
        </w:rPr>
        <w:t>’</w:t>
      </w:r>
      <w:r w:rsidRPr="00310D49">
        <w:rPr>
          <w:lang w:val="fr-FR"/>
        </w:rPr>
        <w:t>occupant israélien sur le registre de la population palestinienne, de nombreuses familles sont séparées les unes des autres, parce que des milliers de Palestiniens sont empêchés d</w:t>
      </w:r>
      <w:r w:rsidR="0035332C">
        <w:rPr>
          <w:lang w:val="fr-FR"/>
        </w:rPr>
        <w:t>’</w:t>
      </w:r>
      <w:r w:rsidRPr="00310D49">
        <w:rPr>
          <w:lang w:val="fr-FR"/>
        </w:rPr>
        <w:t>entrer dans le pays ou de le quitter, ou parce que l</w:t>
      </w:r>
      <w:r w:rsidR="0035332C">
        <w:rPr>
          <w:lang w:val="fr-FR"/>
        </w:rPr>
        <w:t>’</w:t>
      </w:r>
      <w:r w:rsidRPr="00310D49">
        <w:rPr>
          <w:lang w:val="fr-FR"/>
        </w:rPr>
        <w:t>un des conjoints est originaire de la bande de Gaza. En outre, la loi israélienne sur la citoyenneté, qui est fondée sur la discrimination liée à l</w:t>
      </w:r>
      <w:r w:rsidR="0035332C">
        <w:rPr>
          <w:lang w:val="fr-FR"/>
        </w:rPr>
        <w:t>’</w:t>
      </w:r>
      <w:r w:rsidRPr="00310D49">
        <w:rPr>
          <w:lang w:val="fr-FR"/>
        </w:rPr>
        <w:t>origine ethnique et à la nationalité, interdit également la réunification des familles dans lesquelles l</w:t>
      </w:r>
      <w:r w:rsidR="0035332C">
        <w:rPr>
          <w:lang w:val="fr-FR"/>
        </w:rPr>
        <w:t>’</w:t>
      </w:r>
      <w:r w:rsidRPr="00310D49">
        <w:rPr>
          <w:lang w:val="fr-FR"/>
        </w:rPr>
        <w:t>un des parents est un Palestinien de Jérusalem et l</w:t>
      </w:r>
      <w:r w:rsidR="0035332C">
        <w:rPr>
          <w:lang w:val="fr-FR"/>
        </w:rPr>
        <w:t>’</w:t>
      </w:r>
      <w:r w:rsidRPr="00310D49">
        <w:rPr>
          <w:lang w:val="fr-FR"/>
        </w:rPr>
        <w:t>autre un Palestinien de Cisjordanie ou de la bande de Gaza.</w:t>
      </w:r>
    </w:p>
    <w:p w14:paraId="0733F65E" w14:textId="77777777" w:rsidR="00D005FA" w:rsidRPr="00310D49" w:rsidRDefault="00D005FA" w:rsidP="004E0876">
      <w:pPr>
        <w:pStyle w:val="H23G"/>
        <w:rPr>
          <w:bCs/>
          <w:lang w:val="fr-FR"/>
        </w:rPr>
      </w:pPr>
      <w:r w:rsidRPr="00310D49">
        <w:rPr>
          <w:lang w:val="fr-FR"/>
        </w:rPr>
        <w:tab/>
      </w:r>
      <w:r w:rsidRPr="00310D49">
        <w:rPr>
          <w:lang w:val="fr-FR"/>
        </w:rPr>
        <w:tab/>
        <w:t>Polygamie et mariage forcé</w:t>
      </w:r>
    </w:p>
    <w:p w14:paraId="6F7F31D0" w14:textId="2F0D9F1E" w:rsidR="00D005FA" w:rsidRPr="00310D49" w:rsidRDefault="00D005FA" w:rsidP="004E0876">
      <w:pPr>
        <w:pStyle w:val="SingleTxtG"/>
        <w:rPr>
          <w:lang w:val="fr-FR"/>
        </w:rPr>
      </w:pPr>
      <w:r w:rsidRPr="00310D49">
        <w:rPr>
          <w:lang w:val="fr-FR"/>
        </w:rPr>
        <w:t>393.</w:t>
      </w:r>
      <w:r w:rsidRPr="00310D49">
        <w:rPr>
          <w:lang w:val="fr-FR"/>
        </w:rPr>
        <w:tab/>
        <w:t>L</w:t>
      </w:r>
      <w:r w:rsidR="0035332C">
        <w:rPr>
          <w:lang w:val="fr-FR"/>
        </w:rPr>
        <w:t>’</w:t>
      </w:r>
      <w:r w:rsidRPr="00310D49">
        <w:rPr>
          <w:lang w:val="fr-FR"/>
        </w:rPr>
        <w:t>homme peut avoir jusqu</w:t>
      </w:r>
      <w:r w:rsidR="0035332C">
        <w:rPr>
          <w:lang w:val="fr-FR"/>
        </w:rPr>
        <w:t>’</w:t>
      </w:r>
      <w:r w:rsidRPr="00310D49">
        <w:rPr>
          <w:lang w:val="fr-FR"/>
        </w:rPr>
        <w:t>à quatre épouses, à condition de les traiter équitablement en matière de prise en charge et de conditions de vie. L</w:t>
      </w:r>
      <w:r w:rsidR="0035332C">
        <w:rPr>
          <w:lang w:val="fr-FR"/>
        </w:rPr>
        <w:t>’</w:t>
      </w:r>
      <w:r w:rsidRPr="00310D49">
        <w:rPr>
          <w:lang w:val="fr-FR"/>
        </w:rPr>
        <w:t>épouse a le droit d</w:t>
      </w:r>
      <w:r w:rsidR="0035332C">
        <w:rPr>
          <w:lang w:val="fr-FR"/>
        </w:rPr>
        <w:t>’</w:t>
      </w:r>
      <w:r w:rsidRPr="00310D49">
        <w:rPr>
          <w:lang w:val="fr-FR"/>
        </w:rPr>
        <w:t>exiger, dans le contrat de mariage, que son époux ne se marie pas avec une autre femme, sinon le contrat est annulé à sa demande. Par ailleurs, la polygamie est interdite dans le christianisme.</w:t>
      </w:r>
    </w:p>
    <w:p w14:paraId="7DA6E535" w14:textId="760F21AB" w:rsidR="00D005FA" w:rsidRPr="00310D49" w:rsidRDefault="00D005FA" w:rsidP="004E0876">
      <w:pPr>
        <w:pStyle w:val="SingleTxtG"/>
        <w:rPr>
          <w:lang w:val="fr-FR"/>
        </w:rPr>
      </w:pPr>
      <w:r w:rsidRPr="00310D49">
        <w:rPr>
          <w:lang w:val="fr-FR"/>
        </w:rPr>
        <w:t>394.</w:t>
      </w:r>
      <w:r w:rsidRPr="00310D49">
        <w:rPr>
          <w:lang w:val="fr-FR"/>
        </w:rPr>
        <w:tab/>
        <w:t>L</w:t>
      </w:r>
      <w:r w:rsidR="0035332C">
        <w:rPr>
          <w:lang w:val="fr-FR"/>
        </w:rPr>
        <w:t>’</w:t>
      </w:r>
      <w:r w:rsidRPr="00310D49">
        <w:rPr>
          <w:lang w:val="fr-FR"/>
        </w:rPr>
        <w:t>article 34 (al</w:t>
      </w:r>
      <w:r w:rsidR="008C2A7D">
        <w:rPr>
          <w:lang w:val="fr-FR"/>
        </w:rPr>
        <w:t>. </w:t>
      </w:r>
      <w:r w:rsidRPr="00310D49">
        <w:rPr>
          <w:lang w:val="fr-FR"/>
        </w:rPr>
        <w:t>3) du Code du statut personnel de 1976 et l</w:t>
      </w:r>
      <w:r w:rsidR="0035332C">
        <w:rPr>
          <w:lang w:val="fr-FR"/>
        </w:rPr>
        <w:t>’</w:t>
      </w:r>
      <w:r w:rsidRPr="00310D49">
        <w:rPr>
          <w:lang w:val="fr-FR"/>
        </w:rPr>
        <w:t>article 36 de la loi n</w:t>
      </w:r>
      <w:r w:rsidR="008C2A7D" w:rsidRPr="008C2A7D">
        <w:rPr>
          <w:vertAlign w:val="superscript"/>
          <w:lang w:val="fr-FR"/>
        </w:rPr>
        <w:t>o</w:t>
      </w:r>
      <w:r w:rsidR="008C2A7D">
        <w:rPr>
          <w:lang w:val="fr-FR"/>
        </w:rPr>
        <w:t> </w:t>
      </w:r>
      <w:r w:rsidRPr="00310D49">
        <w:rPr>
          <w:lang w:val="fr-FR"/>
        </w:rPr>
        <w:t>303 sur les droits de la famille disposent que le mariage est invalide s</w:t>
      </w:r>
      <w:r w:rsidR="0035332C">
        <w:rPr>
          <w:lang w:val="fr-FR"/>
        </w:rPr>
        <w:t>’</w:t>
      </w:r>
      <w:r w:rsidRPr="00310D49">
        <w:rPr>
          <w:lang w:val="fr-FR"/>
        </w:rPr>
        <w:t>il est contracté sous la contrainte. Conformément à l</w:t>
      </w:r>
      <w:r w:rsidR="0035332C">
        <w:rPr>
          <w:lang w:val="fr-FR"/>
        </w:rPr>
        <w:t>’</w:t>
      </w:r>
      <w:r w:rsidRPr="00310D49">
        <w:rPr>
          <w:lang w:val="fr-FR"/>
        </w:rPr>
        <w:t>article 44 (al</w:t>
      </w:r>
      <w:r w:rsidR="008C2A7D">
        <w:rPr>
          <w:lang w:val="fr-FR"/>
        </w:rPr>
        <w:t>. </w:t>
      </w:r>
      <w:r w:rsidRPr="00310D49">
        <w:rPr>
          <w:lang w:val="fr-FR"/>
        </w:rPr>
        <w:t>8) du Code de l</w:t>
      </w:r>
      <w:r w:rsidR="0035332C">
        <w:rPr>
          <w:lang w:val="fr-FR"/>
        </w:rPr>
        <w:t>’</w:t>
      </w:r>
      <w:r w:rsidRPr="00310D49">
        <w:rPr>
          <w:lang w:val="fr-FR"/>
        </w:rPr>
        <w:t>enfance, tel que modifié, il est interdit de forcer un enfant à se marier.</w:t>
      </w:r>
    </w:p>
    <w:p w14:paraId="06B40AC8" w14:textId="423E8B35" w:rsidR="00D005FA" w:rsidRPr="00310D49" w:rsidRDefault="00D005FA" w:rsidP="004E0876">
      <w:pPr>
        <w:pStyle w:val="SingleTxtG"/>
        <w:rPr>
          <w:lang w:val="fr-FR"/>
        </w:rPr>
      </w:pPr>
      <w:r w:rsidRPr="00310D49">
        <w:rPr>
          <w:lang w:val="fr-FR"/>
        </w:rPr>
        <w:t>395.</w:t>
      </w:r>
      <w:r w:rsidRPr="00310D49">
        <w:rPr>
          <w:lang w:val="fr-FR"/>
        </w:rPr>
        <w:tab/>
        <w:t>Selon le Bureau central palestinien de statistique, environ 20</w:t>
      </w:r>
      <w:r w:rsidR="008C2A7D">
        <w:rPr>
          <w:lang w:val="fr-FR"/>
        </w:rPr>
        <w:t> </w:t>
      </w:r>
      <w:r w:rsidRPr="00310D49">
        <w:rPr>
          <w:lang w:val="fr-FR"/>
        </w:rPr>
        <w:t>% de l</w:t>
      </w:r>
      <w:r w:rsidR="0035332C">
        <w:rPr>
          <w:lang w:val="fr-FR"/>
        </w:rPr>
        <w:t>’</w:t>
      </w:r>
      <w:r w:rsidRPr="00310D49">
        <w:rPr>
          <w:lang w:val="fr-FR"/>
        </w:rPr>
        <w:t>ensemble des femmes qui se sont mariées en 2017 avaient moins de 18 ans, alors que cette proportion était d</w:t>
      </w:r>
      <w:r w:rsidR="0035332C">
        <w:rPr>
          <w:lang w:val="fr-FR"/>
        </w:rPr>
        <w:t>’</w:t>
      </w:r>
      <w:r w:rsidRPr="00310D49">
        <w:rPr>
          <w:lang w:val="fr-FR"/>
        </w:rPr>
        <w:t>environ 24</w:t>
      </w:r>
      <w:r w:rsidR="008C2A7D">
        <w:rPr>
          <w:lang w:val="fr-FR"/>
        </w:rPr>
        <w:t> </w:t>
      </w:r>
      <w:r w:rsidRPr="00310D49">
        <w:rPr>
          <w:lang w:val="fr-FR"/>
        </w:rPr>
        <w:t>% en 2010.</w:t>
      </w:r>
    </w:p>
    <w:p w14:paraId="440E5D1E" w14:textId="5E5630EE" w:rsidR="00D005FA" w:rsidRPr="00310D49" w:rsidRDefault="00D005FA" w:rsidP="004E0876">
      <w:pPr>
        <w:pStyle w:val="H1G"/>
        <w:rPr>
          <w:lang w:val="fr-FR"/>
        </w:rPr>
      </w:pPr>
      <w:r w:rsidRPr="00310D49">
        <w:rPr>
          <w:lang w:val="fr-FR"/>
        </w:rPr>
        <w:tab/>
      </w:r>
      <w:r w:rsidRPr="00310D49">
        <w:rPr>
          <w:lang w:val="fr-FR"/>
        </w:rPr>
        <w:tab/>
        <w:t>Article 24</w:t>
      </w:r>
      <w:bookmarkStart w:id="26" w:name="_Toc80715513"/>
      <w:bookmarkEnd w:id="26"/>
    </w:p>
    <w:p w14:paraId="76172628" w14:textId="61441EE2" w:rsidR="00D005FA" w:rsidRPr="00310D49" w:rsidRDefault="00D005FA" w:rsidP="004E0876">
      <w:pPr>
        <w:pStyle w:val="SingleTxtG"/>
        <w:rPr>
          <w:lang w:val="fr-FR"/>
        </w:rPr>
      </w:pPr>
      <w:r w:rsidRPr="00310D49">
        <w:rPr>
          <w:lang w:val="fr-FR"/>
        </w:rPr>
        <w:t>396.</w:t>
      </w:r>
      <w:r w:rsidRPr="00310D49">
        <w:rPr>
          <w:lang w:val="fr-FR"/>
        </w:rPr>
        <w:tab/>
        <w:t>Conformément à l</w:t>
      </w:r>
      <w:r w:rsidR="0035332C">
        <w:rPr>
          <w:lang w:val="fr-FR"/>
        </w:rPr>
        <w:t>’</w:t>
      </w:r>
      <w:r w:rsidRPr="00310D49">
        <w:rPr>
          <w:lang w:val="fr-FR"/>
        </w:rPr>
        <w:t>article</w:t>
      </w:r>
      <w:r w:rsidR="008C2A7D">
        <w:rPr>
          <w:lang w:val="fr-FR"/>
        </w:rPr>
        <w:t> </w:t>
      </w:r>
      <w:r w:rsidRPr="00310D49">
        <w:rPr>
          <w:lang w:val="fr-FR"/>
        </w:rPr>
        <w:t>29 de la Loi fondamentale, telle que modifiée, la protection de la maternité et de l</w:t>
      </w:r>
      <w:r w:rsidR="0035332C">
        <w:rPr>
          <w:lang w:val="fr-FR"/>
        </w:rPr>
        <w:t>’</w:t>
      </w:r>
      <w:r w:rsidRPr="00310D49">
        <w:rPr>
          <w:lang w:val="fr-FR"/>
        </w:rPr>
        <w:t>enfance est un devoir national. Les enfants ont droit à une protection et à une prise en charge complète, de ne pas être exploités à quelque fin que ce soit, d</w:t>
      </w:r>
      <w:r w:rsidR="0035332C">
        <w:rPr>
          <w:lang w:val="fr-FR"/>
        </w:rPr>
        <w:t>’</w:t>
      </w:r>
      <w:r w:rsidRPr="00310D49">
        <w:rPr>
          <w:lang w:val="fr-FR"/>
        </w:rPr>
        <w:t>être protégés contre les abus et traitements cruels, d</w:t>
      </w:r>
      <w:r w:rsidR="0035332C">
        <w:rPr>
          <w:lang w:val="fr-FR"/>
        </w:rPr>
        <w:t>’</w:t>
      </w:r>
      <w:r w:rsidRPr="00310D49">
        <w:rPr>
          <w:lang w:val="fr-FR"/>
        </w:rPr>
        <w:t>être séparés des adultes dans les cas où ils sont condamnés à une peine privative de liberté et d</w:t>
      </w:r>
      <w:r w:rsidR="0035332C">
        <w:rPr>
          <w:lang w:val="fr-FR"/>
        </w:rPr>
        <w:t>’</w:t>
      </w:r>
      <w:r w:rsidRPr="00310D49">
        <w:rPr>
          <w:lang w:val="fr-FR"/>
        </w:rPr>
        <w:t>être traités d</w:t>
      </w:r>
      <w:r w:rsidR="0035332C">
        <w:rPr>
          <w:lang w:val="fr-FR"/>
        </w:rPr>
        <w:t>’</w:t>
      </w:r>
      <w:r w:rsidRPr="00310D49">
        <w:rPr>
          <w:lang w:val="fr-FR"/>
        </w:rPr>
        <w:t>une manière qui convient à leur âge et vise à leur réhabilitation.</w:t>
      </w:r>
    </w:p>
    <w:p w14:paraId="711FB9B3" w14:textId="103C3BBB" w:rsidR="00D005FA" w:rsidRPr="00310D49" w:rsidRDefault="00D005FA" w:rsidP="004E0876">
      <w:pPr>
        <w:pStyle w:val="SingleTxtG"/>
        <w:rPr>
          <w:spacing w:val="-4"/>
          <w:lang w:val="fr-FR"/>
        </w:rPr>
      </w:pPr>
      <w:r w:rsidRPr="00310D49">
        <w:rPr>
          <w:lang w:val="fr-FR"/>
        </w:rPr>
        <w:t>397.</w:t>
      </w:r>
      <w:r w:rsidRPr="00310D49">
        <w:rPr>
          <w:lang w:val="fr-FR"/>
        </w:rPr>
        <w:tab/>
        <w:t>Selon le Code de l</w:t>
      </w:r>
      <w:r w:rsidR="0035332C">
        <w:rPr>
          <w:lang w:val="fr-FR"/>
        </w:rPr>
        <w:t>’</w:t>
      </w:r>
      <w:r w:rsidRPr="00310D49">
        <w:rPr>
          <w:lang w:val="fr-FR"/>
        </w:rPr>
        <w:t>enfance, tel que modifié, chaque enfant doit être inscrit à l</w:t>
      </w:r>
      <w:r w:rsidR="0035332C">
        <w:rPr>
          <w:lang w:val="fr-FR"/>
        </w:rPr>
        <w:t>’</w:t>
      </w:r>
      <w:r w:rsidRPr="00310D49">
        <w:rPr>
          <w:lang w:val="fr-FR"/>
        </w:rPr>
        <w:t>état civil immédiatement après sa naissance. Les articles 17 à 19 du Code du statut personnel disposent qu</w:t>
      </w:r>
      <w:r w:rsidR="0035332C">
        <w:rPr>
          <w:lang w:val="fr-FR"/>
        </w:rPr>
        <w:t>’</w:t>
      </w:r>
      <w:r w:rsidRPr="00310D49">
        <w:rPr>
          <w:lang w:val="fr-FR"/>
        </w:rPr>
        <w:t>une personne doit être chargée d</w:t>
      </w:r>
      <w:r w:rsidR="0035332C">
        <w:rPr>
          <w:lang w:val="fr-FR"/>
        </w:rPr>
        <w:t>’</w:t>
      </w:r>
      <w:r w:rsidRPr="00310D49">
        <w:rPr>
          <w:lang w:val="fr-FR"/>
        </w:rPr>
        <w:t>informer immédiatement le Ministère de l</w:t>
      </w:r>
      <w:r w:rsidR="0035332C">
        <w:rPr>
          <w:lang w:val="fr-FR"/>
        </w:rPr>
        <w:t>’</w:t>
      </w:r>
      <w:r w:rsidRPr="00310D49">
        <w:rPr>
          <w:lang w:val="fr-FR"/>
        </w:rPr>
        <w:t>intérieur de la naissance, de fournir des informations sur le nouveau-né, telles qu</w:t>
      </w:r>
      <w:r w:rsidR="0035332C">
        <w:rPr>
          <w:lang w:val="fr-FR"/>
        </w:rPr>
        <w:t>’</w:t>
      </w:r>
      <w:r w:rsidRPr="00310D49">
        <w:rPr>
          <w:lang w:val="fr-FR"/>
        </w:rPr>
        <w:t xml:space="preserve">elles figurent sur le certificat de naissance délivré par les services de santé, et de se faire </w:t>
      </w:r>
      <w:r w:rsidR="008C2A7D" w:rsidRPr="00310D49">
        <w:rPr>
          <w:lang w:val="fr-FR"/>
        </w:rPr>
        <w:t>établi</w:t>
      </w:r>
      <w:r w:rsidR="008C2A7D">
        <w:rPr>
          <w:lang w:val="fr-FR"/>
        </w:rPr>
        <w:t>r</w:t>
      </w:r>
      <w:r w:rsidRPr="00310D49">
        <w:rPr>
          <w:lang w:val="fr-FR"/>
        </w:rPr>
        <w:t xml:space="preserve"> un extrait d</w:t>
      </w:r>
      <w:r w:rsidR="0035332C">
        <w:rPr>
          <w:lang w:val="fr-FR"/>
        </w:rPr>
        <w:t>’</w:t>
      </w:r>
      <w:r w:rsidRPr="00310D49">
        <w:rPr>
          <w:lang w:val="fr-FR"/>
        </w:rPr>
        <w:t>acte de naissance. L</w:t>
      </w:r>
      <w:r w:rsidR="0035332C">
        <w:rPr>
          <w:lang w:val="fr-FR"/>
        </w:rPr>
        <w:t>’</w:t>
      </w:r>
      <w:r w:rsidRPr="00310D49">
        <w:rPr>
          <w:lang w:val="fr-FR"/>
        </w:rPr>
        <w:t>article 16 du Code de l</w:t>
      </w:r>
      <w:r w:rsidR="0035332C">
        <w:rPr>
          <w:lang w:val="fr-FR"/>
        </w:rPr>
        <w:t>’</w:t>
      </w:r>
      <w:r w:rsidRPr="00310D49">
        <w:rPr>
          <w:lang w:val="fr-FR"/>
        </w:rPr>
        <w:t>enfance impose aux parents d</w:t>
      </w:r>
      <w:r w:rsidR="0035332C">
        <w:rPr>
          <w:lang w:val="fr-FR"/>
        </w:rPr>
        <w:t>’</w:t>
      </w:r>
      <w:r w:rsidRPr="00310D49">
        <w:rPr>
          <w:lang w:val="fr-FR"/>
        </w:rPr>
        <w:t>attribuer à l</w:t>
      </w:r>
      <w:r w:rsidR="0035332C">
        <w:rPr>
          <w:lang w:val="fr-FR"/>
        </w:rPr>
        <w:t>’</w:t>
      </w:r>
      <w:r w:rsidRPr="00310D49">
        <w:rPr>
          <w:lang w:val="fr-FR"/>
        </w:rPr>
        <w:t>enfant un prénom décent, dépourvu de tout caractère dégradant ou humiliant. En ce qui concerne les enfants nés de parents inconnus, le Ministère du développement social assure le suivi de la procédure d</w:t>
      </w:r>
      <w:r w:rsidR="0035332C">
        <w:rPr>
          <w:lang w:val="fr-FR"/>
        </w:rPr>
        <w:t>’</w:t>
      </w:r>
      <w:r w:rsidRPr="00310D49">
        <w:rPr>
          <w:lang w:val="fr-FR"/>
        </w:rPr>
        <w:t>enregistrement de chaque enfant et, après avoir vérifié que le dossier est complet, transmet l</w:t>
      </w:r>
      <w:r w:rsidR="0035332C">
        <w:rPr>
          <w:lang w:val="fr-FR"/>
        </w:rPr>
        <w:t>’</w:t>
      </w:r>
      <w:r w:rsidRPr="00310D49">
        <w:rPr>
          <w:lang w:val="fr-FR"/>
        </w:rPr>
        <w:t>original au Ministère de l</w:t>
      </w:r>
      <w:r w:rsidR="0035332C">
        <w:rPr>
          <w:lang w:val="fr-FR"/>
        </w:rPr>
        <w:t>’</w:t>
      </w:r>
      <w:r w:rsidRPr="00310D49">
        <w:rPr>
          <w:lang w:val="fr-FR"/>
        </w:rPr>
        <w:t>intérieur afin qu</w:t>
      </w:r>
      <w:r w:rsidR="0035332C">
        <w:rPr>
          <w:lang w:val="fr-FR"/>
        </w:rPr>
        <w:t>’</w:t>
      </w:r>
      <w:r w:rsidRPr="00310D49">
        <w:rPr>
          <w:lang w:val="fr-FR"/>
        </w:rPr>
        <w:t>il puisse enregistrer l</w:t>
      </w:r>
      <w:r w:rsidR="0035332C">
        <w:rPr>
          <w:lang w:val="fr-FR"/>
        </w:rPr>
        <w:t>’</w:t>
      </w:r>
      <w:r w:rsidRPr="00310D49">
        <w:rPr>
          <w:lang w:val="fr-FR"/>
        </w:rPr>
        <w:t>enfant et délivrer un acte de naissance à son nom.</w:t>
      </w:r>
    </w:p>
    <w:p w14:paraId="6923FAE4" w14:textId="41FD4162" w:rsidR="00D005FA" w:rsidRPr="00310D49" w:rsidRDefault="00D005FA" w:rsidP="004E0876">
      <w:pPr>
        <w:pStyle w:val="SingleTxtG"/>
        <w:rPr>
          <w:lang w:val="fr-FR"/>
        </w:rPr>
      </w:pPr>
      <w:r w:rsidRPr="00310D49">
        <w:rPr>
          <w:lang w:val="fr-FR"/>
        </w:rPr>
        <w:lastRenderedPageBreak/>
        <w:t>398.</w:t>
      </w:r>
      <w:r w:rsidRPr="00310D49">
        <w:rPr>
          <w:lang w:val="fr-FR"/>
        </w:rPr>
        <w:tab/>
        <w:t>L</w:t>
      </w:r>
      <w:r w:rsidR="0035332C">
        <w:rPr>
          <w:lang w:val="fr-FR"/>
        </w:rPr>
        <w:t>’</w:t>
      </w:r>
      <w:r w:rsidRPr="00310D49">
        <w:rPr>
          <w:lang w:val="fr-FR"/>
        </w:rPr>
        <w:t>article 947 de la Majallah el-Ahkam-i-Adliya (faisant office de Code civil) dispose que le mineur doué de discernement «</w:t>
      </w:r>
      <w:r w:rsidR="008C2A7D">
        <w:rPr>
          <w:lang w:val="fr-FR"/>
        </w:rPr>
        <w:t> </w:t>
      </w:r>
      <w:r w:rsidRPr="00310D49">
        <w:rPr>
          <w:lang w:val="fr-FR"/>
        </w:rPr>
        <w:t>est celui qui prend possession de ses biens et les gère, sans gaspillage ni parcimonie</w:t>
      </w:r>
      <w:r w:rsidR="008C2A7D">
        <w:rPr>
          <w:lang w:val="fr-FR"/>
        </w:rPr>
        <w:t> </w:t>
      </w:r>
      <w:r w:rsidRPr="00310D49">
        <w:rPr>
          <w:lang w:val="fr-FR"/>
        </w:rPr>
        <w:t>».</w:t>
      </w:r>
    </w:p>
    <w:p w14:paraId="245CE834" w14:textId="72FE04F3" w:rsidR="00D005FA" w:rsidRPr="00310D49" w:rsidRDefault="00D005FA" w:rsidP="004E0876">
      <w:pPr>
        <w:pStyle w:val="SingleTxtG"/>
        <w:rPr>
          <w:lang w:val="fr-FR"/>
        </w:rPr>
      </w:pPr>
      <w:r w:rsidRPr="00310D49">
        <w:rPr>
          <w:lang w:val="fr-FR"/>
        </w:rPr>
        <w:t>399.</w:t>
      </w:r>
      <w:r w:rsidRPr="00310D49">
        <w:rPr>
          <w:lang w:val="fr-FR"/>
        </w:rPr>
        <w:tab/>
        <w:t>L</w:t>
      </w:r>
      <w:r w:rsidR="0035332C">
        <w:rPr>
          <w:lang w:val="fr-FR"/>
        </w:rPr>
        <w:t>’</w:t>
      </w:r>
      <w:r w:rsidRPr="00310D49">
        <w:rPr>
          <w:lang w:val="fr-FR"/>
        </w:rPr>
        <w:t>article 18 du Code de l</w:t>
      </w:r>
      <w:r w:rsidR="0035332C">
        <w:rPr>
          <w:lang w:val="fr-FR"/>
        </w:rPr>
        <w:t>’</w:t>
      </w:r>
      <w:r w:rsidRPr="00310D49">
        <w:rPr>
          <w:lang w:val="fr-FR"/>
        </w:rPr>
        <w:t>enfance prévoit que «</w:t>
      </w:r>
      <w:r w:rsidR="008C2A7D">
        <w:rPr>
          <w:lang w:val="fr-FR"/>
        </w:rPr>
        <w:t> </w:t>
      </w:r>
      <w:r w:rsidRPr="00310D49">
        <w:rPr>
          <w:lang w:val="fr-FR"/>
        </w:rPr>
        <w:t>[t]out enfant palestinien a droit à la nationalité palestinienne immédiatement après sa naissance, conformément aux dispositions de la loi applicable</w:t>
      </w:r>
      <w:r w:rsidR="008C2A7D">
        <w:rPr>
          <w:lang w:val="fr-FR"/>
        </w:rPr>
        <w:t> </w:t>
      </w:r>
      <w:r w:rsidRPr="00310D49">
        <w:rPr>
          <w:lang w:val="fr-FR"/>
        </w:rPr>
        <w:t>», mais comme mentionné précédemment, l</w:t>
      </w:r>
      <w:r w:rsidR="0035332C">
        <w:rPr>
          <w:lang w:val="fr-FR"/>
        </w:rPr>
        <w:t>’</w:t>
      </w:r>
      <w:r w:rsidRPr="00310D49">
        <w:rPr>
          <w:lang w:val="fr-FR"/>
        </w:rPr>
        <w:t>occupant interdit à l</w:t>
      </w:r>
      <w:r w:rsidR="0035332C">
        <w:rPr>
          <w:lang w:val="fr-FR"/>
        </w:rPr>
        <w:t>’</w:t>
      </w:r>
      <w:r w:rsidRPr="00310D49">
        <w:rPr>
          <w:lang w:val="fr-FR"/>
        </w:rPr>
        <w:t>État de Palestine de promulguer une loi palestinienne régissant le droit à la citoyenneté.</w:t>
      </w:r>
    </w:p>
    <w:p w14:paraId="1B44D189" w14:textId="77777777" w:rsidR="00D005FA" w:rsidRPr="00310D49" w:rsidRDefault="00D005FA" w:rsidP="004E0876">
      <w:pPr>
        <w:pStyle w:val="H23G"/>
        <w:rPr>
          <w:lang w:val="fr-FR"/>
        </w:rPr>
      </w:pPr>
      <w:r w:rsidRPr="00310D49">
        <w:rPr>
          <w:lang w:val="fr-FR"/>
        </w:rPr>
        <w:tab/>
      </w:r>
      <w:r w:rsidRPr="00310D49">
        <w:rPr>
          <w:lang w:val="fr-FR"/>
        </w:rPr>
        <w:tab/>
        <w:t>Mineurs</w:t>
      </w:r>
    </w:p>
    <w:p w14:paraId="3A27228D" w14:textId="232B6A7D" w:rsidR="00D005FA" w:rsidRPr="00310D49" w:rsidRDefault="00D005FA" w:rsidP="004E0876">
      <w:pPr>
        <w:pStyle w:val="SingleTxtG"/>
        <w:rPr>
          <w:lang w:val="fr-FR"/>
        </w:rPr>
      </w:pPr>
      <w:r w:rsidRPr="00310D49">
        <w:rPr>
          <w:lang w:val="fr-FR"/>
        </w:rPr>
        <w:t>400.</w:t>
      </w:r>
      <w:r w:rsidRPr="00310D49">
        <w:rPr>
          <w:lang w:val="fr-FR"/>
        </w:rPr>
        <w:tab/>
        <w:t>Le décret-loi de 2016 sur la protection des mineurs consacre l</w:t>
      </w:r>
      <w:r w:rsidR="0035332C">
        <w:rPr>
          <w:lang w:val="fr-FR"/>
        </w:rPr>
        <w:t>’</w:t>
      </w:r>
      <w:r w:rsidRPr="00310D49">
        <w:rPr>
          <w:lang w:val="fr-FR"/>
        </w:rPr>
        <w:t>intérêt supérieur de l</w:t>
      </w:r>
      <w:r w:rsidR="0035332C">
        <w:rPr>
          <w:lang w:val="fr-FR"/>
        </w:rPr>
        <w:t>’</w:t>
      </w:r>
      <w:r w:rsidRPr="00310D49">
        <w:rPr>
          <w:lang w:val="fr-FR"/>
        </w:rPr>
        <w:t>enfant, y compris la justice réparatrice, et prévoit des mesures de médiation et de réparation. L</w:t>
      </w:r>
      <w:r w:rsidR="0035332C">
        <w:rPr>
          <w:lang w:val="fr-FR"/>
        </w:rPr>
        <w:t>’</w:t>
      </w:r>
      <w:r w:rsidRPr="00310D49">
        <w:rPr>
          <w:lang w:val="fr-FR"/>
        </w:rPr>
        <w:t>article premier dudit décret-loi définit le mineur comme suit</w:t>
      </w:r>
      <w:r w:rsidR="00A53B5A">
        <w:rPr>
          <w:lang w:val="fr-FR"/>
        </w:rPr>
        <w:t> </w:t>
      </w:r>
      <w:r w:rsidRPr="00310D49">
        <w:rPr>
          <w:lang w:val="fr-FR"/>
        </w:rPr>
        <w:t>: «</w:t>
      </w:r>
      <w:r w:rsidR="008C2A7D">
        <w:rPr>
          <w:lang w:val="fr-FR"/>
        </w:rPr>
        <w:t> </w:t>
      </w:r>
      <w:r w:rsidRPr="00310D49">
        <w:rPr>
          <w:lang w:val="fr-FR"/>
        </w:rPr>
        <w:t>Tout enfant âgé de moins de 18 ans au moment où il commet une infraction pénale ou se trouve confronté au risque de tomber dans la délinquance</w:t>
      </w:r>
      <w:r w:rsidR="008C2A7D">
        <w:rPr>
          <w:lang w:val="fr-FR"/>
        </w:rPr>
        <w:t>. </w:t>
      </w:r>
      <w:r w:rsidRPr="00310D49">
        <w:rPr>
          <w:lang w:val="fr-FR"/>
        </w:rPr>
        <w:t>». L</w:t>
      </w:r>
      <w:r w:rsidR="0035332C">
        <w:rPr>
          <w:lang w:val="fr-FR"/>
        </w:rPr>
        <w:t>’</w:t>
      </w:r>
      <w:r w:rsidRPr="00310D49">
        <w:rPr>
          <w:lang w:val="fr-FR"/>
        </w:rPr>
        <w:t>âge de la responsabilité pénale est fixé à 12 ans.</w:t>
      </w:r>
    </w:p>
    <w:p w14:paraId="0A655464" w14:textId="2739AAD0" w:rsidR="00D005FA" w:rsidRPr="00310D49" w:rsidRDefault="00D005FA" w:rsidP="004E0876">
      <w:pPr>
        <w:pStyle w:val="SingleTxtG"/>
        <w:rPr>
          <w:lang w:val="fr-FR"/>
        </w:rPr>
      </w:pPr>
      <w:r w:rsidRPr="00310D49">
        <w:rPr>
          <w:lang w:val="fr-FR"/>
        </w:rPr>
        <w:t>401.</w:t>
      </w:r>
      <w:r w:rsidRPr="00310D49">
        <w:rPr>
          <w:lang w:val="fr-FR"/>
        </w:rPr>
        <w:tab/>
        <w:t>En 2016, une brigade de protection des mineurs a été mise en place dans la police et une section des mineurs a été créée au sein du ministère public pour garantir le respect de l</w:t>
      </w:r>
      <w:r w:rsidR="0035332C">
        <w:rPr>
          <w:lang w:val="fr-FR"/>
        </w:rPr>
        <w:t>’</w:t>
      </w:r>
      <w:r w:rsidRPr="00310D49">
        <w:rPr>
          <w:lang w:val="fr-FR"/>
        </w:rPr>
        <w:t>intérêt supérieur de l</w:t>
      </w:r>
      <w:r w:rsidR="0035332C">
        <w:rPr>
          <w:lang w:val="fr-FR"/>
        </w:rPr>
        <w:t>’</w:t>
      </w:r>
      <w:r w:rsidRPr="00310D49">
        <w:rPr>
          <w:lang w:val="fr-FR"/>
        </w:rPr>
        <w:t>enfant. En outre, des juges spécialisés ont été nommés, un système informatisé de contrôle de la durée des affaires a été mis en place, la confidentialité des procédures et des procès est préservée et les affaires sont exonérées des frais de justice. Pour</w:t>
      </w:r>
      <w:r w:rsidR="008C2A7D">
        <w:rPr>
          <w:lang w:val="fr-FR"/>
        </w:rPr>
        <w:t> </w:t>
      </w:r>
      <w:r w:rsidRPr="00310D49">
        <w:rPr>
          <w:lang w:val="fr-FR"/>
        </w:rPr>
        <w:t>fournir une assistance juridique gratuite aux mineurs, des avocats ont été recrutés en Cisjordanie par le Ministère du développement social et des protocoles d</w:t>
      </w:r>
      <w:r w:rsidR="0035332C">
        <w:rPr>
          <w:lang w:val="fr-FR"/>
        </w:rPr>
        <w:t>’</w:t>
      </w:r>
      <w:r w:rsidRPr="00310D49">
        <w:rPr>
          <w:lang w:val="fr-FR"/>
        </w:rPr>
        <w:t>entente ont été signés avec les organisations non gouvernementales offrant des services d</w:t>
      </w:r>
      <w:r w:rsidR="0035332C">
        <w:rPr>
          <w:lang w:val="fr-FR"/>
        </w:rPr>
        <w:t>’</w:t>
      </w:r>
      <w:r w:rsidRPr="00310D49">
        <w:rPr>
          <w:lang w:val="fr-FR"/>
        </w:rPr>
        <w:t>assistance juridique.</w:t>
      </w:r>
    </w:p>
    <w:p w14:paraId="6C6339A5" w14:textId="20701E29" w:rsidR="00D005FA" w:rsidRPr="00310D49" w:rsidRDefault="00D005FA" w:rsidP="004E0876">
      <w:pPr>
        <w:pStyle w:val="SingleTxtG"/>
        <w:rPr>
          <w:rFonts w:eastAsia="+mn-ea"/>
          <w:lang w:val="fr-FR"/>
        </w:rPr>
      </w:pPr>
      <w:r w:rsidRPr="00310D49">
        <w:rPr>
          <w:lang w:val="fr-FR"/>
        </w:rPr>
        <w:t>402.</w:t>
      </w:r>
      <w:r w:rsidRPr="00310D49">
        <w:rPr>
          <w:lang w:val="fr-FR"/>
        </w:rPr>
        <w:tab/>
        <w:t>Le Procureur général a publié des directives confirmant que la détention des mineurs devait être une mesure de dernier recours et que leur placement dans des centres de protection sociale devait être limité. Ces directives précisent également que les mineurs doivent, que ce soit dans les tribunaux ou dans les lieux de détention, être séparés des adultes ou des mineurs condamnés, en insistant sur la nécessité d</w:t>
      </w:r>
      <w:r w:rsidR="0035332C">
        <w:rPr>
          <w:lang w:val="fr-FR"/>
        </w:rPr>
        <w:t>’</w:t>
      </w:r>
      <w:r w:rsidRPr="00310D49">
        <w:rPr>
          <w:lang w:val="fr-FR"/>
        </w:rPr>
        <w:t>éviter l</w:t>
      </w:r>
      <w:r w:rsidR="0035332C">
        <w:rPr>
          <w:lang w:val="fr-FR"/>
        </w:rPr>
        <w:t>’</w:t>
      </w:r>
      <w:r w:rsidRPr="00310D49">
        <w:rPr>
          <w:lang w:val="fr-FR"/>
        </w:rPr>
        <w:t>arrestation de tout mineur âgé de moins de 15</w:t>
      </w:r>
      <w:r w:rsidR="008B6ECA">
        <w:rPr>
          <w:lang w:val="fr-FR"/>
        </w:rPr>
        <w:t> </w:t>
      </w:r>
      <w:r w:rsidRPr="00310D49">
        <w:rPr>
          <w:lang w:val="fr-FR"/>
        </w:rPr>
        <w:t>ans. Les directives énoncées ci-dessus ont entraîné une réduction du nombre de mineurs placés en détention par le parquet des mineurs, sachant qu</w:t>
      </w:r>
      <w:r w:rsidR="0035332C">
        <w:rPr>
          <w:lang w:val="fr-FR"/>
        </w:rPr>
        <w:t>’</w:t>
      </w:r>
      <w:r w:rsidRPr="00310D49">
        <w:rPr>
          <w:lang w:val="fr-FR"/>
        </w:rPr>
        <w:t>en 2016, plus de 600</w:t>
      </w:r>
      <w:r w:rsidR="008B6ECA">
        <w:rPr>
          <w:lang w:val="fr-FR"/>
        </w:rPr>
        <w:t> </w:t>
      </w:r>
      <w:r w:rsidRPr="00310D49">
        <w:rPr>
          <w:lang w:val="fr-FR"/>
        </w:rPr>
        <w:t>mineurs avaient été placés en détention, tandis qu</w:t>
      </w:r>
      <w:r w:rsidR="0035332C">
        <w:rPr>
          <w:lang w:val="fr-FR"/>
        </w:rPr>
        <w:t>’</w:t>
      </w:r>
      <w:r w:rsidRPr="00310D49">
        <w:rPr>
          <w:lang w:val="fr-FR"/>
        </w:rPr>
        <w:t>en 2017, leur nombre était tombé à 158.</w:t>
      </w:r>
    </w:p>
    <w:p w14:paraId="35A76D6C" w14:textId="371182FA" w:rsidR="00D005FA" w:rsidRPr="00310D49" w:rsidRDefault="00D005FA" w:rsidP="004E0876">
      <w:pPr>
        <w:pStyle w:val="SingleTxtG"/>
        <w:rPr>
          <w:rFonts w:eastAsia="+mn-ea"/>
          <w:spacing w:val="-4"/>
          <w:lang w:val="fr-FR"/>
        </w:rPr>
      </w:pPr>
      <w:r w:rsidRPr="00310D49">
        <w:rPr>
          <w:lang w:val="fr-FR"/>
        </w:rPr>
        <w:t>403.</w:t>
      </w:r>
      <w:r w:rsidRPr="00310D49">
        <w:rPr>
          <w:lang w:val="fr-FR"/>
        </w:rPr>
        <w:tab/>
        <w:t>En application du décret pris par le Conseil des ministres en 2010, le Ministère du développement social a mis en place la Commission nationale de la justice des mineurs. En</w:t>
      </w:r>
      <w:r w:rsidR="008B6ECA">
        <w:rPr>
          <w:lang w:val="fr-FR"/>
        </w:rPr>
        <w:t> </w:t>
      </w:r>
      <w:r w:rsidRPr="00310D49">
        <w:rPr>
          <w:lang w:val="fr-FR"/>
        </w:rPr>
        <w:t>outre, le Ministère a élaboré en 2016 le Plan stratégique de la justice pour les mineurs et a mis en place une Commission de suivi de la mise en œuvre du décret-loi sur la protection des mineurs palestiniens. Il a également élaboré un manuel des procédures à suivre, un système d</w:t>
      </w:r>
      <w:r w:rsidR="0035332C">
        <w:rPr>
          <w:lang w:val="fr-FR"/>
        </w:rPr>
        <w:t>’</w:t>
      </w:r>
      <w:r w:rsidRPr="00310D49">
        <w:rPr>
          <w:lang w:val="fr-FR"/>
        </w:rPr>
        <w:t>orientation des mineurs, précisant les rôles des différents acteurs du système judiciaire et des autres organismes gouvernementaux, et un guide des mesures de substitution à la détention. Le Ministère a par ailleurs conclu un mémorandum d</w:t>
      </w:r>
      <w:r w:rsidR="0035332C">
        <w:rPr>
          <w:lang w:val="fr-FR"/>
        </w:rPr>
        <w:t>’</w:t>
      </w:r>
      <w:r w:rsidRPr="00310D49">
        <w:rPr>
          <w:lang w:val="fr-FR"/>
        </w:rPr>
        <w:t>accord avec le Conseil supérieur de la magistrature pour assurer le suivi des affaires liées à la justice pour mineurs.</w:t>
      </w:r>
    </w:p>
    <w:p w14:paraId="731D9316" w14:textId="324CFD65" w:rsidR="00D005FA" w:rsidRPr="00310D49" w:rsidRDefault="00D005FA" w:rsidP="004E0876">
      <w:pPr>
        <w:pStyle w:val="SingleTxtG"/>
        <w:rPr>
          <w:lang w:val="fr-FR"/>
        </w:rPr>
      </w:pPr>
      <w:r w:rsidRPr="00310D49">
        <w:rPr>
          <w:lang w:val="fr-FR"/>
        </w:rPr>
        <w:t>404.</w:t>
      </w:r>
      <w:r w:rsidRPr="00310D49">
        <w:rPr>
          <w:lang w:val="fr-FR"/>
        </w:rPr>
        <w:tab/>
        <w:t>La Fondation Dar al-Amal, institution de protection sociale, accueille les garçons mineurs arrêtés et mis en détention en Cisjordanie et la Fondation Dar al-Rabii à Gaza accueille les garçons mineurs à Gaza. Ces institutions reçoivent des enfants âgés de 13 à 18</w:t>
      </w:r>
      <w:r w:rsidR="008B6ECA">
        <w:rPr>
          <w:lang w:val="fr-FR"/>
        </w:rPr>
        <w:t> </w:t>
      </w:r>
      <w:r w:rsidRPr="00310D49">
        <w:rPr>
          <w:lang w:val="fr-FR"/>
        </w:rPr>
        <w:t>ans. Il n</w:t>
      </w:r>
      <w:r w:rsidR="0035332C">
        <w:rPr>
          <w:lang w:val="fr-FR"/>
        </w:rPr>
        <w:t>’</w:t>
      </w:r>
      <w:r w:rsidRPr="00310D49">
        <w:rPr>
          <w:lang w:val="fr-FR"/>
        </w:rPr>
        <w:t>existe pas d</w:t>
      </w:r>
      <w:r w:rsidR="0035332C">
        <w:rPr>
          <w:lang w:val="fr-FR"/>
        </w:rPr>
        <w:t>’</w:t>
      </w:r>
      <w:r w:rsidRPr="00310D49">
        <w:rPr>
          <w:lang w:val="fr-FR"/>
        </w:rPr>
        <w:t>institution spécialisée pour les filles mineures. Toutefois, le centre de protection pour les filles a accueilli ces dernières années des filles en conflit avec la loi. Ces institutions sont affiliées au Ministère du développement social. Ces centres font l</w:t>
      </w:r>
      <w:r w:rsidR="0035332C">
        <w:rPr>
          <w:lang w:val="fr-FR"/>
        </w:rPr>
        <w:t>’</w:t>
      </w:r>
      <w:r w:rsidRPr="00310D49">
        <w:rPr>
          <w:lang w:val="fr-FR"/>
        </w:rPr>
        <w:t>objet de visites d</w:t>
      </w:r>
      <w:r w:rsidR="0035332C">
        <w:rPr>
          <w:lang w:val="fr-FR"/>
        </w:rPr>
        <w:t>’</w:t>
      </w:r>
      <w:r w:rsidRPr="00310D49">
        <w:rPr>
          <w:lang w:val="fr-FR"/>
        </w:rPr>
        <w:t>inspection périodiques par le Bureau du Procureur général, la Commission indépendante pour les droits de l</w:t>
      </w:r>
      <w:r w:rsidR="0035332C">
        <w:rPr>
          <w:lang w:val="fr-FR"/>
        </w:rPr>
        <w:t>’</w:t>
      </w:r>
      <w:r w:rsidRPr="00310D49">
        <w:rPr>
          <w:lang w:val="fr-FR"/>
        </w:rPr>
        <w:t>homme et les organisations non gouvernementales.</w:t>
      </w:r>
    </w:p>
    <w:p w14:paraId="50A09E70" w14:textId="5465C519" w:rsidR="00D005FA" w:rsidRPr="00310D49" w:rsidRDefault="00D005FA" w:rsidP="004E0876">
      <w:pPr>
        <w:pStyle w:val="SingleTxtG"/>
        <w:rPr>
          <w:lang w:val="fr-FR"/>
        </w:rPr>
      </w:pPr>
      <w:r w:rsidRPr="00310D49">
        <w:rPr>
          <w:lang w:val="fr-FR"/>
        </w:rPr>
        <w:t>405.</w:t>
      </w:r>
      <w:r w:rsidRPr="00310D49">
        <w:rPr>
          <w:lang w:val="fr-FR"/>
        </w:rPr>
        <w:tab/>
        <w:t>La Fondation Dar al-Amal a accueilli 236 enfants en 2014, 170 enfants en 2016 et 205</w:t>
      </w:r>
      <w:r w:rsidR="008B6ECA">
        <w:rPr>
          <w:lang w:val="fr-FR"/>
        </w:rPr>
        <w:t> </w:t>
      </w:r>
      <w:r w:rsidRPr="00310D49">
        <w:rPr>
          <w:lang w:val="fr-FR"/>
        </w:rPr>
        <w:t>enfants en 2017. Une seule fille mineure a été accueillie au centre de protection des filles en 2014. Le nombre réduit de filles mineures placées en institution tient à la culture sociale dominante, qui fait que, dans la plupart des cas, les affaires impliquant des filles sont résolues très rapidement, avant même d</w:t>
      </w:r>
      <w:r w:rsidR="0035332C">
        <w:rPr>
          <w:lang w:val="fr-FR"/>
        </w:rPr>
        <w:t>’</w:t>
      </w:r>
      <w:r w:rsidRPr="00310D49">
        <w:rPr>
          <w:lang w:val="fr-FR"/>
        </w:rPr>
        <w:t>être portées devant les tribunaux. Des travaux ont été entrepris en vue de développer la Fondation Dar al-Amal et d</w:t>
      </w:r>
      <w:r w:rsidR="0035332C">
        <w:rPr>
          <w:lang w:val="fr-FR"/>
        </w:rPr>
        <w:t>’</w:t>
      </w:r>
      <w:r w:rsidRPr="00310D49">
        <w:rPr>
          <w:lang w:val="fr-FR"/>
        </w:rPr>
        <w:t>adopter un système éducatif et un système d</w:t>
      </w:r>
      <w:r w:rsidR="0035332C">
        <w:rPr>
          <w:lang w:val="fr-FR"/>
        </w:rPr>
        <w:t>’</w:t>
      </w:r>
      <w:r w:rsidRPr="00310D49">
        <w:rPr>
          <w:lang w:val="fr-FR"/>
        </w:rPr>
        <w:t>examen médical et psychologique pour les détenus mineurs. La Fondation Dar</w:t>
      </w:r>
      <w:r w:rsidR="008B6ECA">
        <w:rPr>
          <w:lang w:val="fr-FR"/>
        </w:rPr>
        <w:t> </w:t>
      </w:r>
      <w:r w:rsidRPr="00310D49">
        <w:rPr>
          <w:lang w:val="fr-FR"/>
        </w:rPr>
        <w:t>al</w:t>
      </w:r>
      <w:r w:rsidR="008B6ECA">
        <w:rPr>
          <w:lang w:val="fr-FR"/>
        </w:rPr>
        <w:noBreakHyphen/>
      </w:r>
      <w:r w:rsidRPr="00310D49">
        <w:rPr>
          <w:lang w:val="fr-FR"/>
        </w:rPr>
        <w:t>Rabii a accueilli 900</w:t>
      </w:r>
      <w:r w:rsidR="008B6ECA">
        <w:rPr>
          <w:lang w:val="fr-FR"/>
        </w:rPr>
        <w:t> </w:t>
      </w:r>
      <w:r w:rsidRPr="00310D49">
        <w:rPr>
          <w:lang w:val="fr-FR"/>
        </w:rPr>
        <w:t>enfants en 2015 et s</w:t>
      </w:r>
      <w:r w:rsidR="0035332C">
        <w:rPr>
          <w:lang w:val="fr-FR"/>
        </w:rPr>
        <w:t>’</w:t>
      </w:r>
      <w:r w:rsidRPr="00310D49">
        <w:rPr>
          <w:lang w:val="fr-FR"/>
        </w:rPr>
        <w:t xml:space="preserve">est employée, en collaboration avec le </w:t>
      </w:r>
      <w:r w:rsidRPr="00310D49">
        <w:rPr>
          <w:lang w:val="fr-FR"/>
        </w:rPr>
        <w:lastRenderedPageBreak/>
        <w:t>Centre palestinien de règlement des conflits, à offrir une assistance judiciaire gratuite aux prévenus mineurs. Une Commission de réforme a également été mise en place au sein de la Fondation en vue d</w:t>
      </w:r>
      <w:r w:rsidR="0035332C">
        <w:rPr>
          <w:lang w:val="fr-FR"/>
        </w:rPr>
        <w:t>’</w:t>
      </w:r>
      <w:r w:rsidRPr="00310D49">
        <w:rPr>
          <w:lang w:val="fr-FR"/>
        </w:rPr>
        <w:t>assurer le suivi des affaires impliquant des mineurs.</w:t>
      </w:r>
    </w:p>
    <w:p w14:paraId="3CEB1ACF" w14:textId="637D3C9E" w:rsidR="00D005FA" w:rsidRPr="00310D49" w:rsidRDefault="00D005FA" w:rsidP="004E0876">
      <w:pPr>
        <w:pStyle w:val="H23G"/>
        <w:rPr>
          <w:bCs/>
          <w:lang w:val="fr-FR"/>
        </w:rPr>
      </w:pPr>
      <w:r w:rsidRPr="00310D49">
        <w:rPr>
          <w:lang w:val="fr-FR"/>
        </w:rPr>
        <w:tab/>
      </w:r>
      <w:r w:rsidRPr="00310D49">
        <w:rPr>
          <w:lang w:val="fr-FR"/>
        </w:rPr>
        <w:tab/>
        <w:t>Arrestation et torture d</w:t>
      </w:r>
      <w:r w:rsidR="0035332C">
        <w:rPr>
          <w:lang w:val="fr-FR"/>
        </w:rPr>
        <w:t>’</w:t>
      </w:r>
      <w:r w:rsidRPr="00310D49">
        <w:rPr>
          <w:lang w:val="fr-FR"/>
        </w:rPr>
        <w:t xml:space="preserve">enfants palestiniens </w:t>
      </w:r>
      <w:r w:rsidR="008B6ECA">
        <w:rPr>
          <w:lang w:val="fr-FR"/>
        </w:rPr>
        <w:br/>
      </w:r>
      <w:r w:rsidRPr="00310D49">
        <w:rPr>
          <w:lang w:val="fr-FR"/>
        </w:rPr>
        <w:t>par les autorités d</w:t>
      </w:r>
      <w:r w:rsidR="0035332C">
        <w:rPr>
          <w:lang w:val="fr-FR"/>
        </w:rPr>
        <w:t>’</w:t>
      </w:r>
      <w:r w:rsidRPr="00310D49">
        <w:rPr>
          <w:lang w:val="fr-FR"/>
        </w:rPr>
        <w:t>occupation israéliennes</w:t>
      </w:r>
    </w:p>
    <w:p w14:paraId="22705529" w14:textId="5A20CA92" w:rsidR="00D005FA" w:rsidRPr="00310D49" w:rsidRDefault="00D005FA" w:rsidP="004E0876">
      <w:pPr>
        <w:pStyle w:val="SingleTxtG"/>
        <w:rPr>
          <w:lang w:val="fr-FR"/>
        </w:rPr>
      </w:pPr>
      <w:r w:rsidRPr="00310D49">
        <w:rPr>
          <w:lang w:val="fr-FR"/>
        </w:rPr>
        <w:t>406.</w:t>
      </w:r>
      <w:r w:rsidRPr="00310D49">
        <w:rPr>
          <w:lang w:val="fr-FR"/>
        </w:rPr>
        <w:tab/>
        <w:t>Des milliers d</w:t>
      </w:r>
      <w:r w:rsidR="0035332C">
        <w:rPr>
          <w:lang w:val="fr-FR"/>
        </w:rPr>
        <w:t>’</w:t>
      </w:r>
      <w:r w:rsidRPr="00310D49">
        <w:rPr>
          <w:lang w:val="fr-FR"/>
        </w:rPr>
        <w:t>enfants palestiniens ont été victimes de l</w:t>
      </w:r>
      <w:r w:rsidR="0035332C">
        <w:rPr>
          <w:lang w:val="fr-FR"/>
        </w:rPr>
        <w:t>’</w:t>
      </w:r>
      <w:r w:rsidRPr="00310D49">
        <w:rPr>
          <w:lang w:val="fr-FR"/>
        </w:rPr>
        <w:t>utilisation systématique et généralisée de la détention arbitraire par Israël. Ainsi, environ 18</w:t>
      </w:r>
      <w:r w:rsidR="008B6ECA">
        <w:rPr>
          <w:lang w:val="fr-FR"/>
        </w:rPr>
        <w:t> </w:t>
      </w:r>
      <w:r w:rsidRPr="00310D49">
        <w:rPr>
          <w:lang w:val="fr-FR"/>
        </w:rPr>
        <w:t>000</w:t>
      </w:r>
      <w:r w:rsidR="008B6ECA">
        <w:rPr>
          <w:lang w:val="fr-FR"/>
        </w:rPr>
        <w:t> </w:t>
      </w:r>
      <w:r w:rsidRPr="00310D49">
        <w:rPr>
          <w:lang w:val="fr-FR"/>
        </w:rPr>
        <w:t>enfants ont été arrêtés et détenus dans les prisons de l</w:t>
      </w:r>
      <w:r w:rsidR="0035332C">
        <w:rPr>
          <w:lang w:val="fr-FR"/>
        </w:rPr>
        <w:t>’</w:t>
      </w:r>
      <w:r w:rsidRPr="00310D49">
        <w:rPr>
          <w:lang w:val="fr-FR"/>
        </w:rPr>
        <w:t>occupant israélien entre 2000 et 2020. Ces enfants ont été soumis à une ou plusieurs formes de torture, de mauvais traitements et d</w:t>
      </w:r>
      <w:r w:rsidR="0035332C">
        <w:rPr>
          <w:lang w:val="fr-FR"/>
        </w:rPr>
        <w:t>’</w:t>
      </w:r>
      <w:r w:rsidRPr="00310D49">
        <w:rPr>
          <w:lang w:val="fr-FR"/>
        </w:rPr>
        <w:t>humiliation et privés de leurs droits fondamentaux.</w:t>
      </w:r>
    </w:p>
    <w:p w14:paraId="4A7FD731" w14:textId="673ACC94" w:rsidR="00D005FA" w:rsidRPr="00310D49" w:rsidRDefault="00D005FA" w:rsidP="004E0876">
      <w:pPr>
        <w:pStyle w:val="SingleTxtG"/>
        <w:rPr>
          <w:lang w:val="fr-FR"/>
        </w:rPr>
      </w:pPr>
      <w:r w:rsidRPr="00310D49">
        <w:rPr>
          <w:lang w:val="fr-FR"/>
        </w:rPr>
        <w:t>407.</w:t>
      </w:r>
      <w:r w:rsidRPr="00310D49">
        <w:rPr>
          <w:lang w:val="fr-FR"/>
        </w:rPr>
        <w:tab/>
        <w:t>Il ressort des conclusions du rapport sur les enfants arrêtés par les forces d</w:t>
      </w:r>
      <w:r w:rsidR="0035332C">
        <w:rPr>
          <w:lang w:val="fr-FR"/>
        </w:rPr>
        <w:t>’</w:t>
      </w:r>
      <w:r w:rsidRPr="00310D49">
        <w:rPr>
          <w:lang w:val="fr-FR"/>
        </w:rPr>
        <w:t>occupation établi par l</w:t>
      </w:r>
      <w:r w:rsidR="0035332C">
        <w:rPr>
          <w:lang w:val="fr-FR"/>
        </w:rPr>
        <w:t>’</w:t>
      </w:r>
      <w:r w:rsidRPr="00310D49">
        <w:rPr>
          <w:lang w:val="fr-FR"/>
        </w:rPr>
        <w:t xml:space="preserve">organisation Defense for Children International </w:t>
      </w:r>
      <w:r w:rsidR="008B6ECA">
        <w:rPr>
          <w:lang w:val="fr-FR"/>
        </w:rPr>
        <w:t>−</w:t>
      </w:r>
      <w:r w:rsidRPr="00310D49">
        <w:rPr>
          <w:lang w:val="fr-FR"/>
        </w:rPr>
        <w:t xml:space="preserve"> Palestine Section que 324</w:t>
      </w:r>
      <w:r w:rsidR="008B6ECA">
        <w:rPr>
          <w:lang w:val="fr-FR"/>
        </w:rPr>
        <w:t> </w:t>
      </w:r>
      <w:r w:rsidRPr="00310D49">
        <w:rPr>
          <w:lang w:val="fr-FR"/>
        </w:rPr>
        <w:t>enfants palestiniens sur 429 ont subi des violences physiques entre 2012 et 2015 et que les enquêteurs israéliens ont également eu recours à des violences verbales, à des menaces et au placement à l</w:t>
      </w:r>
      <w:r w:rsidR="0035332C">
        <w:rPr>
          <w:lang w:val="fr-FR"/>
        </w:rPr>
        <w:t>’</w:t>
      </w:r>
      <w:r w:rsidRPr="00310D49">
        <w:rPr>
          <w:lang w:val="fr-FR"/>
        </w:rPr>
        <w:t>isolement en vue d</w:t>
      </w:r>
      <w:r w:rsidR="0035332C">
        <w:rPr>
          <w:lang w:val="fr-FR"/>
        </w:rPr>
        <w:t>’</w:t>
      </w:r>
      <w:r w:rsidRPr="00310D49">
        <w:rPr>
          <w:lang w:val="fr-FR"/>
        </w:rPr>
        <w:t>obtenir des aveux de la part d</w:t>
      </w:r>
      <w:r w:rsidR="0035332C">
        <w:rPr>
          <w:lang w:val="fr-FR"/>
        </w:rPr>
        <w:t>’</w:t>
      </w:r>
      <w:r w:rsidRPr="00310D49">
        <w:rPr>
          <w:lang w:val="fr-FR"/>
        </w:rPr>
        <w:t>un certain nombre d</w:t>
      </w:r>
      <w:r w:rsidR="0035332C">
        <w:rPr>
          <w:lang w:val="fr-FR"/>
        </w:rPr>
        <w:t>’</w:t>
      </w:r>
      <w:r w:rsidRPr="00310D49">
        <w:rPr>
          <w:lang w:val="fr-FR"/>
        </w:rPr>
        <w:t>enfants détenus. Tous les enfants déclarés coupables par les forces d</w:t>
      </w:r>
      <w:r w:rsidR="0035332C">
        <w:rPr>
          <w:lang w:val="fr-FR"/>
        </w:rPr>
        <w:t>’</w:t>
      </w:r>
      <w:r w:rsidRPr="00310D49">
        <w:rPr>
          <w:lang w:val="fr-FR"/>
        </w:rPr>
        <w:t xml:space="preserve">occupation au cours de la même période ont été condamnés à des peines privatives de liberté. </w:t>
      </w:r>
    </w:p>
    <w:p w14:paraId="256F4FB7" w14:textId="77777777" w:rsidR="00D005FA" w:rsidRPr="00310D49" w:rsidRDefault="00D005FA" w:rsidP="004E0876">
      <w:pPr>
        <w:pStyle w:val="H23G"/>
        <w:rPr>
          <w:bCs/>
          <w:lang w:val="fr-FR"/>
        </w:rPr>
      </w:pPr>
      <w:r w:rsidRPr="00310D49">
        <w:rPr>
          <w:lang w:val="fr-FR"/>
        </w:rPr>
        <w:tab/>
      </w:r>
      <w:r w:rsidRPr="00310D49">
        <w:rPr>
          <w:lang w:val="fr-FR"/>
        </w:rPr>
        <w:tab/>
        <w:t>Interdiction de la discrimination</w:t>
      </w:r>
    </w:p>
    <w:p w14:paraId="3A51DBF3" w14:textId="1215E2AC" w:rsidR="00D005FA" w:rsidRPr="00310D49" w:rsidRDefault="00D005FA" w:rsidP="004E0876">
      <w:pPr>
        <w:pStyle w:val="SingleTxtG"/>
        <w:rPr>
          <w:lang w:val="fr-FR"/>
        </w:rPr>
      </w:pPr>
      <w:r w:rsidRPr="00310D49">
        <w:rPr>
          <w:lang w:val="fr-FR"/>
        </w:rPr>
        <w:t>408.</w:t>
      </w:r>
      <w:r w:rsidRPr="00310D49">
        <w:rPr>
          <w:lang w:val="fr-FR"/>
        </w:rPr>
        <w:tab/>
        <w:t>L</w:t>
      </w:r>
      <w:r w:rsidR="0035332C">
        <w:rPr>
          <w:lang w:val="fr-FR"/>
        </w:rPr>
        <w:t>’</w:t>
      </w:r>
      <w:r w:rsidRPr="00310D49">
        <w:rPr>
          <w:lang w:val="fr-FR"/>
        </w:rPr>
        <w:t>article 3 du Code de l</w:t>
      </w:r>
      <w:r w:rsidR="0035332C">
        <w:rPr>
          <w:lang w:val="fr-FR"/>
        </w:rPr>
        <w:t>’</w:t>
      </w:r>
      <w:r w:rsidRPr="00310D49">
        <w:rPr>
          <w:lang w:val="fr-FR"/>
        </w:rPr>
        <w:t>enfance, tel que modifié, dispose ce qui suit</w:t>
      </w:r>
      <w:r w:rsidR="00A53B5A">
        <w:rPr>
          <w:lang w:val="fr-FR"/>
        </w:rPr>
        <w:t> </w:t>
      </w:r>
      <w:r w:rsidRPr="00310D49">
        <w:rPr>
          <w:lang w:val="fr-FR"/>
        </w:rPr>
        <w:t>: «</w:t>
      </w:r>
      <w:r w:rsidR="00A53B5A">
        <w:rPr>
          <w:lang w:val="fr-FR"/>
        </w:rPr>
        <w:t> </w:t>
      </w:r>
      <w:r w:rsidRPr="00310D49">
        <w:rPr>
          <w:lang w:val="fr-FR"/>
        </w:rPr>
        <w:t>1)</w:t>
      </w:r>
      <w:r w:rsidR="008B6ECA">
        <w:rPr>
          <w:lang w:val="fr-FR"/>
        </w:rPr>
        <w:t> </w:t>
      </w:r>
      <w:r w:rsidRPr="00310D49">
        <w:rPr>
          <w:lang w:val="fr-FR"/>
        </w:rPr>
        <w:t>Tout enfant jouit de tous les droits énoncés dans la présente loi, sans discrimination fondée sur le sexe, la couleur, la nationalité, la religion, la langue, l</w:t>
      </w:r>
      <w:r w:rsidR="0035332C">
        <w:rPr>
          <w:lang w:val="fr-FR"/>
        </w:rPr>
        <w:t>’</w:t>
      </w:r>
      <w:r w:rsidRPr="00310D49">
        <w:rPr>
          <w:lang w:val="fr-FR"/>
        </w:rPr>
        <w:t>origine nationale, confessionnelle ou sociale, la fortune, le handicap, la naissance ou sur toute autre considération. 2)</w:t>
      </w:r>
      <w:r w:rsidR="008B6ECA">
        <w:rPr>
          <w:lang w:val="fr-FR"/>
        </w:rPr>
        <w:t> </w:t>
      </w:r>
      <w:r w:rsidRPr="00310D49">
        <w:rPr>
          <w:lang w:val="fr-FR"/>
        </w:rPr>
        <w:t>L</w:t>
      </w:r>
      <w:r w:rsidR="0035332C">
        <w:rPr>
          <w:lang w:val="fr-FR"/>
        </w:rPr>
        <w:t>’</w:t>
      </w:r>
      <w:r w:rsidRPr="00310D49">
        <w:rPr>
          <w:lang w:val="fr-FR"/>
        </w:rPr>
        <w:t>État prend toutes les mesures appropriées pour protéger les enfants de toutes les formes de discrimination, en vue d</w:t>
      </w:r>
      <w:r w:rsidR="0035332C">
        <w:rPr>
          <w:lang w:val="fr-FR"/>
        </w:rPr>
        <w:t>’</w:t>
      </w:r>
      <w:r w:rsidRPr="00310D49">
        <w:rPr>
          <w:lang w:val="fr-FR"/>
        </w:rPr>
        <w:t>assurer l</w:t>
      </w:r>
      <w:r w:rsidR="0035332C">
        <w:rPr>
          <w:lang w:val="fr-FR"/>
        </w:rPr>
        <w:t>’</w:t>
      </w:r>
      <w:r w:rsidRPr="00310D49">
        <w:rPr>
          <w:lang w:val="fr-FR"/>
        </w:rPr>
        <w:t>égalité effective entre tous les enfants concernant le bénéfice de leurs droits consacrés dans la présente loi</w:t>
      </w:r>
      <w:r w:rsidR="008B6ECA">
        <w:rPr>
          <w:lang w:val="fr-FR"/>
        </w:rPr>
        <w:t>.</w:t>
      </w:r>
      <w:r w:rsidR="00A53B5A">
        <w:rPr>
          <w:lang w:val="fr-FR"/>
        </w:rPr>
        <w:t> </w:t>
      </w:r>
      <w:r w:rsidRPr="00310D49">
        <w:rPr>
          <w:lang w:val="fr-FR"/>
        </w:rPr>
        <w:t>».</w:t>
      </w:r>
    </w:p>
    <w:p w14:paraId="716FC327" w14:textId="77777777" w:rsidR="00D005FA" w:rsidRPr="00310D49" w:rsidRDefault="00D005FA" w:rsidP="004E0876">
      <w:pPr>
        <w:pStyle w:val="SingleTxtG"/>
        <w:rPr>
          <w:lang w:val="fr-FR"/>
        </w:rPr>
      </w:pPr>
      <w:r w:rsidRPr="00310D49">
        <w:rPr>
          <w:lang w:val="fr-FR"/>
        </w:rPr>
        <w:t>409.</w:t>
      </w:r>
      <w:r w:rsidRPr="00310D49">
        <w:rPr>
          <w:lang w:val="fr-FR"/>
        </w:rPr>
        <w:tab/>
        <w:t>Les droits de succession relèvent des lois sur le statut personnel en vigueur.</w:t>
      </w:r>
    </w:p>
    <w:p w14:paraId="679EB31D" w14:textId="77777777" w:rsidR="00D005FA" w:rsidRPr="00310D49" w:rsidRDefault="00D005FA" w:rsidP="004E0876">
      <w:pPr>
        <w:pStyle w:val="H23G"/>
        <w:rPr>
          <w:bCs/>
          <w:lang w:val="fr-FR"/>
        </w:rPr>
      </w:pPr>
      <w:r w:rsidRPr="00310D49">
        <w:rPr>
          <w:lang w:val="fr-FR"/>
        </w:rPr>
        <w:tab/>
      </w:r>
      <w:r w:rsidRPr="00310D49">
        <w:rPr>
          <w:lang w:val="fr-FR"/>
        </w:rPr>
        <w:tab/>
        <w:t>Enfants privés de milieu familial</w:t>
      </w:r>
    </w:p>
    <w:p w14:paraId="4E4A5ACB" w14:textId="6F70975A" w:rsidR="00D005FA" w:rsidRPr="00310D49" w:rsidRDefault="00D005FA" w:rsidP="004E0876">
      <w:pPr>
        <w:pStyle w:val="SingleTxtG"/>
        <w:rPr>
          <w:rFonts w:eastAsia="Calibri"/>
          <w:lang w:val="fr-FR"/>
        </w:rPr>
      </w:pPr>
      <w:r w:rsidRPr="00310D49">
        <w:rPr>
          <w:lang w:val="fr-FR"/>
        </w:rPr>
        <w:t>410.</w:t>
      </w:r>
      <w:r w:rsidRPr="00310D49">
        <w:rPr>
          <w:lang w:val="fr-FR"/>
        </w:rPr>
        <w:tab/>
        <w:t>La législation en vigueur tient compte du droit de l</w:t>
      </w:r>
      <w:r w:rsidR="0035332C">
        <w:rPr>
          <w:lang w:val="fr-FR"/>
        </w:rPr>
        <w:t>’</w:t>
      </w:r>
      <w:r w:rsidRPr="00310D49">
        <w:rPr>
          <w:lang w:val="fr-FR"/>
        </w:rPr>
        <w:t>enfant à une protection de remplacement. Ainsi, l</w:t>
      </w:r>
      <w:r w:rsidR="0035332C">
        <w:rPr>
          <w:lang w:val="fr-FR"/>
        </w:rPr>
        <w:t>’</w:t>
      </w:r>
      <w:r w:rsidRPr="00310D49">
        <w:rPr>
          <w:lang w:val="fr-FR"/>
        </w:rPr>
        <w:t>article</w:t>
      </w:r>
      <w:r w:rsidR="008B6ECA">
        <w:rPr>
          <w:lang w:val="fr-FR"/>
        </w:rPr>
        <w:t> </w:t>
      </w:r>
      <w:r w:rsidRPr="00310D49">
        <w:rPr>
          <w:lang w:val="fr-FR"/>
        </w:rPr>
        <w:t xml:space="preserve">32 </w:t>
      </w:r>
      <w:r w:rsidR="008B6ECA">
        <w:rPr>
          <w:lang w:val="fr-FR"/>
        </w:rPr>
        <w:t xml:space="preserve">du </w:t>
      </w:r>
      <w:r w:rsidRPr="00310D49">
        <w:rPr>
          <w:lang w:val="fr-FR"/>
        </w:rPr>
        <w:t>Code de l</w:t>
      </w:r>
      <w:r w:rsidR="0035332C">
        <w:rPr>
          <w:lang w:val="fr-FR"/>
        </w:rPr>
        <w:t>’</w:t>
      </w:r>
      <w:r w:rsidRPr="00310D49">
        <w:rPr>
          <w:lang w:val="fr-FR"/>
        </w:rPr>
        <w:t>enfance, tel que modifié, dispose que «</w:t>
      </w:r>
      <w:r w:rsidR="008B6ECA">
        <w:rPr>
          <w:lang w:val="fr-FR"/>
        </w:rPr>
        <w:t> </w:t>
      </w:r>
      <w:r w:rsidRPr="00310D49">
        <w:rPr>
          <w:lang w:val="fr-FR"/>
        </w:rPr>
        <w:t>[l]</w:t>
      </w:r>
      <w:r w:rsidR="0035332C">
        <w:rPr>
          <w:lang w:val="fr-FR"/>
        </w:rPr>
        <w:t>’</w:t>
      </w:r>
      <w:r w:rsidRPr="00310D49">
        <w:rPr>
          <w:lang w:val="fr-FR"/>
        </w:rPr>
        <w:t>enfant définitivement ou temporairement privé de son milieu familial naturel a droit à une protection de remplacement par le biais de son placement</w:t>
      </w:r>
      <w:r w:rsidR="008B6ECA">
        <w:rPr>
          <w:lang w:val="fr-FR"/>
        </w:rPr>
        <w:t> :</w:t>
      </w:r>
      <w:r w:rsidRPr="00310D49">
        <w:rPr>
          <w:lang w:val="fr-FR"/>
        </w:rPr>
        <w:t xml:space="preserve"> 1)</w:t>
      </w:r>
      <w:r w:rsidR="008B6ECA">
        <w:rPr>
          <w:lang w:val="fr-FR"/>
        </w:rPr>
        <w:t> </w:t>
      </w:r>
      <w:r w:rsidRPr="00310D49">
        <w:rPr>
          <w:lang w:val="fr-FR"/>
        </w:rPr>
        <w:t>dans une famille d</w:t>
      </w:r>
      <w:r w:rsidR="0035332C">
        <w:rPr>
          <w:lang w:val="fr-FR"/>
        </w:rPr>
        <w:t>’</w:t>
      </w:r>
      <w:r w:rsidRPr="00310D49">
        <w:rPr>
          <w:lang w:val="fr-FR"/>
        </w:rPr>
        <w:t>accueil qui le prendre en charge et assurera sa protection</w:t>
      </w:r>
      <w:r w:rsidR="008B6ECA">
        <w:rPr>
          <w:lang w:val="fr-FR"/>
        </w:rPr>
        <w:t> ;</w:t>
      </w:r>
      <w:r w:rsidRPr="00310D49">
        <w:rPr>
          <w:lang w:val="fr-FR"/>
        </w:rPr>
        <w:t xml:space="preserve"> ou 2)</w:t>
      </w:r>
      <w:r w:rsidR="008B6ECA">
        <w:rPr>
          <w:lang w:val="fr-FR"/>
        </w:rPr>
        <w:t> </w:t>
      </w:r>
      <w:r w:rsidRPr="00310D49">
        <w:rPr>
          <w:lang w:val="fr-FR"/>
        </w:rPr>
        <w:t>si aucune famille n</w:t>
      </w:r>
      <w:r w:rsidR="0035332C">
        <w:rPr>
          <w:lang w:val="fr-FR"/>
        </w:rPr>
        <w:t>’</w:t>
      </w:r>
      <w:r w:rsidRPr="00310D49">
        <w:rPr>
          <w:lang w:val="fr-FR"/>
        </w:rPr>
        <w:t xml:space="preserve">est disponible, en institution de protection sociale, publique ou privée. </w:t>
      </w:r>
    </w:p>
    <w:p w14:paraId="1589EFDF" w14:textId="42F014C5" w:rsidR="00D005FA" w:rsidRPr="00310D49" w:rsidRDefault="00D005FA" w:rsidP="004E0876">
      <w:pPr>
        <w:pStyle w:val="SingleTxtG"/>
        <w:rPr>
          <w:lang w:val="fr-FR"/>
        </w:rPr>
      </w:pPr>
      <w:r w:rsidRPr="00310D49">
        <w:rPr>
          <w:lang w:val="fr-FR"/>
        </w:rPr>
        <w:t>411.</w:t>
      </w:r>
      <w:r w:rsidRPr="00310D49">
        <w:rPr>
          <w:lang w:val="fr-FR"/>
        </w:rPr>
        <w:tab/>
        <w:t>Le Ministère du développement social prend en charge les orphelins qui ont perdu leur père ou leurs deux parents en leur versant des allocations d</w:t>
      </w:r>
      <w:r w:rsidR="0035332C">
        <w:rPr>
          <w:lang w:val="fr-FR"/>
        </w:rPr>
        <w:t>’</w:t>
      </w:r>
      <w:r w:rsidRPr="00310D49">
        <w:rPr>
          <w:lang w:val="fr-FR"/>
        </w:rPr>
        <w:t>entretien. La prise en charge des enfants privés de milieu familial, des enfants nés de parents inconnus et des orphelins peut parfois être assurée par des institutions privées ou des familles d</w:t>
      </w:r>
      <w:r w:rsidR="0035332C">
        <w:rPr>
          <w:lang w:val="fr-FR"/>
        </w:rPr>
        <w:t>’</w:t>
      </w:r>
      <w:r w:rsidRPr="00310D49">
        <w:rPr>
          <w:lang w:val="fr-FR"/>
        </w:rPr>
        <w:t>accueil placées sous le contrôle du Ministère du développement. Il existe en Palestine cinq institutions chargées d</w:t>
      </w:r>
      <w:r w:rsidR="0035332C">
        <w:rPr>
          <w:lang w:val="fr-FR"/>
        </w:rPr>
        <w:t>’</w:t>
      </w:r>
      <w:r w:rsidRPr="00310D49">
        <w:rPr>
          <w:lang w:val="fr-FR"/>
        </w:rPr>
        <w:t>accueillir des enfants et de les prendre en charge.</w:t>
      </w:r>
    </w:p>
    <w:p w14:paraId="67C3F47C" w14:textId="087FFBED" w:rsidR="00D005FA" w:rsidRPr="00310D49" w:rsidRDefault="00D005FA" w:rsidP="004E0876">
      <w:pPr>
        <w:pStyle w:val="SingleTxtG"/>
        <w:rPr>
          <w:lang w:val="fr-FR"/>
        </w:rPr>
      </w:pPr>
      <w:r w:rsidRPr="00310D49">
        <w:rPr>
          <w:lang w:val="fr-FR"/>
        </w:rPr>
        <w:t>412.</w:t>
      </w:r>
      <w:r w:rsidRPr="00310D49">
        <w:rPr>
          <w:lang w:val="fr-FR"/>
        </w:rPr>
        <w:tab/>
        <w:t>Le système de «</w:t>
      </w:r>
      <w:r w:rsidR="008B6ECA">
        <w:rPr>
          <w:lang w:val="fr-FR"/>
        </w:rPr>
        <w:t> </w:t>
      </w:r>
      <w:r w:rsidRPr="00310D49">
        <w:rPr>
          <w:lang w:val="fr-FR"/>
        </w:rPr>
        <w:t>placement</w:t>
      </w:r>
      <w:r w:rsidR="008B6ECA">
        <w:rPr>
          <w:lang w:val="fr-FR"/>
        </w:rPr>
        <w:t> </w:t>
      </w:r>
      <w:r w:rsidRPr="00310D49">
        <w:rPr>
          <w:lang w:val="fr-FR"/>
        </w:rPr>
        <w:t>» a été réglementé en s</w:t>
      </w:r>
      <w:r w:rsidR="0035332C">
        <w:rPr>
          <w:lang w:val="fr-FR"/>
        </w:rPr>
        <w:t>’</w:t>
      </w:r>
      <w:r w:rsidRPr="00310D49">
        <w:rPr>
          <w:lang w:val="fr-FR"/>
        </w:rPr>
        <w:t>inspirant du «</w:t>
      </w:r>
      <w:r w:rsidR="008B6ECA">
        <w:rPr>
          <w:lang w:val="fr-FR"/>
        </w:rPr>
        <w:t> </w:t>
      </w:r>
      <w:r w:rsidRPr="00310D49">
        <w:rPr>
          <w:lang w:val="fr-FR"/>
        </w:rPr>
        <w:t>système de placement en famille d</w:t>
      </w:r>
      <w:r w:rsidR="0035332C">
        <w:rPr>
          <w:lang w:val="fr-FR"/>
        </w:rPr>
        <w:t>’</w:t>
      </w:r>
      <w:r w:rsidRPr="00310D49">
        <w:rPr>
          <w:lang w:val="fr-FR"/>
        </w:rPr>
        <w:t>accueil</w:t>
      </w:r>
      <w:r w:rsidR="008B6ECA">
        <w:rPr>
          <w:lang w:val="fr-FR"/>
        </w:rPr>
        <w:t> </w:t>
      </w:r>
      <w:r w:rsidRPr="00310D49">
        <w:rPr>
          <w:lang w:val="fr-FR"/>
        </w:rPr>
        <w:t>» mis en place par le Conseil des ministres en 2013, sachant qu</w:t>
      </w:r>
      <w:r w:rsidR="0035332C">
        <w:rPr>
          <w:lang w:val="fr-FR"/>
        </w:rPr>
        <w:t>’</w:t>
      </w:r>
      <w:r w:rsidRPr="00310D49">
        <w:rPr>
          <w:lang w:val="fr-FR"/>
        </w:rPr>
        <w:t>y sont soumis les enfants nés de parents inconnus et ceux privés de protection familiale. Ce système définit les conditions devant être remplies par la famille d</w:t>
      </w:r>
      <w:r w:rsidR="0035332C">
        <w:rPr>
          <w:lang w:val="fr-FR"/>
        </w:rPr>
        <w:t>’</w:t>
      </w:r>
      <w:r w:rsidRPr="00310D49">
        <w:rPr>
          <w:lang w:val="fr-FR"/>
        </w:rPr>
        <w:t>accueil. En outre, le Ministère du développement social a mis en place la base de données relative aux placements et élaboré le manuel relatif aux modalités de traitement des cas d</w:t>
      </w:r>
      <w:r w:rsidR="0035332C">
        <w:rPr>
          <w:lang w:val="fr-FR"/>
        </w:rPr>
        <w:t>’</w:t>
      </w:r>
      <w:r w:rsidRPr="00310D49">
        <w:rPr>
          <w:lang w:val="fr-FR"/>
        </w:rPr>
        <w:t>enfants nés de parents inconnus et hors mariage.</w:t>
      </w:r>
    </w:p>
    <w:p w14:paraId="638714E8" w14:textId="1772F824" w:rsidR="00D005FA" w:rsidRPr="00310D49" w:rsidRDefault="00D005FA" w:rsidP="004E0876">
      <w:pPr>
        <w:pStyle w:val="SingleTxtG"/>
        <w:rPr>
          <w:rFonts w:eastAsia="Calibri"/>
          <w:lang w:val="fr-FR"/>
        </w:rPr>
      </w:pPr>
      <w:r w:rsidRPr="00310D49">
        <w:rPr>
          <w:lang w:val="fr-FR"/>
        </w:rPr>
        <w:t>413.</w:t>
      </w:r>
      <w:r w:rsidRPr="00310D49">
        <w:rPr>
          <w:lang w:val="fr-FR"/>
        </w:rPr>
        <w:tab/>
        <w:t>L</w:t>
      </w:r>
      <w:r w:rsidR="0035332C">
        <w:rPr>
          <w:lang w:val="fr-FR"/>
        </w:rPr>
        <w:t>’</w:t>
      </w:r>
      <w:r w:rsidRPr="00310D49">
        <w:rPr>
          <w:lang w:val="fr-FR"/>
        </w:rPr>
        <w:t>adoption, telle qu</w:t>
      </w:r>
      <w:r w:rsidR="0035332C">
        <w:rPr>
          <w:lang w:val="fr-FR"/>
        </w:rPr>
        <w:t>’</w:t>
      </w:r>
      <w:r w:rsidRPr="00310D49">
        <w:rPr>
          <w:lang w:val="fr-FR"/>
        </w:rPr>
        <w:t>elle est connue à l</w:t>
      </w:r>
      <w:r w:rsidR="0035332C">
        <w:rPr>
          <w:lang w:val="fr-FR"/>
        </w:rPr>
        <w:t>’</w:t>
      </w:r>
      <w:r w:rsidRPr="00310D49">
        <w:rPr>
          <w:lang w:val="fr-FR"/>
        </w:rPr>
        <w:t>échelle internationale, ne fait pas partie du système juridique palestinien, où existe plutôt le système de la kafala ou du placement. La</w:t>
      </w:r>
      <w:r w:rsidR="00BB335F">
        <w:rPr>
          <w:lang w:val="fr-FR"/>
        </w:rPr>
        <w:t> </w:t>
      </w:r>
      <w:r w:rsidRPr="00310D49">
        <w:rPr>
          <w:lang w:val="fr-FR"/>
        </w:rPr>
        <w:t>kafala suppose une prise en charge totale en matière d</w:t>
      </w:r>
      <w:r w:rsidR="0035332C">
        <w:rPr>
          <w:lang w:val="fr-FR"/>
        </w:rPr>
        <w:t>’</w:t>
      </w:r>
      <w:r w:rsidRPr="00310D49">
        <w:rPr>
          <w:lang w:val="fr-FR"/>
        </w:rPr>
        <w:t>entretien de l</w:t>
      </w:r>
      <w:r w:rsidR="0035332C">
        <w:rPr>
          <w:lang w:val="fr-FR"/>
        </w:rPr>
        <w:t>’</w:t>
      </w:r>
      <w:r w:rsidRPr="00310D49">
        <w:rPr>
          <w:lang w:val="fr-FR"/>
        </w:rPr>
        <w:t>enfant placé sous un tel régime, identique à l</w:t>
      </w:r>
      <w:r w:rsidR="0035332C">
        <w:rPr>
          <w:lang w:val="fr-FR"/>
        </w:rPr>
        <w:t>’</w:t>
      </w:r>
      <w:r w:rsidRPr="00310D49">
        <w:rPr>
          <w:lang w:val="fr-FR"/>
        </w:rPr>
        <w:t xml:space="preserve">obligation du père envers ses enfants, sachant cependant que la kafala ne confère aucun droit à la filiation, ni à la succession. Tout enfant soumis à la kafala a droit </w:t>
      </w:r>
      <w:r w:rsidRPr="00310D49">
        <w:rPr>
          <w:lang w:val="fr-FR"/>
        </w:rPr>
        <w:lastRenderedPageBreak/>
        <w:t>à l</w:t>
      </w:r>
      <w:r w:rsidR="0035332C">
        <w:rPr>
          <w:lang w:val="fr-FR"/>
        </w:rPr>
        <w:t>’</w:t>
      </w:r>
      <w:r w:rsidRPr="00310D49">
        <w:rPr>
          <w:lang w:val="fr-FR"/>
        </w:rPr>
        <w:t>établissement d</w:t>
      </w:r>
      <w:r w:rsidR="0035332C">
        <w:rPr>
          <w:lang w:val="fr-FR"/>
        </w:rPr>
        <w:t>’</w:t>
      </w:r>
      <w:r w:rsidRPr="00310D49">
        <w:rPr>
          <w:lang w:val="fr-FR"/>
        </w:rPr>
        <w:t>un certificat de naissance portant 4</w:t>
      </w:r>
      <w:r w:rsidR="00BB335F">
        <w:rPr>
          <w:lang w:val="fr-FR"/>
        </w:rPr>
        <w:t> </w:t>
      </w:r>
      <w:r w:rsidRPr="00310D49">
        <w:rPr>
          <w:lang w:val="fr-FR"/>
        </w:rPr>
        <w:t>prénoms fictifs et d</w:t>
      </w:r>
      <w:r w:rsidR="0035332C">
        <w:rPr>
          <w:lang w:val="fr-FR"/>
        </w:rPr>
        <w:t>’</w:t>
      </w:r>
      <w:r w:rsidRPr="00310D49">
        <w:rPr>
          <w:lang w:val="fr-FR"/>
        </w:rPr>
        <w:t>un certificat de placement, sachant qu</w:t>
      </w:r>
      <w:r w:rsidR="0035332C">
        <w:rPr>
          <w:lang w:val="fr-FR"/>
        </w:rPr>
        <w:t>’</w:t>
      </w:r>
      <w:r w:rsidRPr="00310D49">
        <w:rPr>
          <w:lang w:val="fr-FR"/>
        </w:rPr>
        <w:t>un passeport peut également lui être délivré.</w:t>
      </w:r>
    </w:p>
    <w:p w14:paraId="5039FCA5" w14:textId="7CF026B3" w:rsidR="00D005FA" w:rsidRPr="00310D49" w:rsidRDefault="00D005FA" w:rsidP="004E0876">
      <w:pPr>
        <w:pStyle w:val="SingleTxtG"/>
        <w:rPr>
          <w:rFonts w:eastAsia="Calibri"/>
          <w:lang w:val="fr-FR"/>
        </w:rPr>
      </w:pPr>
      <w:r w:rsidRPr="00310D49">
        <w:rPr>
          <w:lang w:val="fr-FR"/>
        </w:rPr>
        <w:t>414.</w:t>
      </w:r>
      <w:r w:rsidRPr="00310D49">
        <w:rPr>
          <w:lang w:val="fr-FR"/>
        </w:rPr>
        <w:tab/>
        <w:t>Le décret-loi n</w:t>
      </w:r>
      <w:r w:rsidR="00BB335F" w:rsidRPr="00BB335F">
        <w:rPr>
          <w:vertAlign w:val="superscript"/>
          <w:lang w:val="fr-FR"/>
        </w:rPr>
        <w:t>o</w:t>
      </w:r>
      <w:r w:rsidR="00BB335F">
        <w:rPr>
          <w:lang w:val="fr-FR"/>
        </w:rPr>
        <w:t> </w:t>
      </w:r>
      <w:r w:rsidRPr="00310D49">
        <w:rPr>
          <w:lang w:val="fr-FR"/>
        </w:rPr>
        <w:t>10 de 2019 sur les preuves liées à l</w:t>
      </w:r>
      <w:r w:rsidR="0035332C">
        <w:rPr>
          <w:lang w:val="fr-FR"/>
        </w:rPr>
        <w:t>’</w:t>
      </w:r>
      <w:r w:rsidRPr="00310D49">
        <w:rPr>
          <w:lang w:val="fr-FR"/>
        </w:rPr>
        <w:t>adoption d</w:t>
      </w:r>
      <w:r w:rsidR="0035332C">
        <w:rPr>
          <w:lang w:val="fr-FR"/>
        </w:rPr>
        <w:t>’</w:t>
      </w:r>
      <w:r w:rsidRPr="00310D49">
        <w:rPr>
          <w:lang w:val="fr-FR"/>
        </w:rPr>
        <w:t>enfants par des chrétiens a été promulgué pour permettre l</w:t>
      </w:r>
      <w:r w:rsidR="0035332C">
        <w:rPr>
          <w:lang w:val="fr-FR"/>
        </w:rPr>
        <w:t>’</w:t>
      </w:r>
      <w:r w:rsidRPr="00310D49">
        <w:rPr>
          <w:lang w:val="fr-FR"/>
        </w:rPr>
        <w:t>adoption d</w:t>
      </w:r>
      <w:r w:rsidR="0035332C">
        <w:rPr>
          <w:lang w:val="fr-FR"/>
        </w:rPr>
        <w:t>’</w:t>
      </w:r>
      <w:r w:rsidRPr="00310D49">
        <w:rPr>
          <w:lang w:val="fr-FR"/>
        </w:rPr>
        <w:t>enfants de filiation inconnue par des familles chrétiennes, si les preuves indiquent qu</w:t>
      </w:r>
      <w:r w:rsidR="0035332C">
        <w:rPr>
          <w:lang w:val="fr-FR"/>
        </w:rPr>
        <w:t>’</w:t>
      </w:r>
      <w:r w:rsidRPr="00310D49">
        <w:rPr>
          <w:lang w:val="fr-FR"/>
        </w:rPr>
        <w:t>ils sont chrétiens.</w:t>
      </w:r>
    </w:p>
    <w:p w14:paraId="5B9E2327" w14:textId="77777777" w:rsidR="00D005FA" w:rsidRPr="00310D49" w:rsidRDefault="00D005FA" w:rsidP="00DB57A3">
      <w:pPr>
        <w:pStyle w:val="H23G"/>
        <w:rPr>
          <w:rFonts w:eastAsia="Calibri"/>
          <w:lang w:val="fr-FR"/>
        </w:rPr>
      </w:pPr>
      <w:r w:rsidRPr="00310D49">
        <w:rPr>
          <w:lang w:val="fr-FR"/>
        </w:rPr>
        <w:tab/>
      </w:r>
      <w:r w:rsidRPr="00310D49">
        <w:rPr>
          <w:lang w:val="fr-FR"/>
        </w:rPr>
        <w:tab/>
        <w:t>Protection contre la traite des êtres humains</w:t>
      </w:r>
    </w:p>
    <w:p w14:paraId="5CB76782" w14:textId="1949CC9E" w:rsidR="00D005FA" w:rsidRPr="00310D49" w:rsidRDefault="00D005FA" w:rsidP="00DB57A3">
      <w:pPr>
        <w:pStyle w:val="SingleTxtG"/>
        <w:keepNext/>
        <w:keepLines/>
        <w:rPr>
          <w:lang w:val="fr-FR"/>
        </w:rPr>
      </w:pPr>
      <w:r w:rsidRPr="00310D49">
        <w:rPr>
          <w:lang w:val="fr-FR"/>
        </w:rPr>
        <w:t>415.</w:t>
      </w:r>
      <w:r w:rsidRPr="00310D49">
        <w:rPr>
          <w:lang w:val="fr-FR"/>
        </w:rPr>
        <w:tab/>
        <w:t>L</w:t>
      </w:r>
      <w:r w:rsidR="0035332C">
        <w:rPr>
          <w:lang w:val="fr-FR"/>
        </w:rPr>
        <w:t>’</w:t>
      </w:r>
      <w:r w:rsidRPr="00310D49">
        <w:rPr>
          <w:lang w:val="fr-FR"/>
        </w:rPr>
        <w:t>article</w:t>
      </w:r>
      <w:r w:rsidR="00BB335F">
        <w:rPr>
          <w:lang w:val="fr-FR"/>
        </w:rPr>
        <w:t> </w:t>
      </w:r>
      <w:r w:rsidRPr="00310D49">
        <w:rPr>
          <w:lang w:val="fr-FR"/>
        </w:rPr>
        <w:t>42 du Code de l</w:t>
      </w:r>
      <w:r w:rsidR="0035332C">
        <w:rPr>
          <w:lang w:val="fr-FR"/>
        </w:rPr>
        <w:t>’</w:t>
      </w:r>
      <w:r w:rsidRPr="00310D49">
        <w:rPr>
          <w:lang w:val="fr-FR"/>
        </w:rPr>
        <w:t>enfance consacre la nécessité de protéger l</w:t>
      </w:r>
      <w:r w:rsidR="0035332C">
        <w:rPr>
          <w:lang w:val="fr-FR"/>
        </w:rPr>
        <w:t>’</w:t>
      </w:r>
      <w:r w:rsidRPr="00310D49">
        <w:rPr>
          <w:lang w:val="fr-FR"/>
        </w:rPr>
        <w:t>enfant contre toute forme d</w:t>
      </w:r>
      <w:r w:rsidR="0035332C">
        <w:rPr>
          <w:lang w:val="fr-FR"/>
        </w:rPr>
        <w:t>’</w:t>
      </w:r>
      <w:r w:rsidRPr="00310D49">
        <w:rPr>
          <w:lang w:val="fr-FR"/>
        </w:rPr>
        <w:t>exploitation, y compris sexuelle, étant précisé que son article</w:t>
      </w:r>
      <w:r w:rsidR="00BB335F">
        <w:rPr>
          <w:lang w:val="fr-FR"/>
        </w:rPr>
        <w:t> </w:t>
      </w:r>
      <w:r w:rsidRPr="00310D49">
        <w:rPr>
          <w:lang w:val="fr-FR"/>
        </w:rPr>
        <w:t>44 (al</w:t>
      </w:r>
      <w:r w:rsidR="00BB335F">
        <w:rPr>
          <w:lang w:val="fr-FR"/>
        </w:rPr>
        <w:t>. </w:t>
      </w:r>
      <w:r w:rsidRPr="00310D49">
        <w:rPr>
          <w:lang w:val="fr-FR"/>
        </w:rPr>
        <w:t>5) interdit l</w:t>
      </w:r>
      <w:r w:rsidR="0035332C">
        <w:rPr>
          <w:lang w:val="fr-FR"/>
        </w:rPr>
        <w:t>’</w:t>
      </w:r>
      <w:r w:rsidRPr="00310D49">
        <w:rPr>
          <w:lang w:val="fr-FR"/>
        </w:rPr>
        <w:t>exploitation sexuelle ou économique, qui est considérée comme faisant partie des situations graves menaçant la sécurité de l</w:t>
      </w:r>
      <w:r w:rsidR="0035332C">
        <w:rPr>
          <w:lang w:val="fr-FR"/>
        </w:rPr>
        <w:t>’</w:t>
      </w:r>
      <w:r w:rsidRPr="00310D49">
        <w:rPr>
          <w:lang w:val="fr-FR"/>
        </w:rPr>
        <w:t>enfant. L</w:t>
      </w:r>
      <w:r w:rsidR="0035332C">
        <w:rPr>
          <w:lang w:val="fr-FR"/>
        </w:rPr>
        <w:t>’</w:t>
      </w:r>
      <w:r w:rsidRPr="00310D49">
        <w:rPr>
          <w:lang w:val="fr-FR"/>
        </w:rPr>
        <w:t>article</w:t>
      </w:r>
      <w:r w:rsidR="00BB335F">
        <w:rPr>
          <w:lang w:val="fr-FR"/>
        </w:rPr>
        <w:t> </w:t>
      </w:r>
      <w:r w:rsidRPr="00310D49">
        <w:rPr>
          <w:lang w:val="fr-FR"/>
        </w:rPr>
        <w:t>47 du Code de l</w:t>
      </w:r>
      <w:r w:rsidR="0035332C">
        <w:rPr>
          <w:lang w:val="fr-FR"/>
        </w:rPr>
        <w:t>’</w:t>
      </w:r>
      <w:r w:rsidRPr="00310D49">
        <w:rPr>
          <w:lang w:val="fr-FR"/>
        </w:rPr>
        <w:t>enfance dispose que «</w:t>
      </w:r>
      <w:r w:rsidR="00BB335F">
        <w:rPr>
          <w:lang w:val="fr-FR"/>
        </w:rPr>
        <w:t> </w:t>
      </w:r>
      <w:r w:rsidRPr="00310D49">
        <w:rPr>
          <w:lang w:val="fr-FR"/>
        </w:rPr>
        <w:t>[l]</w:t>
      </w:r>
      <w:r w:rsidR="0035332C">
        <w:rPr>
          <w:lang w:val="fr-FR"/>
        </w:rPr>
        <w:t>’</w:t>
      </w:r>
      <w:r w:rsidRPr="00310D49">
        <w:rPr>
          <w:lang w:val="fr-FR"/>
        </w:rPr>
        <w:t>enfant est susceptible de sombrer dans la délinquance s</w:t>
      </w:r>
      <w:r w:rsidR="0035332C">
        <w:rPr>
          <w:lang w:val="fr-FR"/>
        </w:rPr>
        <w:t>’</w:t>
      </w:r>
      <w:r w:rsidRPr="00310D49">
        <w:rPr>
          <w:lang w:val="fr-FR"/>
        </w:rPr>
        <w:t>il se retrouve, vit, ou travaille dans un environnement lié à la prostitution, à la débauche, à l</w:t>
      </w:r>
      <w:r w:rsidR="0035332C">
        <w:rPr>
          <w:lang w:val="fr-FR"/>
        </w:rPr>
        <w:t>’</w:t>
      </w:r>
      <w:r w:rsidRPr="00310D49">
        <w:rPr>
          <w:lang w:val="fr-FR"/>
        </w:rPr>
        <w:t>immoralité ou à d</w:t>
      </w:r>
      <w:r w:rsidR="0035332C">
        <w:rPr>
          <w:lang w:val="fr-FR"/>
        </w:rPr>
        <w:t>’</w:t>
      </w:r>
      <w:r w:rsidRPr="00310D49">
        <w:rPr>
          <w:lang w:val="fr-FR"/>
        </w:rPr>
        <w:t>autres dépravations</w:t>
      </w:r>
      <w:r w:rsidR="00BB335F">
        <w:rPr>
          <w:lang w:val="fr-FR"/>
        </w:rPr>
        <w:t> </w:t>
      </w:r>
      <w:r w:rsidRPr="00310D49">
        <w:rPr>
          <w:lang w:val="fr-FR"/>
        </w:rPr>
        <w:t>». Et conformément à l</w:t>
      </w:r>
      <w:r w:rsidR="0035332C">
        <w:rPr>
          <w:lang w:val="fr-FR"/>
        </w:rPr>
        <w:t>’</w:t>
      </w:r>
      <w:r w:rsidRPr="00310D49">
        <w:rPr>
          <w:lang w:val="fr-FR"/>
        </w:rPr>
        <w:t>article 52 dudit Code, les conseillers à la protection de l</w:t>
      </w:r>
      <w:r w:rsidR="0035332C">
        <w:rPr>
          <w:lang w:val="fr-FR"/>
        </w:rPr>
        <w:t>’</w:t>
      </w:r>
      <w:r w:rsidRPr="00310D49">
        <w:rPr>
          <w:lang w:val="fr-FR"/>
        </w:rPr>
        <w:t>enfance sont tenus d</w:t>
      </w:r>
      <w:r w:rsidR="0035332C">
        <w:rPr>
          <w:lang w:val="fr-FR"/>
        </w:rPr>
        <w:t>’</w:t>
      </w:r>
      <w:r w:rsidRPr="00310D49">
        <w:rPr>
          <w:lang w:val="fr-FR"/>
        </w:rPr>
        <w:t>intervenir dans toutes les situations qui menacent la sécurité de l</w:t>
      </w:r>
      <w:r w:rsidR="0035332C">
        <w:rPr>
          <w:lang w:val="fr-FR"/>
        </w:rPr>
        <w:t>’</w:t>
      </w:r>
      <w:r w:rsidRPr="00310D49">
        <w:rPr>
          <w:lang w:val="fr-FR"/>
        </w:rPr>
        <w:t>enfant, à la fois pour prévenir les problèmes et pour y remédier.</w:t>
      </w:r>
    </w:p>
    <w:p w14:paraId="030AC5FD" w14:textId="44F26788" w:rsidR="00D005FA" w:rsidRPr="00310D49" w:rsidRDefault="00D005FA" w:rsidP="004E0876">
      <w:pPr>
        <w:pStyle w:val="SingleTxtG"/>
        <w:rPr>
          <w:lang w:val="fr-FR"/>
        </w:rPr>
      </w:pPr>
      <w:r w:rsidRPr="00310D49">
        <w:rPr>
          <w:lang w:val="fr-FR"/>
        </w:rPr>
        <w:t>416.</w:t>
      </w:r>
      <w:r w:rsidRPr="00310D49">
        <w:rPr>
          <w:lang w:val="fr-FR"/>
        </w:rPr>
        <w:tab/>
        <w:t>En 2017, l</w:t>
      </w:r>
      <w:r w:rsidR="0035332C">
        <w:rPr>
          <w:lang w:val="fr-FR"/>
        </w:rPr>
        <w:t>’</w:t>
      </w:r>
      <w:r w:rsidRPr="00310D49">
        <w:rPr>
          <w:lang w:val="fr-FR"/>
        </w:rPr>
        <w:t>État de Palestine a adhéré au Protocole facultatif à la Convention relative aux droits de l</w:t>
      </w:r>
      <w:r w:rsidR="0035332C">
        <w:rPr>
          <w:lang w:val="fr-FR"/>
        </w:rPr>
        <w:t>’</w:t>
      </w:r>
      <w:r w:rsidRPr="00310D49">
        <w:rPr>
          <w:lang w:val="fr-FR"/>
        </w:rPr>
        <w:t>enfant, concernant la vente d</w:t>
      </w:r>
      <w:r w:rsidR="0035332C">
        <w:rPr>
          <w:lang w:val="fr-FR"/>
        </w:rPr>
        <w:t>’</w:t>
      </w:r>
      <w:r w:rsidRPr="00310D49">
        <w:rPr>
          <w:lang w:val="fr-FR"/>
        </w:rPr>
        <w:t>enfants, la prostitution des enfants et la pornographie mettant en scène des enfants.</w:t>
      </w:r>
    </w:p>
    <w:p w14:paraId="4F5A33A1" w14:textId="77777777" w:rsidR="00D005FA" w:rsidRPr="00310D49" w:rsidRDefault="00D005FA" w:rsidP="004E0876">
      <w:pPr>
        <w:pStyle w:val="H23G"/>
        <w:rPr>
          <w:lang w:val="fr-FR"/>
        </w:rPr>
      </w:pPr>
      <w:r w:rsidRPr="00310D49">
        <w:rPr>
          <w:lang w:val="fr-FR"/>
        </w:rPr>
        <w:tab/>
      </w:r>
      <w:r w:rsidRPr="00310D49">
        <w:rPr>
          <w:lang w:val="fr-FR"/>
        </w:rPr>
        <w:tab/>
        <w:t>Travail et exploitation économique des enfants</w:t>
      </w:r>
    </w:p>
    <w:p w14:paraId="527B9496" w14:textId="11979D1B" w:rsidR="00D005FA" w:rsidRPr="00310D49" w:rsidRDefault="00D005FA" w:rsidP="004E0876">
      <w:pPr>
        <w:pStyle w:val="SingleTxtG"/>
        <w:rPr>
          <w:lang w:val="fr-FR"/>
        </w:rPr>
      </w:pPr>
      <w:r w:rsidRPr="00310D49">
        <w:rPr>
          <w:lang w:val="fr-FR"/>
        </w:rPr>
        <w:t>417.</w:t>
      </w:r>
      <w:r w:rsidRPr="00310D49">
        <w:rPr>
          <w:lang w:val="fr-FR"/>
        </w:rPr>
        <w:tab/>
        <w:t>L</w:t>
      </w:r>
      <w:r w:rsidR="0035332C">
        <w:rPr>
          <w:lang w:val="fr-FR"/>
        </w:rPr>
        <w:t>’</w:t>
      </w:r>
      <w:r w:rsidRPr="00310D49">
        <w:rPr>
          <w:lang w:val="fr-FR"/>
        </w:rPr>
        <w:t>article</w:t>
      </w:r>
      <w:r w:rsidR="00BB335F">
        <w:rPr>
          <w:lang w:val="fr-FR"/>
        </w:rPr>
        <w:t> </w:t>
      </w:r>
      <w:r w:rsidRPr="00310D49">
        <w:rPr>
          <w:lang w:val="fr-FR"/>
        </w:rPr>
        <w:t>14 du Code de l</w:t>
      </w:r>
      <w:r w:rsidR="0035332C">
        <w:rPr>
          <w:lang w:val="fr-FR"/>
        </w:rPr>
        <w:t>’</w:t>
      </w:r>
      <w:r w:rsidRPr="00310D49">
        <w:rPr>
          <w:lang w:val="fr-FR"/>
        </w:rPr>
        <w:t>enfance, tel que modifié, dispose qu</w:t>
      </w:r>
      <w:r w:rsidR="0035332C">
        <w:rPr>
          <w:lang w:val="fr-FR"/>
        </w:rPr>
        <w:t>’</w:t>
      </w:r>
      <w:r w:rsidRPr="00310D49">
        <w:rPr>
          <w:lang w:val="fr-FR"/>
        </w:rPr>
        <w:t>il est interdit d</w:t>
      </w:r>
      <w:r w:rsidR="0035332C">
        <w:rPr>
          <w:lang w:val="fr-FR"/>
        </w:rPr>
        <w:t>’</w:t>
      </w:r>
      <w:r w:rsidRPr="00310D49">
        <w:rPr>
          <w:lang w:val="fr-FR"/>
        </w:rPr>
        <w:t>employer des enfants de moins de 15 ans et qu</w:t>
      </w:r>
      <w:r w:rsidR="0035332C">
        <w:rPr>
          <w:lang w:val="fr-FR"/>
        </w:rPr>
        <w:t>’</w:t>
      </w:r>
      <w:r w:rsidRPr="00310D49">
        <w:rPr>
          <w:lang w:val="fr-FR"/>
        </w:rPr>
        <w:t>il est également interdit d</w:t>
      </w:r>
      <w:r w:rsidR="0035332C">
        <w:rPr>
          <w:lang w:val="fr-FR"/>
        </w:rPr>
        <w:t>’</w:t>
      </w:r>
      <w:r w:rsidRPr="00310D49">
        <w:rPr>
          <w:lang w:val="fr-FR"/>
        </w:rPr>
        <w:t>employer ou d</w:t>
      </w:r>
      <w:r w:rsidR="0035332C">
        <w:rPr>
          <w:lang w:val="fr-FR"/>
        </w:rPr>
        <w:t>’</w:t>
      </w:r>
      <w:r w:rsidRPr="00310D49">
        <w:rPr>
          <w:lang w:val="fr-FR"/>
        </w:rPr>
        <w:t>affecter des enfants à des tâches ou des professions dangereuses ou à d</w:t>
      </w:r>
      <w:r w:rsidR="0035332C">
        <w:rPr>
          <w:lang w:val="fr-FR"/>
        </w:rPr>
        <w:t>’</w:t>
      </w:r>
      <w:r w:rsidRPr="00310D49">
        <w:rPr>
          <w:lang w:val="fr-FR"/>
        </w:rPr>
        <w:t>autres travaux susceptibles de compromettre leur éducation ou de porter atteinte à leur sécurité. Quiconque enfreint ces interdictions encourt une amende de 1</w:t>
      </w:r>
      <w:r w:rsidR="00BB335F">
        <w:rPr>
          <w:lang w:val="fr-FR"/>
        </w:rPr>
        <w:t> </w:t>
      </w:r>
      <w:r w:rsidRPr="00310D49">
        <w:rPr>
          <w:lang w:val="fr-FR"/>
        </w:rPr>
        <w:t>000 à 2</w:t>
      </w:r>
      <w:r w:rsidR="00BB335F">
        <w:rPr>
          <w:lang w:val="fr-FR"/>
        </w:rPr>
        <w:t> </w:t>
      </w:r>
      <w:r w:rsidRPr="00310D49">
        <w:rPr>
          <w:lang w:val="fr-FR"/>
        </w:rPr>
        <w:t>000</w:t>
      </w:r>
      <w:r w:rsidR="00BB335F">
        <w:rPr>
          <w:lang w:val="fr-FR"/>
        </w:rPr>
        <w:t> </w:t>
      </w:r>
      <w:r w:rsidRPr="00310D49">
        <w:rPr>
          <w:lang w:val="fr-FR"/>
        </w:rPr>
        <w:t>dinars jordaniens par enfant employé. En cas de récidive, la sanction peut aller jusqu</w:t>
      </w:r>
      <w:r w:rsidR="0035332C">
        <w:rPr>
          <w:lang w:val="fr-FR"/>
        </w:rPr>
        <w:t>’</w:t>
      </w:r>
      <w:r w:rsidRPr="00310D49">
        <w:rPr>
          <w:lang w:val="fr-FR"/>
        </w:rPr>
        <w:t>à la fermeture totale ou partielle de l</w:t>
      </w:r>
      <w:r w:rsidR="0035332C">
        <w:rPr>
          <w:lang w:val="fr-FR"/>
        </w:rPr>
        <w:t>’</w:t>
      </w:r>
      <w:r w:rsidRPr="00310D49">
        <w:rPr>
          <w:lang w:val="fr-FR"/>
        </w:rPr>
        <w:t>établissement en infraction. En outre, selon l</w:t>
      </w:r>
      <w:r w:rsidR="0035332C">
        <w:rPr>
          <w:lang w:val="fr-FR"/>
        </w:rPr>
        <w:t>’</w:t>
      </w:r>
      <w:r w:rsidRPr="00310D49">
        <w:rPr>
          <w:lang w:val="fr-FR"/>
        </w:rPr>
        <w:t>article</w:t>
      </w:r>
      <w:r w:rsidR="00BB335F">
        <w:rPr>
          <w:lang w:val="fr-FR"/>
        </w:rPr>
        <w:t> </w:t>
      </w:r>
      <w:r w:rsidRPr="00310D49">
        <w:rPr>
          <w:lang w:val="fr-FR"/>
        </w:rPr>
        <w:t>43 du Code de l</w:t>
      </w:r>
      <w:r w:rsidR="0035332C">
        <w:rPr>
          <w:lang w:val="fr-FR"/>
        </w:rPr>
        <w:t>’</w:t>
      </w:r>
      <w:r w:rsidRPr="00310D49">
        <w:rPr>
          <w:lang w:val="fr-FR"/>
        </w:rPr>
        <w:t>enfance, il est interdit d</w:t>
      </w:r>
      <w:r w:rsidR="0035332C">
        <w:rPr>
          <w:lang w:val="fr-FR"/>
        </w:rPr>
        <w:t>’</w:t>
      </w:r>
      <w:r w:rsidRPr="00310D49">
        <w:rPr>
          <w:lang w:val="fr-FR"/>
        </w:rPr>
        <w:t>exploiter les enfants dans la mendicité ou de les faire travailler dans des conditions contraires à la loi.</w:t>
      </w:r>
    </w:p>
    <w:p w14:paraId="6A001AF4" w14:textId="51434A1E" w:rsidR="00D005FA" w:rsidRPr="00310D49" w:rsidRDefault="00D005FA" w:rsidP="004E0876">
      <w:pPr>
        <w:pStyle w:val="SingleTxtG"/>
        <w:rPr>
          <w:lang w:val="fr-FR"/>
        </w:rPr>
      </w:pPr>
      <w:r w:rsidRPr="00310D49">
        <w:rPr>
          <w:lang w:val="fr-FR"/>
        </w:rPr>
        <w:t>418.</w:t>
      </w:r>
      <w:r w:rsidRPr="00310D49">
        <w:rPr>
          <w:lang w:val="fr-FR"/>
        </w:rPr>
        <w:tab/>
        <w:t>Le tableau ci-après reprend les données du Bureau central de statistique relatives à la proportion d</w:t>
      </w:r>
      <w:r w:rsidR="0035332C">
        <w:rPr>
          <w:lang w:val="fr-FR"/>
        </w:rPr>
        <w:t>’</w:t>
      </w:r>
      <w:r w:rsidRPr="00310D49">
        <w:rPr>
          <w:lang w:val="fr-FR"/>
        </w:rPr>
        <w:t>enfants âgés de 10 à 17</w:t>
      </w:r>
      <w:r w:rsidR="00BB335F">
        <w:rPr>
          <w:lang w:val="fr-FR"/>
        </w:rPr>
        <w:t> ans</w:t>
      </w:r>
      <w:r w:rsidRPr="00310D49">
        <w:rPr>
          <w:lang w:val="fr-FR"/>
        </w:rPr>
        <w:t xml:space="preserve"> occupant un emploi rémunéré ou non.</w:t>
      </w:r>
    </w:p>
    <w:tbl>
      <w:tblPr>
        <w:tblW w:w="7370" w:type="dxa"/>
        <w:tblInd w:w="1134" w:type="dxa"/>
        <w:tblLayout w:type="fixed"/>
        <w:tblCellMar>
          <w:left w:w="0" w:type="dxa"/>
          <w:right w:w="0" w:type="dxa"/>
        </w:tblCellMar>
        <w:tblLook w:val="04A0" w:firstRow="1" w:lastRow="0" w:firstColumn="1" w:lastColumn="0" w:noHBand="0" w:noVBand="1"/>
      </w:tblPr>
      <w:tblGrid>
        <w:gridCol w:w="3023"/>
        <w:gridCol w:w="1784"/>
        <w:gridCol w:w="1676"/>
        <w:gridCol w:w="887"/>
      </w:tblGrid>
      <w:tr w:rsidR="00B115B9" w:rsidRPr="00B115B9" w14:paraId="16120D93" w14:textId="77777777" w:rsidTr="00B115B9">
        <w:trPr>
          <w:tblHeader/>
        </w:trPr>
        <w:tc>
          <w:tcPr>
            <w:tcW w:w="3023" w:type="dxa"/>
            <w:tcBorders>
              <w:top w:val="single" w:sz="4" w:space="0" w:color="auto"/>
              <w:bottom w:val="single" w:sz="12" w:space="0" w:color="auto"/>
            </w:tcBorders>
            <w:shd w:val="clear" w:color="auto" w:fill="auto"/>
            <w:vAlign w:val="bottom"/>
          </w:tcPr>
          <w:p w14:paraId="2116E207" w14:textId="77777777" w:rsidR="00D005FA" w:rsidRPr="00B115B9" w:rsidRDefault="00D005FA" w:rsidP="00B115B9">
            <w:pPr>
              <w:suppressAutoHyphens w:val="0"/>
              <w:spacing w:before="80" w:after="80" w:line="200" w:lineRule="exact"/>
              <w:rPr>
                <w:i/>
                <w:sz w:val="16"/>
                <w:lang w:val="fr-FR"/>
              </w:rPr>
            </w:pPr>
            <w:r w:rsidRPr="00B115B9">
              <w:rPr>
                <w:i/>
                <w:sz w:val="16"/>
                <w:lang w:val="fr-FR"/>
              </w:rPr>
              <w:t>Année</w:t>
            </w:r>
          </w:p>
        </w:tc>
        <w:tc>
          <w:tcPr>
            <w:tcW w:w="1784" w:type="dxa"/>
            <w:tcBorders>
              <w:top w:val="single" w:sz="4" w:space="0" w:color="auto"/>
              <w:bottom w:val="single" w:sz="12" w:space="0" w:color="auto"/>
            </w:tcBorders>
            <w:shd w:val="clear" w:color="auto" w:fill="auto"/>
            <w:vAlign w:val="bottom"/>
          </w:tcPr>
          <w:p w14:paraId="05E9E2CA" w14:textId="77777777" w:rsidR="00D005FA" w:rsidRPr="00B115B9" w:rsidRDefault="00D005FA" w:rsidP="00B115B9">
            <w:pPr>
              <w:suppressAutoHyphens w:val="0"/>
              <w:spacing w:before="80" w:after="80" w:line="200" w:lineRule="exact"/>
              <w:jc w:val="right"/>
              <w:rPr>
                <w:i/>
                <w:sz w:val="16"/>
                <w:lang w:val="fr-FR"/>
              </w:rPr>
            </w:pPr>
            <w:r w:rsidRPr="00B115B9">
              <w:rPr>
                <w:i/>
                <w:sz w:val="16"/>
                <w:lang w:val="fr-FR"/>
              </w:rPr>
              <w:t>Total</w:t>
            </w:r>
          </w:p>
        </w:tc>
        <w:tc>
          <w:tcPr>
            <w:tcW w:w="1676" w:type="dxa"/>
            <w:tcBorders>
              <w:top w:val="single" w:sz="4" w:space="0" w:color="auto"/>
              <w:bottom w:val="single" w:sz="12" w:space="0" w:color="auto"/>
            </w:tcBorders>
            <w:shd w:val="clear" w:color="auto" w:fill="auto"/>
            <w:vAlign w:val="bottom"/>
          </w:tcPr>
          <w:p w14:paraId="78AE145B" w14:textId="77777777" w:rsidR="00D005FA" w:rsidRPr="00B115B9" w:rsidRDefault="00D005FA" w:rsidP="00B115B9">
            <w:pPr>
              <w:suppressAutoHyphens w:val="0"/>
              <w:spacing w:before="80" w:after="80" w:line="200" w:lineRule="exact"/>
              <w:jc w:val="right"/>
              <w:rPr>
                <w:i/>
                <w:sz w:val="16"/>
                <w:lang w:val="fr-FR"/>
              </w:rPr>
            </w:pPr>
            <w:r w:rsidRPr="00B115B9">
              <w:rPr>
                <w:i/>
                <w:sz w:val="16"/>
                <w:lang w:val="fr-FR"/>
              </w:rPr>
              <w:t>Garçons</w:t>
            </w:r>
          </w:p>
        </w:tc>
        <w:tc>
          <w:tcPr>
            <w:tcW w:w="887" w:type="dxa"/>
            <w:tcBorders>
              <w:top w:val="single" w:sz="4" w:space="0" w:color="auto"/>
              <w:bottom w:val="single" w:sz="12" w:space="0" w:color="auto"/>
            </w:tcBorders>
            <w:shd w:val="clear" w:color="auto" w:fill="auto"/>
            <w:vAlign w:val="bottom"/>
          </w:tcPr>
          <w:p w14:paraId="494FD102" w14:textId="77777777" w:rsidR="00D005FA" w:rsidRPr="00B115B9" w:rsidRDefault="00D005FA" w:rsidP="00B115B9">
            <w:pPr>
              <w:suppressAutoHyphens w:val="0"/>
              <w:spacing w:before="80" w:after="80" w:line="200" w:lineRule="exact"/>
              <w:jc w:val="right"/>
              <w:rPr>
                <w:i/>
                <w:sz w:val="16"/>
                <w:lang w:val="fr-FR"/>
              </w:rPr>
            </w:pPr>
            <w:r w:rsidRPr="00B115B9">
              <w:rPr>
                <w:i/>
                <w:sz w:val="16"/>
                <w:lang w:val="fr-FR"/>
              </w:rPr>
              <w:t>Filles</w:t>
            </w:r>
          </w:p>
        </w:tc>
      </w:tr>
      <w:tr w:rsidR="00B115B9" w:rsidRPr="00B115B9" w14:paraId="100FA5BB" w14:textId="77777777" w:rsidTr="00B115B9">
        <w:tc>
          <w:tcPr>
            <w:tcW w:w="3023" w:type="dxa"/>
            <w:shd w:val="clear" w:color="auto" w:fill="auto"/>
          </w:tcPr>
          <w:p w14:paraId="4D9F7DB1" w14:textId="77777777" w:rsidR="00D005FA" w:rsidRPr="00B115B9" w:rsidRDefault="00D005FA" w:rsidP="00B115B9">
            <w:pPr>
              <w:suppressAutoHyphens w:val="0"/>
              <w:spacing w:before="40" w:after="40" w:line="220" w:lineRule="exact"/>
              <w:rPr>
                <w:sz w:val="18"/>
                <w:lang w:val="fr-FR"/>
              </w:rPr>
            </w:pPr>
            <w:r w:rsidRPr="00B115B9">
              <w:rPr>
                <w:sz w:val="18"/>
                <w:lang w:val="fr-FR"/>
              </w:rPr>
              <w:t>2016</w:t>
            </w:r>
          </w:p>
        </w:tc>
        <w:tc>
          <w:tcPr>
            <w:tcW w:w="1784" w:type="dxa"/>
            <w:shd w:val="clear" w:color="auto" w:fill="auto"/>
            <w:vAlign w:val="bottom"/>
          </w:tcPr>
          <w:p w14:paraId="7AA5DF77" w14:textId="3E7E559F" w:rsidR="00D005FA" w:rsidRPr="00B115B9" w:rsidRDefault="00D005FA" w:rsidP="00B115B9">
            <w:pPr>
              <w:suppressAutoHyphens w:val="0"/>
              <w:spacing w:before="40" w:after="40" w:line="220" w:lineRule="exact"/>
              <w:jc w:val="right"/>
              <w:rPr>
                <w:sz w:val="18"/>
                <w:lang w:val="fr-FR"/>
              </w:rPr>
            </w:pPr>
            <w:r w:rsidRPr="00B115B9">
              <w:rPr>
                <w:sz w:val="18"/>
                <w:lang w:val="fr-FR"/>
              </w:rPr>
              <w:t>3</w:t>
            </w:r>
            <w:r w:rsidR="00B115B9">
              <w:rPr>
                <w:sz w:val="18"/>
                <w:lang w:val="fr-FR"/>
              </w:rPr>
              <w:t>,</w:t>
            </w:r>
            <w:r w:rsidRPr="00B115B9">
              <w:rPr>
                <w:sz w:val="18"/>
                <w:lang w:val="fr-FR"/>
              </w:rPr>
              <w:t>9 %</w:t>
            </w:r>
          </w:p>
        </w:tc>
        <w:tc>
          <w:tcPr>
            <w:tcW w:w="1676" w:type="dxa"/>
            <w:shd w:val="clear" w:color="auto" w:fill="auto"/>
            <w:vAlign w:val="bottom"/>
          </w:tcPr>
          <w:p w14:paraId="487AD536" w14:textId="0D0C6797" w:rsidR="00D005FA" w:rsidRPr="00B115B9" w:rsidRDefault="00D005FA" w:rsidP="00B115B9">
            <w:pPr>
              <w:suppressAutoHyphens w:val="0"/>
              <w:spacing w:before="40" w:after="40" w:line="220" w:lineRule="exact"/>
              <w:jc w:val="right"/>
              <w:rPr>
                <w:sz w:val="18"/>
                <w:lang w:val="fr-FR"/>
              </w:rPr>
            </w:pPr>
            <w:r w:rsidRPr="00B115B9">
              <w:rPr>
                <w:sz w:val="18"/>
                <w:lang w:val="fr-FR"/>
              </w:rPr>
              <w:t>7</w:t>
            </w:r>
            <w:r w:rsidR="00190F9D">
              <w:rPr>
                <w:sz w:val="18"/>
                <w:lang w:val="fr-FR"/>
              </w:rPr>
              <w:t>,</w:t>
            </w:r>
            <w:r w:rsidRPr="00B115B9">
              <w:rPr>
                <w:sz w:val="18"/>
                <w:lang w:val="fr-FR"/>
              </w:rPr>
              <w:t>4 %</w:t>
            </w:r>
          </w:p>
        </w:tc>
        <w:tc>
          <w:tcPr>
            <w:tcW w:w="887" w:type="dxa"/>
            <w:shd w:val="clear" w:color="auto" w:fill="auto"/>
            <w:vAlign w:val="bottom"/>
          </w:tcPr>
          <w:p w14:paraId="2B52518F" w14:textId="52CC9DE7" w:rsidR="00D005FA" w:rsidRPr="00B115B9" w:rsidRDefault="00D005FA" w:rsidP="00B115B9">
            <w:pPr>
              <w:suppressAutoHyphens w:val="0"/>
              <w:spacing w:before="40" w:after="40" w:line="220" w:lineRule="exact"/>
              <w:jc w:val="right"/>
              <w:rPr>
                <w:sz w:val="18"/>
                <w:lang w:val="fr-FR"/>
              </w:rPr>
            </w:pPr>
            <w:r w:rsidRPr="00B115B9">
              <w:rPr>
                <w:sz w:val="18"/>
                <w:lang w:val="fr-FR"/>
              </w:rPr>
              <w:t>0</w:t>
            </w:r>
            <w:r w:rsidR="00190F9D">
              <w:rPr>
                <w:sz w:val="18"/>
                <w:lang w:val="fr-FR"/>
              </w:rPr>
              <w:t>,</w:t>
            </w:r>
            <w:r w:rsidRPr="00B115B9">
              <w:rPr>
                <w:sz w:val="18"/>
                <w:lang w:val="fr-FR"/>
              </w:rPr>
              <w:t>3 %</w:t>
            </w:r>
          </w:p>
        </w:tc>
      </w:tr>
      <w:tr w:rsidR="00B115B9" w:rsidRPr="00B115B9" w14:paraId="17AC23D2" w14:textId="77777777" w:rsidTr="00B115B9">
        <w:tc>
          <w:tcPr>
            <w:tcW w:w="3023" w:type="dxa"/>
            <w:shd w:val="clear" w:color="auto" w:fill="auto"/>
          </w:tcPr>
          <w:p w14:paraId="4355B50D" w14:textId="77777777" w:rsidR="00D005FA" w:rsidRPr="00B115B9" w:rsidRDefault="00D005FA" w:rsidP="00B115B9">
            <w:pPr>
              <w:suppressAutoHyphens w:val="0"/>
              <w:spacing w:before="40" w:after="40" w:line="220" w:lineRule="exact"/>
              <w:rPr>
                <w:sz w:val="18"/>
                <w:lang w:val="fr-FR"/>
              </w:rPr>
            </w:pPr>
            <w:r w:rsidRPr="00B115B9">
              <w:rPr>
                <w:sz w:val="18"/>
                <w:lang w:val="fr-FR"/>
              </w:rPr>
              <w:t>2017</w:t>
            </w:r>
          </w:p>
        </w:tc>
        <w:tc>
          <w:tcPr>
            <w:tcW w:w="1784" w:type="dxa"/>
            <w:shd w:val="clear" w:color="auto" w:fill="auto"/>
            <w:vAlign w:val="bottom"/>
          </w:tcPr>
          <w:p w14:paraId="4A0F7D74" w14:textId="671E2D11" w:rsidR="00D005FA" w:rsidRPr="00B115B9" w:rsidRDefault="00D005FA" w:rsidP="00B115B9">
            <w:pPr>
              <w:suppressAutoHyphens w:val="0"/>
              <w:spacing w:before="40" w:after="40" w:line="220" w:lineRule="exact"/>
              <w:jc w:val="right"/>
              <w:rPr>
                <w:sz w:val="18"/>
                <w:lang w:val="fr-FR"/>
              </w:rPr>
            </w:pPr>
            <w:r w:rsidRPr="00B115B9">
              <w:rPr>
                <w:sz w:val="18"/>
                <w:lang w:val="fr-FR"/>
              </w:rPr>
              <w:t>3</w:t>
            </w:r>
            <w:r w:rsidR="00190F9D">
              <w:rPr>
                <w:sz w:val="18"/>
                <w:lang w:val="fr-FR"/>
              </w:rPr>
              <w:t>,</w:t>
            </w:r>
            <w:r w:rsidRPr="00B115B9">
              <w:rPr>
                <w:sz w:val="18"/>
                <w:lang w:val="fr-FR"/>
              </w:rPr>
              <w:t>4 %</w:t>
            </w:r>
          </w:p>
        </w:tc>
        <w:tc>
          <w:tcPr>
            <w:tcW w:w="1676" w:type="dxa"/>
            <w:shd w:val="clear" w:color="auto" w:fill="auto"/>
            <w:vAlign w:val="bottom"/>
          </w:tcPr>
          <w:p w14:paraId="4F4C9ACA" w14:textId="750C731A" w:rsidR="00D005FA" w:rsidRPr="00B115B9" w:rsidRDefault="00D005FA" w:rsidP="00B115B9">
            <w:pPr>
              <w:suppressAutoHyphens w:val="0"/>
              <w:spacing w:before="40" w:after="40" w:line="220" w:lineRule="exact"/>
              <w:jc w:val="right"/>
              <w:rPr>
                <w:sz w:val="18"/>
                <w:lang w:val="fr-FR"/>
              </w:rPr>
            </w:pPr>
            <w:r w:rsidRPr="00B115B9">
              <w:rPr>
                <w:sz w:val="18"/>
                <w:lang w:val="fr-FR"/>
              </w:rPr>
              <w:t>6</w:t>
            </w:r>
            <w:r w:rsidR="00190F9D">
              <w:rPr>
                <w:sz w:val="18"/>
                <w:lang w:val="fr-FR"/>
              </w:rPr>
              <w:t>,</w:t>
            </w:r>
            <w:r w:rsidRPr="00B115B9">
              <w:rPr>
                <w:sz w:val="18"/>
                <w:lang w:val="fr-FR"/>
              </w:rPr>
              <w:t>6 %</w:t>
            </w:r>
          </w:p>
        </w:tc>
        <w:tc>
          <w:tcPr>
            <w:tcW w:w="887" w:type="dxa"/>
            <w:shd w:val="clear" w:color="auto" w:fill="auto"/>
            <w:vAlign w:val="bottom"/>
          </w:tcPr>
          <w:p w14:paraId="48DB1472" w14:textId="3C29A995" w:rsidR="00D005FA" w:rsidRPr="00B115B9" w:rsidRDefault="00D005FA" w:rsidP="00B115B9">
            <w:pPr>
              <w:suppressAutoHyphens w:val="0"/>
              <w:spacing w:before="40" w:after="40" w:line="220" w:lineRule="exact"/>
              <w:jc w:val="right"/>
              <w:rPr>
                <w:sz w:val="18"/>
                <w:lang w:val="fr-FR"/>
              </w:rPr>
            </w:pPr>
            <w:r w:rsidRPr="00B115B9">
              <w:rPr>
                <w:sz w:val="18"/>
                <w:lang w:val="fr-FR"/>
              </w:rPr>
              <w:t>0</w:t>
            </w:r>
            <w:r w:rsidR="00190F9D">
              <w:rPr>
                <w:sz w:val="18"/>
                <w:lang w:val="fr-FR"/>
              </w:rPr>
              <w:t>,</w:t>
            </w:r>
            <w:r w:rsidRPr="00B115B9">
              <w:rPr>
                <w:sz w:val="18"/>
                <w:lang w:val="fr-FR"/>
              </w:rPr>
              <w:t>1 %</w:t>
            </w:r>
          </w:p>
        </w:tc>
      </w:tr>
      <w:tr w:rsidR="00B115B9" w:rsidRPr="00B115B9" w14:paraId="524F4D87" w14:textId="77777777" w:rsidTr="00B115B9">
        <w:tc>
          <w:tcPr>
            <w:tcW w:w="3023" w:type="dxa"/>
            <w:tcBorders>
              <w:bottom w:val="single" w:sz="12" w:space="0" w:color="auto"/>
            </w:tcBorders>
            <w:shd w:val="clear" w:color="auto" w:fill="auto"/>
          </w:tcPr>
          <w:p w14:paraId="41E6F0ED" w14:textId="77777777" w:rsidR="00D005FA" w:rsidRPr="00B115B9" w:rsidRDefault="00D005FA" w:rsidP="00B115B9">
            <w:pPr>
              <w:suppressAutoHyphens w:val="0"/>
              <w:spacing w:before="40" w:after="40" w:line="220" w:lineRule="exact"/>
              <w:rPr>
                <w:sz w:val="18"/>
                <w:lang w:val="fr-FR"/>
              </w:rPr>
            </w:pPr>
            <w:r w:rsidRPr="00B115B9">
              <w:rPr>
                <w:sz w:val="18"/>
                <w:lang w:val="fr-FR"/>
              </w:rPr>
              <w:t>2018</w:t>
            </w:r>
          </w:p>
        </w:tc>
        <w:tc>
          <w:tcPr>
            <w:tcW w:w="1784" w:type="dxa"/>
            <w:tcBorders>
              <w:bottom w:val="single" w:sz="12" w:space="0" w:color="auto"/>
            </w:tcBorders>
            <w:shd w:val="clear" w:color="auto" w:fill="auto"/>
            <w:vAlign w:val="bottom"/>
          </w:tcPr>
          <w:p w14:paraId="53B5926E" w14:textId="77777777" w:rsidR="00D005FA" w:rsidRPr="00B115B9" w:rsidRDefault="00D005FA" w:rsidP="00B115B9">
            <w:pPr>
              <w:suppressAutoHyphens w:val="0"/>
              <w:spacing w:before="40" w:after="40" w:line="220" w:lineRule="exact"/>
              <w:jc w:val="right"/>
              <w:rPr>
                <w:sz w:val="18"/>
                <w:lang w:val="fr-FR"/>
              </w:rPr>
            </w:pPr>
            <w:r w:rsidRPr="00B115B9">
              <w:rPr>
                <w:sz w:val="18"/>
                <w:lang w:val="fr-FR"/>
              </w:rPr>
              <w:t>3 %</w:t>
            </w:r>
          </w:p>
        </w:tc>
        <w:tc>
          <w:tcPr>
            <w:tcW w:w="1676" w:type="dxa"/>
            <w:tcBorders>
              <w:bottom w:val="single" w:sz="12" w:space="0" w:color="auto"/>
            </w:tcBorders>
            <w:shd w:val="clear" w:color="auto" w:fill="auto"/>
            <w:vAlign w:val="bottom"/>
          </w:tcPr>
          <w:p w14:paraId="77BF7A19" w14:textId="77777777" w:rsidR="00D005FA" w:rsidRPr="00B115B9" w:rsidRDefault="00D005FA" w:rsidP="00B115B9">
            <w:pPr>
              <w:suppressAutoHyphens w:val="0"/>
              <w:spacing w:before="40" w:after="40" w:line="220" w:lineRule="exact"/>
              <w:jc w:val="right"/>
              <w:rPr>
                <w:sz w:val="18"/>
                <w:lang w:val="fr-FR"/>
              </w:rPr>
            </w:pPr>
            <w:r w:rsidRPr="00B115B9">
              <w:rPr>
                <w:sz w:val="18"/>
                <w:lang w:val="fr-FR"/>
              </w:rPr>
              <w:t>6 %</w:t>
            </w:r>
          </w:p>
        </w:tc>
        <w:tc>
          <w:tcPr>
            <w:tcW w:w="887" w:type="dxa"/>
            <w:tcBorders>
              <w:bottom w:val="single" w:sz="12" w:space="0" w:color="auto"/>
            </w:tcBorders>
            <w:shd w:val="clear" w:color="auto" w:fill="auto"/>
            <w:vAlign w:val="bottom"/>
          </w:tcPr>
          <w:p w14:paraId="07BBFFC1" w14:textId="424226E0" w:rsidR="00D005FA" w:rsidRPr="00B115B9" w:rsidRDefault="00D005FA" w:rsidP="00B115B9">
            <w:pPr>
              <w:suppressAutoHyphens w:val="0"/>
              <w:spacing w:before="40" w:after="40" w:line="220" w:lineRule="exact"/>
              <w:jc w:val="right"/>
              <w:rPr>
                <w:sz w:val="18"/>
                <w:lang w:val="fr-FR"/>
              </w:rPr>
            </w:pPr>
            <w:r w:rsidRPr="00B115B9">
              <w:rPr>
                <w:sz w:val="18"/>
                <w:lang w:val="fr-FR"/>
              </w:rPr>
              <w:t>0</w:t>
            </w:r>
            <w:r w:rsidR="00190F9D">
              <w:rPr>
                <w:sz w:val="18"/>
                <w:lang w:val="fr-FR"/>
              </w:rPr>
              <w:t>,</w:t>
            </w:r>
            <w:r w:rsidRPr="00B115B9">
              <w:rPr>
                <w:sz w:val="18"/>
                <w:lang w:val="fr-FR"/>
              </w:rPr>
              <w:t>2 %</w:t>
            </w:r>
          </w:p>
        </w:tc>
      </w:tr>
    </w:tbl>
    <w:p w14:paraId="475E19A5" w14:textId="3D099FB8" w:rsidR="00D005FA" w:rsidRPr="00310D49" w:rsidRDefault="00D005FA" w:rsidP="00BB335F">
      <w:pPr>
        <w:pStyle w:val="SingleTxtG"/>
        <w:spacing w:before="240"/>
        <w:rPr>
          <w:lang w:val="fr-FR"/>
        </w:rPr>
      </w:pPr>
      <w:r w:rsidRPr="00310D49">
        <w:rPr>
          <w:lang w:val="fr-FR"/>
        </w:rPr>
        <w:t>419.</w:t>
      </w:r>
      <w:r w:rsidRPr="00310D49">
        <w:rPr>
          <w:lang w:val="fr-FR"/>
        </w:rPr>
        <w:tab/>
        <w:t>Le phénomène de la «</w:t>
      </w:r>
      <w:r w:rsidR="008B0E8B">
        <w:rPr>
          <w:lang w:val="fr-FR"/>
        </w:rPr>
        <w:t> </w:t>
      </w:r>
      <w:r w:rsidRPr="00310D49">
        <w:rPr>
          <w:lang w:val="fr-FR"/>
        </w:rPr>
        <w:t>mendicité dissimulée</w:t>
      </w:r>
      <w:r w:rsidR="008B0E8B">
        <w:rPr>
          <w:lang w:val="fr-FR"/>
        </w:rPr>
        <w:t> </w:t>
      </w:r>
      <w:r w:rsidRPr="00310D49">
        <w:rPr>
          <w:lang w:val="fr-FR"/>
        </w:rPr>
        <w:t>» est répandu en Palestine, où les enfants proposent à la vente divers objets banals dans différents endroits, notamment aux abords des barrages érigés par l</w:t>
      </w:r>
      <w:r w:rsidR="0035332C">
        <w:rPr>
          <w:lang w:val="fr-FR"/>
        </w:rPr>
        <w:t>’</w:t>
      </w:r>
      <w:r w:rsidRPr="00310D49">
        <w:rPr>
          <w:lang w:val="fr-FR"/>
        </w:rPr>
        <w:t>armée d</w:t>
      </w:r>
      <w:r w:rsidR="0035332C">
        <w:rPr>
          <w:lang w:val="fr-FR"/>
        </w:rPr>
        <w:t>’</w:t>
      </w:r>
      <w:r w:rsidRPr="00310D49">
        <w:rPr>
          <w:lang w:val="fr-FR"/>
        </w:rPr>
        <w:t>occupation israélienne et des feux de circulation. Le Ministère du développement social assure, en collaboration avec les autorités compétentes, le suivi de ces enfants et prend les mesures prévues en vue d</w:t>
      </w:r>
      <w:r w:rsidR="0035332C">
        <w:rPr>
          <w:lang w:val="fr-FR"/>
        </w:rPr>
        <w:t>’</w:t>
      </w:r>
      <w:r w:rsidRPr="00310D49">
        <w:rPr>
          <w:lang w:val="fr-FR"/>
        </w:rPr>
        <w:t>assurer leur protection. Au total, 27</w:t>
      </w:r>
      <w:r w:rsidR="00F97882">
        <w:rPr>
          <w:lang w:val="fr-FR"/>
        </w:rPr>
        <w:t> </w:t>
      </w:r>
      <w:r w:rsidRPr="00310D49">
        <w:rPr>
          <w:lang w:val="fr-FR"/>
        </w:rPr>
        <w:t>cas de mendicité impliquant 12</w:t>
      </w:r>
      <w:r w:rsidR="00F97882">
        <w:rPr>
          <w:lang w:val="fr-FR"/>
        </w:rPr>
        <w:t> </w:t>
      </w:r>
      <w:r w:rsidRPr="00310D49">
        <w:rPr>
          <w:lang w:val="fr-FR"/>
        </w:rPr>
        <w:t>garçons et 15</w:t>
      </w:r>
      <w:r w:rsidR="00F97882">
        <w:rPr>
          <w:lang w:val="fr-FR"/>
        </w:rPr>
        <w:t> </w:t>
      </w:r>
      <w:r w:rsidRPr="00310D49">
        <w:rPr>
          <w:lang w:val="fr-FR"/>
        </w:rPr>
        <w:t>filles ont été recensés en 2017. Il convient de souligner que les restrictions imposées délibérément par les autorités d</w:t>
      </w:r>
      <w:r w:rsidR="0035332C">
        <w:rPr>
          <w:lang w:val="fr-FR"/>
        </w:rPr>
        <w:t>’</w:t>
      </w:r>
      <w:r w:rsidRPr="00310D49">
        <w:rPr>
          <w:lang w:val="fr-FR"/>
        </w:rPr>
        <w:t>occupation à la liberté d</w:t>
      </w:r>
      <w:r w:rsidR="0035332C">
        <w:rPr>
          <w:lang w:val="fr-FR"/>
        </w:rPr>
        <w:t>’</w:t>
      </w:r>
      <w:r w:rsidRPr="00310D49">
        <w:rPr>
          <w:lang w:val="fr-FR"/>
        </w:rPr>
        <w:t>action de la police palestinienne, qui l</w:t>
      </w:r>
      <w:r w:rsidR="0035332C">
        <w:rPr>
          <w:lang w:val="fr-FR"/>
        </w:rPr>
        <w:t>’</w:t>
      </w:r>
      <w:r w:rsidRPr="00310D49">
        <w:rPr>
          <w:lang w:val="fr-FR"/>
        </w:rPr>
        <w:t>empêchent de procéder à l</w:t>
      </w:r>
      <w:r w:rsidR="0035332C">
        <w:rPr>
          <w:lang w:val="fr-FR"/>
        </w:rPr>
        <w:t>’</w:t>
      </w:r>
      <w:r w:rsidRPr="00310D49">
        <w:rPr>
          <w:lang w:val="fr-FR"/>
        </w:rPr>
        <w:t>arrestation de suspects impliqués dans des affaires d</w:t>
      </w:r>
      <w:r w:rsidR="0035332C">
        <w:rPr>
          <w:lang w:val="fr-FR"/>
        </w:rPr>
        <w:t>’</w:t>
      </w:r>
      <w:r w:rsidRPr="00310D49">
        <w:rPr>
          <w:lang w:val="fr-FR"/>
        </w:rPr>
        <w:t>exploitation d</w:t>
      </w:r>
      <w:r w:rsidR="0035332C">
        <w:rPr>
          <w:lang w:val="fr-FR"/>
        </w:rPr>
        <w:t>’</w:t>
      </w:r>
      <w:r w:rsidRPr="00310D49">
        <w:rPr>
          <w:lang w:val="fr-FR"/>
        </w:rPr>
        <w:t>enfants à des fins de mendicité ou de travail, constituent des obstacles à la protection des enfants contre l</w:t>
      </w:r>
      <w:r w:rsidR="0035332C">
        <w:rPr>
          <w:lang w:val="fr-FR"/>
        </w:rPr>
        <w:t>’</w:t>
      </w:r>
      <w:r w:rsidRPr="00310D49">
        <w:rPr>
          <w:lang w:val="fr-FR"/>
        </w:rPr>
        <w:t>exploitation économique. Par ailleurs, les difficultés économiques que connaît la bande de Gaza ont été aggravées par le blocus imposé par Israël. De nombreux enfants ont ainsi été contraints de quitter l</w:t>
      </w:r>
      <w:r w:rsidR="0035332C">
        <w:rPr>
          <w:lang w:val="fr-FR"/>
        </w:rPr>
        <w:t>’</w:t>
      </w:r>
      <w:r w:rsidRPr="00310D49">
        <w:rPr>
          <w:lang w:val="fr-FR"/>
        </w:rPr>
        <w:t>école et de chercher un emploi, exerçant parfois des travaux dangereux.</w:t>
      </w:r>
    </w:p>
    <w:p w14:paraId="000AB479" w14:textId="2F8CA122" w:rsidR="00D005FA" w:rsidRPr="00310D49" w:rsidRDefault="00D005FA" w:rsidP="00190F9D">
      <w:pPr>
        <w:pStyle w:val="SingleTxtG"/>
        <w:rPr>
          <w:lang w:val="fr-FR"/>
        </w:rPr>
      </w:pPr>
      <w:r w:rsidRPr="00310D49">
        <w:rPr>
          <w:lang w:val="fr-FR"/>
        </w:rPr>
        <w:t>420.</w:t>
      </w:r>
      <w:r w:rsidRPr="00310D49">
        <w:rPr>
          <w:lang w:val="fr-FR"/>
        </w:rPr>
        <w:tab/>
        <w:t>En application de l</w:t>
      </w:r>
      <w:r w:rsidR="0035332C">
        <w:rPr>
          <w:lang w:val="fr-FR"/>
        </w:rPr>
        <w:t>’</w:t>
      </w:r>
      <w:r w:rsidRPr="00310D49">
        <w:rPr>
          <w:lang w:val="fr-FR"/>
        </w:rPr>
        <w:t>arrêté du Ministre du travail n</w:t>
      </w:r>
      <w:r w:rsidR="00F97882" w:rsidRPr="00F97882">
        <w:rPr>
          <w:vertAlign w:val="superscript"/>
          <w:lang w:val="fr-FR"/>
        </w:rPr>
        <w:t>o</w:t>
      </w:r>
      <w:r w:rsidR="00F97882">
        <w:rPr>
          <w:lang w:val="fr-FR"/>
        </w:rPr>
        <w:t> </w:t>
      </w:r>
      <w:r w:rsidRPr="00310D49">
        <w:rPr>
          <w:lang w:val="fr-FR"/>
        </w:rPr>
        <w:t xml:space="preserve">80 de 2013 et en partenariat avec les organisations de la société civile et les syndicats, la Commission nationale sur le travail des enfants a été créée </w:t>
      </w:r>
      <w:r w:rsidRPr="0026633B">
        <w:rPr>
          <w:lang w:val="fr-FR"/>
        </w:rPr>
        <w:t>pour élaborer</w:t>
      </w:r>
      <w:r w:rsidRPr="00310D49">
        <w:rPr>
          <w:lang w:val="fr-FR"/>
        </w:rPr>
        <w:t xml:space="preserve"> des politiques visant à protéger les enfants contre l</w:t>
      </w:r>
      <w:r w:rsidR="0035332C">
        <w:rPr>
          <w:lang w:val="fr-FR"/>
        </w:rPr>
        <w:t>’</w:t>
      </w:r>
      <w:r w:rsidRPr="00310D49">
        <w:rPr>
          <w:lang w:val="fr-FR"/>
        </w:rPr>
        <w:t>exploitation économique.</w:t>
      </w:r>
    </w:p>
    <w:p w14:paraId="35BA3E27" w14:textId="5B6C7D71" w:rsidR="00D005FA" w:rsidRPr="00310D49" w:rsidRDefault="00D005FA" w:rsidP="00190F9D">
      <w:pPr>
        <w:pStyle w:val="SingleTxtG"/>
        <w:rPr>
          <w:lang w:val="fr-FR"/>
        </w:rPr>
      </w:pPr>
      <w:r w:rsidRPr="00310D49">
        <w:rPr>
          <w:lang w:val="fr-FR"/>
        </w:rPr>
        <w:lastRenderedPageBreak/>
        <w:t>421.</w:t>
      </w:r>
      <w:r w:rsidRPr="00310D49">
        <w:rPr>
          <w:lang w:val="fr-FR"/>
        </w:rPr>
        <w:tab/>
        <w:t>Le parquet des mineurs, la police des mineurs et les ministères compétents effectuent des visites sur les lieux de travail, prennent les mesures nécessaires en cas d</w:t>
      </w:r>
      <w:r w:rsidR="0035332C">
        <w:rPr>
          <w:lang w:val="fr-FR"/>
        </w:rPr>
        <w:t>’</w:t>
      </w:r>
      <w:r w:rsidRPr="00310D49">
        <w:rPr>
          <w:lang w:val="fr-FR"/>
        </w:rPr>
        <w:t>infractions. En</w:t>
      </w:r>
      <w:r w:rsidR="00F97882">
        <w:rPr>
          <w:lang w:val="fr-FR"/>
        </w:rPr>
        <w:t> </w:t>
      </w:r>
      <w:r w:rsidRPr="00310D49">
        <w:rPr>
          <w:lang w:val="fr-FR"/>
        </w:rPr>
        <w:t>outre, le Ministère du travail reçoit et instruit les plaintes relatives au travail des enfants et en assure le suivi auprès des tribunaux. Les enfants victimes d</w:t>
      </w:r>
      <w:r w:rsidR="0035332C">
        <w:rPr>
          <w:lang w:val="fr-FR"/>
        </w:rPr>
        <w:t>’</w:t>
      </w:r>
      <w:r w:rsidRPr="00310D49">
        <w:rPr>
          <w:lang w:val="fr-FR"/>
        </w:rPr>
        <w:t>exploitation économique sont réhabilités par le biais des centres de formation professionnelle relevant du Ministère du travail. Ils sont ensuite réinsérés dans la société et font l</w:t>
      </w:r>
      <w:r w:rsidR="0035332C">
        <w:rPr>
          <w:lang w:val="fr-FR"/>
        </w:rPr>
        <w:t>’</w:t>
      </w:r>
      <w:r w:rsidRPr="00310D49">
        <w:rPr>
          <w:lang w:val="fr-FR"/>
        </w:rPr>
        <w:t>objet d</w:t>
      </w:r>
      <w:r w:rsidR="0035332C">
        <w:rPr>
          <w:lang w:val="fr-FR"/>
        </w:rPr>
        <w:t>’</w:t>
      </w:r>
      <w:r w:rsidRPr="00310D49">
        <w:rPr>
          <w:lang w:val="fr-FR"/>
        </w:rPr>
        <w:t>un suivi en collaboration avec le Réseau de protection de l</w:t>
      </w:r>
      <w:r w:rsidR="0035332C">
        <w:rPr>
          <w:lang w:val="fr-FR"/>
        </w:rPr>
        <w:t>’</w:t>
      </w:r>
      <w:r w:rsidRPr="00310D49">
        <w:rPr>
          <w:lang w:val="fr-FR"/>
        </w:rPr>
        <w:t>enfance. Les ministères compétents mènent également des campagnes de sensibilisation à l</w:t>
      </w:r>
      <w:r w:rsidR="0035332C">
        <w:rPr>
          <w:lang w:val="fr-FR"/>
        </w:rPr>
        <w:t>’</w:t>
      </w:r>
      <w:r w:rsidRPr="00310D49">
        <w:rPr>
          <w:lang w:val="fr-FR"/>
        </w:rPr>
        <w:t>exploitation et au travail des enfants et de conseil en la matière dans différents lieux.</w:t>
      </w:r>
    </w:p>
    <w:p w14:paraId="44EF40DA" w14:textId="04954C17" w:rsidR="00D005FA" w:rsidRPr="00310D49" w:rsidRDefault="00D005FA" w:rsidP="00190F9D">
      <w:pPr>
        <w:pStyle w:val="SingleTxtG"/>
        <w:rPr>
          <w:lang w:val="fr-FR"/>
        </w:rPr>
      </w:pPr>
      <w:r w:rsidRPr="00310D49">
        <w:rPr>
          <w:lang w:val="fr-FR"/>
        </w:rPr>
        <w:t>422.</w:t>
      </w:r>
      <w:r w:rsidRPr="00310D49">
        <w:rPr>
          <w:lang w:val="fr-FR"/>
        </w:rPr>
        <w:tab/>
        <w:t>Les résultats des inspections effectuées par le Ministère du travail en 2015 mettent en évidence que 4</w:t>
      </w:r>
      <w:r w:rsidR="00F97882">
        <w:rPr>
          <w:lang w:val="fr-FR"/>
        </w:rPr>
        <w:t> </w:t>
      </w:r>
      <w:r w:rsidRPr="00310D49">
        <w:rPr>
          <w:lang w:val="fr-FR"/>
        </w:rPr>
        <w:t>727</w:t>
      </w:r>
      <w:r w:rsidR="00F97882">
        <w:rPr>
          <w:lang w:val="fr-FR"/>
        </w:rPr>
        <w:t> </w:t>
      </w:r>
      <w:r w:rsidRPr="00310D49">
        <w:rPr>
          <w:lang w:val="fr-FR"/>
        </w:rPr>
        <w:t>établissements dans lesquels travaillent 55</w:t>
      </w:r>
      <w:r w:rsidR="00F97882">
        <w:rPr>
          <w:lang w:val="fr-FR"/>
        </w:rPr>
        <w:t> </w:t>
      </w:r>
      <w:r w:rsidRPr="00310D49">
        <w:rPr>
          <w:lang w:val="fr-FR"/>
        </w:rPr>
        <w:t>179</w:t>
      </w:r>
      <w:r w:rsidR="00F97882">
        <w:rPr>
          <w:lang w:val="fr-FR"/>
        </w:rPr>
        <w:t> </w:t>
      </w:r>
      <w:r w:rsidRPr="00310D49">
        <w:rPr>
          <w:lang w:val="fr-FR"/>
        </w:rPr>
        <w:t>personnes, dont 167</w:t>
      </w:r>
      <w:r w:rsidR="00F97882">
        <w:rPr>
          <w:lang w:val="fr-FR"/>
        </w:rPr>
        <w:t> </w:t>
      </w:r>
      <w:r w:rsidRPr="00310D49">
        <w:rPr>
          <w:lang w:val="fr-FR"/>
        </w:rPr>
        <w:t>enfants, ont fait l</w:t>
      </w:r>
      <w:r w:rsidR="0035332C">
        <w:rPr>
          <w:lang w:val="fr-FR"/>
        </w:rPr>
        <w:t>’</w:t>
      </w:r>
      <w:r w:rsidRPr="00310D49">
        <w:rPr>
          <w:lang w:val="fr-FR"/>
        </w:rPr>
        <w:t>objet d</w:t>
      </w:r>
      <w:r w:rsidR="0035332C">
        <w:rPr>
          <w:lang w:val="fr-FR"/>
        </w:rPr>
        <w:t>’</w:t>
      </w:r>
      <w:r w:rsidRPr="00310D49">
        <w:rPr>
          <w:lang w:val="fr-FR"/>
        </w:rPr>
        <w:t>une visite. Les infractions relevées en relation avec le travail des enfants sont comme suit</w:t>
      </w:r>
      <w:r w:rsidR="00A53B5A">
        <w:rPr>
          <w:lang w:val="fr-FR"/>
        </w:rPr>
        <w:t> </w:t>
      </w:r>
      <w:r w:rsidRPr="00310D49">
        <w:rPr>
          <w:lang w:val="fr-FR"/>
        </w:rPr>
        <w:t>: trois avertissements, quatre cas de suppressions d</w:t>
      </w:r>
      <w:r w:rsidR="0035332C">
        <w:rPr>
          <w:lang w:val="fr-FR"/>
        </w:rPr>
        <w:t>’</w:t>
      </w:r>
      <w:r w:rsidRPr="00310D49">
        <w:rPr>
          <w:lang w:val="fr-FR"/>
        </w:rPr>
        <w:t>emploi impliquant des travaux dans lesquels il est interdit de faire travailler des enfants, huit cas de sensibilisation et d</w:t>
      </w:r>
      <w:r w:rsidR="0035332C">
        <w:rPr>
          <w:lang w:val="fr-FR"/>
        </w:rPr>
        <w:t>’</w:t>
      </w:r>
      <w:r w:rsidRPr="00310D49">
        <w:rPr>
          <w:lang w:val="fr-FR"/>
        </w:rPr>
        <w:t>encadrement de l</w:t>
      </w:r>
      <w:r w:rsidR="0035332C">
        <w:rPr>
          <w:lang w:val="fr-FR"/>
        </w:rPr>
        <w:t>’</w:t>
      </w:r>
      <w:r w:rsidRPr="00310D49">
        <w:rPr>
          <w:lang w:val="fr-FR"/>
        </w:rPr>
        <w:t>enfant et de l</w:t>
      </w:r>
      <w:r w:rsidR="0035332C">
        <w:rPr>
          <w:lang w:val="fr-FR"/>
        </w:rPr>
        <w:t>’</w:t>
      </w:r>
      <w:r w:rsidRPr="00310D49">
        <w:rPr>
          <w:lang w:val="fr-FR"/>
        </w:rPr>
        <w:t>employeur, un cas de fermeture d</w:t>
      </w:r>
      <w:r w:rsidR="0035332C">
        <w:rPr>
          <w:lang w:val="fr-FR"/>
        </w:rPr>
        <w:t>’</w:t>
      </w:r>
      <w:r w:rsidRPr="00310D49">
        <w:rPr>
          <w:lang w:val="fr-FR"/>
        </w:rPr>
        <w:t>établissement et de renvoi de l</w:t>
      </w:r>
      <w:r w:rsidR="0035332C">
        <w:rPr>
          <w:lang w:val="fr-FR"/>
        </w:rPr>
        <w:t>’</w:t>
      </w:r>
      <w:r w:rsidRPr="00310D49">
        <w:rPr>
          <w:lang w:val="fr-FR"/>
        </w:rPr>
        <w:t>enfant, quarante mises en garde et deux cas ont été transférés au Ministère du développement social. En outre, seize cas d</w:t>
      </w:r>
      <w:r w:rsidR="0035332C">
        <w:rPr>
          <w:lang w:val="fr-FR"/>
        </w:rPr>
        <w:t>’</w:t>
      </w:r>
      <w:r w:rsidRPr="00310D49">
        <w:rPr>
          <w:lang w:val="fr-FR"/>
        </w:rPr>
        <w:t>enfants exploités pour travailler à l</w:t>
      </w:r>
      <w:r w:rsidR="0035332C">
        <w:rPr>
          <w:lang w:val="fr-FR"/>
        </w:rPr>
        <w:t>’</w:t>
      </w:r>
      <w:r w:rsidRPr="00310D49">
        <w:rPr>
          <w:lang w:val="fr-FR"/>
        </w:rPr>
        <w:t xml:space="preserve">intérieur de la Ligne verte ont été transférés au Ministère du développement social pour prendre </w:t>
      </w:r>
      <w:r w:rsidRPr="007C5787">
        <w:rPr>
          <w:lang w:val="fr-FR"/>
        </w:rPr>
        <w:t>les mesures nécessaires</w:t>
      </w:r>
      <w:r w:rsidRPr="00310D49">
        <w:rPr>
          <w:lang w:val="fr-FR"/>
        </w:rPr>
        <w:t xml:space="preserve"> à leur protection, conformément à la loi.</w:t>
      </w:r>
    </w:p>
    <w:p w14:paraId="2997B4C7" w14:textId="22F326C8" w:rsidR="00D005FA" w:rsidRPr="00310D49" w:rsidRDefault="00D005FA" w:rsidP="00190F9D">
      <w:pPr>
        <w:pStyle w:val="H1G"/>
        <w:rPr>
          <w:lang w:val="fr-FR"/>
        </w:rPr>
      </w:pPr>
      <w:r w:rsidRPr="00310D49">
        <w:rPr>
          <w:lang w:val="fr-FR"/>
        </w:rPr>
        <w:tab/>
      </w:r>
      <w:r w:rsidRPr="00310D49">
        <w:rPr>
          <w:lang w:val="fr-FR"/>
        </w:rPr>
        <w:tab/>
        <w:t>Article 25</w:t>
      </w:r>
      <w:bookmarkStart w:id="27" w:name="_Toc80715514"/>
      <w:bookmarkEnd w:id="27"/>
    </w:p>
    <w:p w14:paraId="3BFEF801" w14:textId="20867802" w:rsidR="00D005FA" w:rsidRPr="00310D49" w:rsidRDefault="00D005FA" w:rsidP="00190F9D">
      <w:pPr>
        <w:pStyle w:val="SingleTxtG"/>
        <w:rPr>
          <w:lang w:val="fr-FR"/>
        </w:rPr>
      </w:pPr>
      <w:r w:rsidRPr="00310D49">
        <w:rPr>
          <w:lang w:val="fr-FR"/>
        </w:rPr>
        <w:t>423.</w:t>
      </w:r>
      <w:r w:rsidRPr="00310D49">
        <w:rPr>
          <w:lang w:val="fr-FR"/>
        </w:rPr>
        <w:tab/>
        <w:t>La Déclaration d</w:t>
      </w:r>
      <w:r w:rsidR="0035332C">
        <w:rPr>
          <w:lang w:val="fr-FR"/>
        </w:rPr>
        <w:t>’</w:t>
      </w:r>
      <w:r w:rsidRPr="00310D49">
        <w:rPr>
          <w:lang w:val="fr-FR"/>
        </w:rPr>
        <w:t>indépendance dispose que «</w:t>
      </w:r>
      <w:r w:rsidR="00DA7FD7">
        <w:rPr>
          <w:lang w:val="fr-FR"/>
        </w:rPr>
        <w:t> </w:t>
      </w:r>
      <w:r w:rsidRPr="00310D49">
        <w:rPr>
          <w:lang w:val="fr-FR"/>
        </w:rPr>
        <w:t>L</w:t>
      </w:r>
      <w:r w:rsidR="0035332C">
        <w:rPr>
          <w:lang w:val="fr-FR"/>
        </w:rPr>
        <w:t>’</w:t>
      </w:r>
      <w:r w:rsidRPr="00310D49">
        <w:rPr>
          <w:lang w:val="fr-FR"/>
        </w:rPr>
        <w:t>État de Palestine est au service de tous les Palestiniens, où qu</w:t>
      </w:r>
      <w:r w:rsidR="0035332C">
        <w:rPr>
          <w:lang w:val="fr-FR"/>
        </w:rPr>
        <w:t>’</w:t>
      </w:r>
      <w:r w:rsidRPr="00310D49">
        <w:rPr>
          <w:lang w:val="fr-FR"/>
        </w:rPr>
        <w:t>ils soient, dans le cadre d</w:t>
      </w:r>
      <w:r w:rsidR="0035332C">
        <w:rPr>
          <w:lang w:val="fr-FR"/>
        </w:rPr>
        <w:t>’</w:t>
      </w:r>
      <w:r w:rsidRPr="00310D49">
        <w:rPr>
          <w:lang w:val="fr-FR"/>
        </w:rPr>
        <w:t>un régime démocratique parlementaire, tandis que la Loi fondamentale, telle que modifiée, souligne que le peuple est la source de tous les pouvoirs, que l</w:t>
      </w:r>
      <w:r w:rsidR="0035332C">
        <w:rPr>
          <w:lang w:val="fr-FR"/>
        </w:rPr>
        <w:t>’</w:t>
      </w:r>
      <w:r w:rsidRPr="00310D49">
        <w:rPr>
          <w:lang w:val="fr-FR"/>
        </w:rPr>
        <w:t xml:space="preserve">État de Palestine est une démocratie représentative reposant sur le pluralisme politique et le multipartisme et que, conformément aux lois électorales, les élections présidentielles </w:t>
      </w:r>
      <w:r w:rsidRPr="00B34078">
        <w:rPr>
          <w:lang w:val="fr-FR"/>
        </w:rPr>
        <w:t xml:space="preserve">et législatives ont </w:t>
      </w:r>
      <w:r w:rsidR="00B34078" w:rsidRPr="00B34078">
        <w:rPr>
          <w:lang w:val="fr-FR"/>
        </w:rPr>
        <w:t xml:space="preserve">lieu </w:t>
      </w:r>
      <w:r w:rsidRPr="00B34078">
        <w:rPr>
          <w:lang w:val="fr-FR"/>
        </w:rPr>
        <w:t>tous</w:t>
      </w:r>
      <w:r w:rsidRPr="00310D49">
        <w:rPr>
          <w:lang w:val="fr-FR"/>
        </w:rPr>
        <w:t xml:space="preserve"> les quatre ans. La Commission électorale centrale est chargée de gérer et de surveiller les élections et de veiller à leur intégrité.</w:t>
      </w:r>
    </w:p>
    <w:p w14:paraId="3F7D23AB" w14:textId="35477112" w:rsidR="00D005FA" w:rsidRPr="00310D49" w:rsidRDefault="00D005FA" w:rsidP="00190F9D">
      <w:pPr>
        <w:pStyle w:val="H23G"/>
        <w:rPr>
          <w:lang w:val="fr-FR"/>
        </w:rPr>
      </w:pPr>
      <w:r w:rsidRPr="00310D49">
        <w:rPr>
          <w:lang w:val="fr-FR"/>
        </w:rPr>
        <w:tab/>
      </w:r>
      <w:r w:rsidRPr="00310D49">
        <w:rPr>
          <w:lang w:val="fr-FR"/>
        </w:rPr>
        <w:tab/>
        <w:t>Conditions d</w:t>
      </w:r>
      <w:r w:rsidR="0035332C">
        <w:rPr>
          <w:lang w:val="fr-FR"/>
        </w:rPr>
        <w:t>’</w:t>
      </w:r>
      <w:r w:rsidRPr="00310D49">
        <w:rPr>
          <w:lang w:val="fr-FR"/>
        </w:rPr>
        <w:t>exercice du droit de vote</w:t>
      </w:r>
      <w:r>
        <w:rPr>
          <w:lang w:val="fr-FR"/>
        </w:rPr>
        <w:t>r</w:t>
      </w:r>
      <w:r w:rsidRPr="00310D49">
        <w:rPr>
          <w:lang w:val="fr-FR"/>
        </w:rPr>
        <w:t xml:space="preserve"> et de se porter candidat </w:t>
      </w:r>
    </w:p>
    <w:p w14:paraId="3ECE20C7" w14:textId="218F4A18" w:rsidR="00D005FA" w:rsidRPr="00310D49" w:rsidRDefault="00D005FA" w:rsidP="00190F9D">
      <w:pPr>
        <w:pStyle w:val="SingleTxtG"/>
        <w:rPr>
          <w:lang w:val="fr-FR"/>
        </w:rPr>
      </w:pPr>
      <w:r w:rsidRPr="00310D49">
        <w:rPr>
          <w:lang w:val="fr-FR"/>
        </w:rPr>
        <w:t>424.</w:t>
      </w:r>
      <w:r w:rsidRPr="00310D49">
        <w:rPr>
          <w:lang w:val="fr-FR"/>
        </w:rPr>
        <w:tab/>
        <w:t>L</w:t>
      </w:r>
      <w:r w:rsidR="0035332C">
        <w:rPr>
          <w:lang w:val="fr-FR"/>
        </w:rPr>
        <w:t>’</w:t>
      </w:r>
      <w:r w:rsidRPr="00310D49">
        <w:rPr>
          <w:lang w:val="fr-FR"/>
        </w:rPr>
        <w:t>article</w:t>
      </w:r>
      <w:r w:rsidR="00DA7FD7">
        <w:rPr>
          <w:lang w:val="fr-FR"/>
        </w:rPr>
        <w:t> </w:t>
      </w:r>
      <w:r w:rsidRPr="00310D49">
        <w:rPr>
          <w:lang w:val="fr-FR"/>
        </w:rPr>
        <w:t>28 (al</w:t>
      </w:r>
      <w:r w:rsidR="00DA7FD7">
        <w:rPr>
          <w:lang w:val="fr-FR"/>
        </w:rPr>
        <w:t>. </w:t>
      </w:r>
      <w:r w:rsidRPr="00310D49">
        <w:rPr>
          <w:lang w:val="fr-FR"/>
        </w:rPr>
        <w:t>1) du décret-loi n</w:t>
      </w:r>
      <w:r w:rsidR="00DA7FD7" w:rsidRPr="00DA7FD7">
        <w:rPr>
          <w:vertAlign w:val="superscript"/>
          <w:lang w:val="fr-FR"/>
        </w:rPr>
        <w:t>o</w:t>
      </w:r>
      <w:r w:rsidR="00DA7FD7">
        <w:rPr>
          <w:lang w:val="fr-FR"/>
        </w:rPr>
        <w:t> </w:t>
      </w:r>
      <w:r w:rsidRPr="00310D49">
        <w:rPr>
          <w:lang w:val="fr-FR"/>
        </w:rPr>
        <w:t>1 de 2007 sur les élections générales, qui régit les élections présidentielles et législatives, prévoit que tous les Palestiniens de Cisjordanie, y</w:t>
      </w:r>
      <w:r w:rsidR="00DA7FD7">
        <w:rPr>
          <w:lang w:val="fr-FR"/>
        </w:rPr>
        <w:t> </w:t>
      </w:r>
      <w:r w:rsidRPr="00310D49">
        <w:rPr>
          <w:lang w:val="fr-FR"/>
        </w:rPr>
        <w:t>compris Jérusalem, et de la bande de Gaza ont le droit de voter, indépendamment de leur religion, de leurs opinions et de leur affiliation politique ou de leur statut social, économique ou académique.</w:t>
      </w:r>
    </w:p>
    <w:p w14:paraId="04CC3AFA" w14:textId="354E1B9F" w:rsidR="00D005FA" w:rsidRPr="00310D49" w:rsidRDefault="00D005FA" w:rsidP="00190F9D">
      <w:pPr>
        <w:pStyle w:val="SingleTxtG"/>
        <w:rPr>
          <w:lang w:val="fr-FR"/>
        </w:rPr>
      </w:pPr>
      <w:r w:rsidRPr="00310D49">
        <w:rPr>
          <w:lang w:val="fr-FR"/>
        </w:rPr>
        <w:t>425.</w:t>
      </w:r>
      <w:r w:rsidRPr="00310D49">
        <w:rPr>
          <w:lang w:val="fr-FR"/>
        </w:rPr>
        <w:tab/>
        <w:t>Pour être éligible à voter, une personne doit, selon l</w:t>
      </w:r>
      <w:r w:rsidR="0035332C">
        <w:rPr>
          <w:lang w:val="fr-FR"/>
        </w:rPr>
        <w:t>’</w:t>
      </w:r>
      <w:r w:rsidRPr="00310D49">
        <w:rPr>
          <w:lang w:val="fr-FR"/>
        </w:rPr>
        <w:t>article 27 dudit décret-loi, être de nationalité palestinienne et âgée de dix-huit ans et son nom doit être inscrit sur la liste électorale définitive. Aux fins dudit décret-loi, une personne est considérée palestinienne</w:t>
      </w:r>
      <w:r w:rsidR="00A53B5A">
        <w:rPr>
          <w:lang w:val="fr-FR"/>
        </w:rPr>
        <w:t> </w:t>
      </w:r>
      <w:r w:rsidRPr="00310D49">
        <w:rPr>
          <w:lang w:val="fr-FR"/>
        </w:rPr>
        <w:t>:</w:t>
      </w:r>
    </w:p>
    <w:p w14:paraId="29FF43A4" w14:textId="1A2DC26F" w:rsidR="00D005FA" w:rsidRPr="00310D49" w:rsidRDefault="00D005FA" w:rsidP="00190F9D">
      <w:pPr>
        <w:pStyle w:val="SingleTxtG"/>
        <w:ind w:firstLine="567"/>
        <w:rPr>
          <w:lang w:val="fr-FR"/>
        </w:rPr>
      </w:pPr>
      <w:r w:rsidRPr="00310D49">
        <w:rPr>
          <w:lang w:val="fr-FR"/>
        </w:rPr>
        <w:t>a)</w:t>
      </w:r>
      <w:r w:rsidRPr="00310D49">
        <w:rPr>
          <w:lang w:val="fr-FR"/>
        </w:rPr>
        <w:tab/>
      </w:r>
      <w:r w:rsidR="00DA7FD7" w:rsidRPr="00310D49">
        <w:rPr>
          <w:lang w:val="fr-FR"/>
        </w:rPr>
        <w:t xml:space="preserve">Si </w:t>
      </w:r>
      <w:r w:rsidRPr="00310D49">
        <w:rPr>
          <w:lang w:val="fr-FR"/>
        </w:rPr>
        <w:t>elle est née en Palestine à l</w:t>
      </w:r>
      <w:r w:rsidR="0035332C">
        <w:rPr>
          <w:lang w:val="fr-FR"/>
        </w:rPr>
        <w:t>’</w:t>
      </w:r>
      <w:r w:rsidRPr="00310D49">
        <w:rPr>
          <w:lang w:val="fr-FR"/>
        </w:rPr>
        <w:t>intérieur des frontières du mandat britannique ou avait le droit d</w:t>
      </w:r>
      <w:r w:rsidR="0035332C">
        <w:rPr>
          <w:lang w:val="fr-FR"/>
        </w:rPr>
        <w:t>’</w:t>
      </w:r>
      <w:r w:rsidRPr="00310D49">
        <w:rPr>
          <w:lang w:val="fr-FR"/>
        </w:rPr>
        <w:t>acquérir la nationalité palestinienne en vertu des lois qui étaient en vigueur sous l</w:t>
      </w:r>
      <w:r w:rsidR="0035332C">
        <w:rPr>
          <w:lang w:val="fr-FR"/>
        </w:rPr>
        <w:t>’</w:t>
      </w:r>
      <w:r w:rsidRPr="00310D49">
        <w:rPr>
          <w:lang w:val="fr-FR"/>
        </w:rPr>
        <w:t>empire de ce mandat</w:t>
      </w:r>
      <w:r w:rsidR="00B02693">
        <w:rPr>
          <w:lang w:val="fr-FR"/>
        </w:rPr>
        <w:t> </w:t>
      </w:r>
      <w:r w:rsidRPr="00310D49">
        <w:rPr>
          <w:lang w:val="fr-FR"/>
        </w:rPr>
        <w:t xml:space="preserve">; </w:t>
      </w:r>
    </w:p>
    <w:p w14:paraId="40D2B49C" w14:textId="118FF5F9" w:rsidR="00D005FA" w:rsidRPr="00310D49" w:rsidRDefault="00D005FA" w:rsidP="00190F9D">
      <w:pPr>
        <w:pStyle w:val="SingleTxtG"/>
        <w:ind w:firstLine="567"/>
        <w:rPr>
          <w:lang w:val="fr-FR"/>
        </w:rPr>
      </w:pPr>
      <w:r w:rsidRPr="00310D49">
        <w:rPr>
          <w:lang w:val="fr-FR"/>
        </w:rPr>
        <w:t>b)</w:t>
      </w:r>
      <w:r w:rsidRPr="00310D49">
        <w:rPr>
          <w:lang w:val="fr-FR"/>
        </w:rPr>
        <w:tab/>
      </w:r>
      <w:r w:rsidR="00DA7FD7" w:rsidRPr="00310D49">
        <w:rPr>
          <w:lang w:val="fr-FR"/>
        </w:rPr>
        <w:t xml:space="preserve">Si </w:t>
      </w:r>
      <w:r w:rsidRPr="00310D49">
        <w:rPr>
          <w:lang w:val="fr-FR"/>
        </w:rPr>
        <w:t>elle est née dans la bande de Gaza ou en Cisjordanie, y compris Jérusalem</w:t>
      </w:r>
      <w:r w:rsidR="00B02693">
        <w:rPr>
          <w:lang w:val="fr-FR"/>
        </w:rPr>
        <w:t> </w:t>
      </w:r>
      <w:r w:rsidRPr="00310D49">
        <w:rPr>
          <w:lang w:val="fr-FR"/>
        </w:rPr>
        <w:t xml:space="preserve">; </w:t>
      </w:r>
    </w:p>
    <w:p w14:paraId="6E6789D4" w14:textId="7D3E3ED7" w:rsidR="00D005FA" w:rsidRPr="00310D49" w:rsidRDefault="00D005FA" w:rsidP="00190F9D">
      <w:pPr>
        <w:pStyle w:val="SingleTxtG"/>
        <w:ind w:firstLine="567"/>
        <w:rPr>
          <w:lang w:val="fr-FR"/>
        </w:rPr>
      </w:pPr>
      <w:r w:rsidRPr="00310D49">
        <w:rPr>
          <w:lang w:val="fr-FR"/>
        </w:rPr>
        <w:t>c)</w:t>
      </w:r>
      <w:r w:rsidRPr="00310D49">
        <w:rPr>
          <w:lang w:val="fr-FR"/>
        </w:rPr>
        <w:tab/>
      </w:r>
      <w:r w:rsidR="00DA7FD7" w:rsidRPr="00310D49">
        <w:rPr>
          <w:lang w:val="fr-FR"/>
        </w:rPr>
        <w:t xml:space="preserve">Si </w:t>
      </w:r>
      <w:r w:rsidRPr="00310D49">
        <w:rPr>
          <w:lang w:val="fr-FR"/>
        </w:rPr>
        <w:t>l</w:t>
      </w:r>
      <w:r w:rsidR="0035332C">
        <w:rPr>
          <w:lang w:val="fr-FR"/>
        </w:rPr>
        <w:t>’</w:t>
      </w:r>
      <w:r w:rsidRPr="00310D49">
        <w:rPr>
          <w:lang w:val="fr-FR"/>
        </w:rPr>
        <w:t>un de ses ascendants relève des dispositions de l</w:t>
      </w:r>
      <w:r w:rsidR="0035332C">
        <w:rPr>
          <w:lang w:val="fr-FR"/>
        </w:rPr>
        <w:t>’</w:t>
      </w:r>
      <w:r w:rsidRPr="00310D49">
        <w:rPr>
          <w:lang w:val="fr-FR"/>
        </w:rPr>
        <w:t>alinéa</w:t>
      </w:r>
      <w:r w:rsidR="00DA7FD7">
        <w:rPr>
          <w:lang w:val="fr-FR"/>
        </w:rPr>
        <w:t> </w:t>
      </w:r>
      <w:r w:rsidRPr="00310D49">
        <w:rPr>
          <w:lang w:val="fr-FR"/>
        </w:rPr>
        <w:t>a) ci-dessus, quel que soit son lieu de naissance</w:t>
      </w:r>
      <w:r w:rsidR="00B02693">
        <w:rPr>
          <w:lang w:val="fr-FR"/>
        </w:rPr>
        <w:t> </w:t>
      </w:r>
      <w:r w:rsidRPr="00310D49">
        <w:rPr>
          <w:lang w:val="fr-FR"/>
        </w:rPr>
        <w:t>;</w:t>
      </w:r>
    </w:p>
    <w:p w14:paraId="151F7CF5" w14:textId="0E15E134" w:rsidR="00D005FA" w:rsidRPr="00310D49" w:rsidRDefault="00D005FA" w:rsidP="00190F9D">
      <w:pPr>
        <w:pStyle w:val="SingleTxtG"/>
        <w:ind w:firstLine="567"/>
        <w:rPr>
          <w:lang w:val="fr-FR"/>
        </w:rPr>
      </w:pPr>
      <w:r w:rsidRPr="00310D49">
        <w:rPr>
          <w:lang w:val="fr-FR"/>
        </w:rPr>
        <w:t>d)</w:t>
      </w:r>
      <w:r w:rsidRPr="00310D49">
        <w:rPr>
          <w:lang w:val="fr-FR"/>
        </w:rPr>
        <w:tab/>
      </w:r>
      <w:r w:rsidR="00DA7FD7" w:rsidRPr="00310D49">
        <w:rPr>
          <w:lang w:val="fr-FR"/>
        </w:rPr>
        <w:t xml:space="preserve">Si </w:t>
      </w:r>
      <w:r w:rsidRPr="00310D49">
        <w:rPr>
          <w:lang w:val="fr-FR"/>
        </w:rPr>
        <w:t>elle est le conjoint d</w:t>
      </w:r>
      <w:r w:rsidR="0035332C">
        <w:rPr>
          <w:lang w:val="fr-FR"/>
        </w:rPr>
        <w:t>’</w:t>
      </w:r>
      <w:r w:rsidRPr="00310D49">
        <w:rPr>
          <w:lang w:val="fr-FR"/>
        </w:rPr>
        <w:t>une Palestinienne ou la conjointe d</w:t>
      </w:r>
      <w:r w:rsidR="0035332C">
        <w:rPr>
          <w:lang w:val="fr-FR"/>
        </w:rPr>
        <w:t>’</w:t>
      </w:r>
      <w:r w:rsidRPr="00310D49">
        <w:rPr>
          <w:lang w:val="fr-FR"/>
        </w:rPr>
        <w:t xml:space="preserve">un Palestinien, comme défini ci-dessus. </w:t>
      </w:r>
    </w:p>
    <w:p w14:paraId="74098F0E" w14:textId="1251ADE6" w:rsidR="00D005FA" w:rsidRPr="00310D49" w:rsidRDefault="00D005FA" w:rsidP="00190F9D">
      <w:pPr>
        <w:pStyle w:val="SingleTxtG"/>
        <w:rPr>
          <w:lang w:val="fr-FR"/>
        </w:rPr>
      </w:pPr>
      <w:r w:rsidRPr="00310D49">
        <w:rPr>
          <w:lang w:val="fr-FR"/>
        </w:rPr>
        <w:t>426.</w:t>
      </w:r>
      <w:r w:rsidRPr="00310D49">
        <w:rPr>
          <w:lang w:val="fr-FR"/>
        </w:rPr>
        <w:tab/>
        <w:t>Selon l</w:t>
      </w:r>
      <w:r w:rsidR="0035332C">
        <w:rPr>
          <w:lang w:val="fr-FR"/>
        </w:rPr>
        <w:t>’</w:t>
      </w:r>
      <w:r w:rsidRPr="00310D49">
        <w:rPr>
          <w:lang w:val="fr-FR"/>
        </w:rPr>
        <w:t>article</w:t>
      </w:r>
      <w:r w:rsidR="00DA7FD7">
        <w:rPr>
          <w:lang w:val="fr-FR"/>
        </w:rPr>
        <w:t> </w:t>
      </w:r>
      <w:r w:rsidRPr="00310D49">
        <w:rPr>
          <w:lang w:val="fr-FR"/>
        </w:rPr>
        <w:t>36 du décret-loi sur les élections générales, tout candidat souhaitant se présenter aux élections présidentielles doit remplir les conditions suivantes</w:t>
      </w:r>
      <w:r w:rsidR="00A53B5A">
        <w:rPr>
          <w:lang w:val="fr-FR"/>
        </w:rPr>
        <w:t> </w:t>
      </w:r>
      <w:r w:rsidRPr="00310D49">
        <w:rPr>
          <w:lang w:val="fr-FR"/>
        </w:rPr>
        <w:t>: Être Palestinien né de parents palestiniens, avoir 40</w:t>
      </w:r>
      <w:r w:rsidR="00DA7FD7">
        <w:rPr>
          <w:lang w:val="fr-FR"/>
        </w:rPr>
        <w:t> </w:t>
      </w:r>
      <w:r w:rsidRPr="00310D49">
        <w:rPr>
          <w:lang w:val="fr-FR"/>
        </w:rPr>
        <w:t>ans révolus, être résident permanent des territoires palestiniens et remplir les conditions requises pour exercer le droit de vote.</w:t>
      </w:r>
    </w:p>
    <w:p w14:paraId="2DC1F3F0" w14:textId="30D7ECB8" w:rsidR="00D005FA" w:rsidRPr="00310D49" w:rsidRDefault="00D005FA" w:rsidP="00E95C74">
      <w:pPr>
        <w:pStyle w:val="SingleTxtG"/>
        <w:keepNext/>
        <w:keepLines/>
        <w:rPr>
          <w:color w:val="000000"/>
          <w:lang w:val="fr-FR"/>
        </w:rPr>
      </w:pPr>
      <w:r w:rsidRPr="00310D49">
        <w:rPr>
          <w:lang w:val="fr-FR"/>
        </w:rPr>
        <w:lastRenderedPageBreak/>
        <w:t>427.</w:t>
      </w:r>
      <w:r w:rsidRPr="00310D49">
        <w:rPr>
          <w:lang w:val="fr-FR"/>
        </w:rPr>
        <w:tab/>
        <w:t>Quant au candidat aux élections du Conseil législatif, il doit remplir les conditions suivantes prévues à l</w:t>
      </w:r>
      <w:r w:rsidR="0035332C">
        <w:rPr>
          <w:lang w:val="fr-FR"/>
        </w:rPr>
        <w:t>’</w:t>
      </w:r>
      <w:r w:rsidRPr="00310D49">
        <w:rPr>
          <w:lang w:val="fr-FR"/>
        </w:rPr>
        <w:t>article</w:t>
      </w:r>
      <w:r w:rsidR="00DA7FD7">
        <w:rPr>
          <w:lang w:val="fr-FR"/>
        </w:rPr>
        <w:t> 4</w:t>
      </w:r>
      <w:r w:rsidRPr="00310D49">
        <w:rPr>
          <w:lang w:val="fr-FR"/>
        </w:rPr>
        <w:t>5 dudit décret-loi</w:t>
      </w:r>
      <w:r w:rsidR="00A53B5A">
        <w:rPr>
          <w:lang w:val="fr-FR"/>
        </w:rPr>
        <w:t> </w:t>
      </w:r>
      <w:r w:rsidRPr="00310D49">
        <w:rPr>
          <w:lang w:val="fr-FR"/>
        </w:rPr>
        <w:t>: Être Palestinien, avoir 28</w:t>
      </w:r>
      <w:r w:rsidR="00DA7FD7">
        <w:rPr>
          <w:lang w:val="fr-FR"/>
        </w:rPr>
        <w:t> </w:t>
      </w:r>
      <w:r w:rsidRPr="00310D49">
        <w:rPr>
          <w:lang w:val="fr-FR"/>
        </w:rPr>
        <w:t>ans révolus à la date de l</w:t>
      </w:r>
      <w:r w:rsidR="0035332C">
        <w:rPr>
          <w:lang w:val="fr-FR"/>
        </w:rPr>
        <w:t>’</w:t>
      </w:r>
      <w:r w:rsidRPr="00310D49">
        <w:rPr>
          <w:lang w:val="fr-FR"/>
        </w:rPr>
        <w:t>élection, être inscrit au registre définitif des électeurs, ne pas avoir été condamné pour une infraction pénale ou un délit portant atteinte à l</w:t>
      </w:r>
      <w:r w:rsidR="0035332C">
        <w:rPr>
          <w:lang w:val="fr-FR"/>
        </w:rPr>
        <w:t>’</w:t>
      </w:r>
      <w:r w:rsidRPr="00310D49">
        <w:rPr>
          <w:lang w:val="fr-FR"/>
        </w:rPr>
        <w:t>honneur ou à la probité et être résident permanent des territoires palestiniens.</w:t>
      </w:r>
    </w:p>
    <w:p w14:paraId="04B80EBD" w14:textId="15E6794E" w:rsidR="00D005FA" w:rsidRPr="00310D49" w:rsidRDefault="00D005FA" w:rsidP="00190F9D">
      <w:pPr>
        <w:pStyle w:val="SingleTxtG"/>
        <w:rPr>
          <w:lang w:val="fr-FR"/>
        </w:rPr>
      </w:pPr>
      <w:r w:rsidRPr="00310D49">
        <w:rPr>
          <w:lang w:val="fr-FR"/>
        </w:rPr>
        <w:t>428.</w:t>
      </w:r>
      <w:r w:rsidRPr="00310D49">
        <w:rPr>
          <w:lang w:val="fr-FR"/>
        </w:rPr>
        <w:tab/>
        <w:t xml:space="preserve">Pour exercer son droit de vote aux élections locales, une personne doit remplir les conditions suivantes </w:t>
      </w:r>
      <w:r w:rsidRPr="002B2F61">
        <w:rPr>
          <w:lang w:val="fr-FR"/>
        </w:rPr>
        <w:t xml:space="preserve">énoncées dans </w:t>
      </w:r>
      <w:r w:rsidR="00B34078">
        <w:rPr>
          <w:lang w:val="fr-FR"/>
        </w:rPr>
        <w:t>l</w:t>
      </w:r>
      <w:r w:rsidR="0035332C">
        <w:rPr>
          <w:lang w:val="fr-FR"/>
        </w:rPr>
        <w:t>’</w:t>
      </w:r>
      <w:r w:rsidR="00B34078">
        <w:rPr>
          <w:lang w:val="fr-FR"/>
        </w:rPr>
        <w:t xml:space="preserve">article 7 de </w:t>
      </w:r>
      <w:r w:rsidRPr="002B2F61">
        <w:rPr>
          <w:lang w:val="fr-FR"/>
        </w:rPr>
        <w:t>la loi n</w:t>
      </w:r>
      <w:r w:rsidR="00DA7FD7" w:rsidRPr="002B2F61">
        <w:rPr>
          <w:vertAlign w:val="superscript"/>
          <w:lang w:val="fr-FR"/>
        </w:rPr>
        <w:t>o</w:t>
      </w:r>
      <w:r w:rsidR="00DA7FD7" w:rsidRPr="002B2F61">
        <w:rPr>
          <w:lang w:val="fr-FR"/>
        </w:rPr>
        <w:t> </w:t>
      </w:r>
      <w:r w:rsidRPr="002B2F61">
        <w:rPr>
          <w:lang w:val="fr-FR"/>
        </w:rPr>
        <w:t>10 de 2005</w:t>
      </w:r>
      <w:r w:rsidRPr="00310D49">
        <w:rPr>
          <w:lang w:val="fr-FR"/>
        </w:rPr>
        <w:t xml:space="preserve"> sur les élections aux conseils des collectivités locales</w:t>
      </w:r>
      <w:r w:rsidR="00A53B5A">
        <w:rPr>
          <w:lang w:val="fr-FR"/>
        </w:rPr>
        <w:t> </w:t>
      </w:r>
      <w:r w:rsidRPr="00310D49">
        <w:rPr>
          <w:lang w:val="fr-FR"/>
        </w:rPr>
        <w:t>: Être Palestinienne âgée d</w:t>
      </w:r>
      <w:r w:rsidR="0035332C">
        <w:rPr>
          <w:lang w:val="fr-FR"/>
        </w:rPr>
        <w:t>’</w:t>
      </w:r>
      <w:r w:rsidRPr="00310D49">
        <w:rPr>
          <w:lang w:val="fr-FR"/>
        </w:rPr>
        <w:t>au moins 18</w:t>
      </w:r>
      <w:r w:rsidR="00DA7FD7">
        <w:rPr>
          <w:lang w:val="fr-FR"/>
        </w:rPr>
        <w:t> </w:t>
      </w:r>
      <w:r w:rsidRPr="00310D49">
        <w:rPr>
          <w:lang w:val="fr-FR"/>
        </w:rPr>
        <w:t>ans, résidant dans la circonscription électorale concernée depuis au moins six mois avant la date prévue des élections, inscrite au registre définitif des électeurs et jouissant de la capacité juridique.</w:t>
      </w:r>
    </w:p>
    <w:p w14:paraId="241A2641" w14:textId="60699643" w:rsidR="00D005FA" w:rsidRPr="00310D49" w:rsidRDefault="00D005FA" w:rsidP="00190F9D">
      <w:pPr>
        <w:pStyle w:val="SingleTxtG"/>
        <w:rPr>
          <w:lang w:val="fr-FR"/>
        </w:rPr>
      </w:pPr>
      <w:r w:rsidRPr="00310D49">
        <w:rPr>
          <w:lang w:val="fr-FR"/>
        </w:rPr>
        <w:t>429.</w:t>
      </w:r>
      <w:r w:rsidRPr="00310D49">
        <w:rPr>
          <w:lang w:val="fr-FR"/>
        </w:rPr>
        <w:tab/>
        <w:t>S</w:t>
      </w:r>
      <w:r w:rsidR="0035332C">
        <w:rPr>
          <w:lang w:val="fr-FR"/>
        </w:rPr>
        <w:t>’</w:t>
      </w:r>
      <w:r w:rsidRPr="00310D49">
        <w:rPr>
          <w:lang w:val="fr-FR"/>
        </w:rPr>
        <w:t>agissant des candidats inscrits sur les listes électorales des conseils des collectivités locales, l</w:t>
      </w:r>
      <w:r w:rsidR="0035332C">
        <w:rPr>
          <w:lang w:val="fr-FR"/>
        </w:rPr>
        <w:t>’</w:t>
      </w:r>
      <w:r w:rsidRPr="00310D49">
        <w:rPr>
          <w:lang w:val="fr-FR"/>
        </w:rPr>
        <w:t>article</w:t>
      </w:r>
      <w:r w:rsidR="00DA7FD7">
        <w:rPr>
          <w:lang w:val="fr-FR"/>
        </w:rPr>
        <w:t> </w:t>
      </w:r>
      <w:r w:rsidRPr="00310D49">
        <w:rPr>
          <w:lang w:val="fr-FR"/>
        </w:rPr>
        <w:t>18 de ladit</w:t>
      </w:r>
      <w:r>
        <w:rPr>
          <w:lang w:val="fr-FR"/>
        </w:rPr>
        <w:t>e</w:t>
      </w:r>
      <w:r w:rsidRPr="00310D49">
        <w:rPr>
          <w:lang w:val="fr-FR"/>
        </w:rPr>
        <w:t xml:space="preserve"> loi n</w:t>
      </w:r>
      <w:r w:rsidR="00DA7FD7" w:rsidRPr="00DA7FD7">
        <w:rPr>
          <w:vertAlign w:val="superscript"/>
          <w:lang w:val="fr-FR"/>
        </w:rPr>
        <w:t>o</w:t>
      </w:r>
      <w:r w:rsidR="00DA7FD7">
        <w:rPr>
          <w:lang w:val="fr-FR"/>
        </w:rPr>
        <w:t> </w:t>
      </w:r>
      <w:r w:rsidRPr="00310D49">
        <w:rPr>
          <w:lang w:val="fr-FR"/>
        </w:rPr>
        <w:t>10 de 2005 précise que tout candidat doit remplir les conditions suivantes</w:t>
      </w:r>
      <w:r w:rsidR="00A53B5A">
        <w:rPr>
          <w:lang w:val="fr-FR"/>
        </w:rPr>
        <w:t> </w:t>
      </w:r>
      <w:r w:rsidRPr="00310D49">
        <w:rPr>
          <w:lang w:val="fr-FR"/>
        </w:rPr>
        <w:t>: avoir 25 ans révolus, être inscrit au registre des électeurs, avoir la qualité d</w:t>
      </w:r>
      <w:r w:rsidR="0035332C">
        <w:rPr>
          <w:lang w:val="fr-FR"/>
        </w:rPr>
        <w:t>’</w:t>
      </w:r>
      <w:r w:rsidRPr="00310D49">
        <w:rPr>
          <w:lang w:val="fr-FR"/>
        </w:rPr>
        <w:t>électeur, ne pas avoir été reconnu coupable d</w:t>
      </w:r>
      <w:r w:rsidR="0035332C">
        <w:rPr>
          <w:lang w:val="fr-FR"/>
        </w:rPr>
        <w:t>’</w:t>
      </w:r>
      <w:r w:rsidRPr="00310D49">
        <w:rPr>
          <w:lang w:val="fr-FR"/>
        </w:rPr>
        <w:t>un crime ou d</w:t>
      </w:r>
      <w:r w:rsidR="0035332C">
        <w:rPr>
          <w:lang w:val="fr-FR"/>
        </w:rPr>
        <w:t>’</w:t>
      </w:r>
      <w:r w:rsidRPr="00310D49">
        <w:rPr>
          <w:lang w:val="fr-FR"/>
        </w:rPr>
        <w:t>une atteinte grave à l</w:t>
      </w:r>
      <w:r w:rsidR="0035332C">
        <w:rPr>
          <w:lang w:val="fr-FR"/>
        </w:rPr>
        <w:t>’</w:t>
      </w:r>
      <w:r w:rsidRPr="00310D49">
        <w:rPr>
          <w:lang w:val="fr-FR"/>
        </w:rPr>
        <w:t xml:space="preserve">honneur, ne pas être fonctionnaire ou agent du Ministère des collectivités locales, des services de sûreté publics ou de la </w:t>
      </w:r>
      <w:r w:rsidRPr="002B2F61">
        <w:rPr>
          <w:lang w:val="fr-FR"/>
        </w:rPr>
        <w:t>collectivité locale ou son avocat attitré, être résident de la collectivité locale dans laquelle il se présente comme candidat au moins un an avant la date prévue des élections et ne pas être candidat dans une autre circonscription ou inscrit sur</w:t>
      </w:r>
      <w:r w:rsidRPr="00310D49">
        <w:rPr>
          <w:lang w:val="fr-FR"/>
        </w:rPr>
        <w:t xml:space="preserve"> une autre liste.</w:t>
      </w:r>
    </w:p>
    <w:p w14:paraId="1A3A4AEE" w14:textId="723A7070" w:rsidR="00D005FA" w:rsidRPr="00310D49" w:rsidRDefault="00D005FA" w:rsidP="00190F9D">
      <w:pPr>
        <w:pStyle w:val="H23G"/>
        <w:rPr>
          <w:lang w:val="fr-FR"/>
        </w:rPr>
      </w:pPr>
      <w:r w:rsidRPr="00310D49">
        <w:rPr>
          <w:lang w:val="fr-FR"/>
        </w:rPr>
        <w:tab/>
      </w:r>
      <w:r w:rsidRPr="00310D49">
        <w:rPr>
          <w:lang w:val="fr-FR"/>
        </w:rPr>
        <w:tab/>
        <w:t xml:space="preserve">Dispositions législatives privant les citoyens du droit de vote </w:t>
      </w:r>
      <w:r w:rsidR="00190F9D">
        <w:rPr>
          <w:lang w:val="fr-FR"/>
        </w:rPr>
        <w:br/>
      </w:r>
      <w:r w:rsidRPr="00310D49">
        <w:rPr>
          <w:lang w:val="fr-FR"/>
        </w:rPr>
        <w:t>et du droit de se porter candidat</w:t>
      </w:r>
    </w:p>
    <w:p w14:paraId="49595298" w14:textId="15236BBA" w:rsidR="00D005FA" w:rsidRPr="00310D49" w:rsidRDefault="00D005FA" w:rsidP="00190F9D">
      <w:pPr>
        <w:pStyle w:val="SingleTxtG"/>
        <w:rPr>
          <w:lang w:val="fr-FR"/>
        </w:rPr>
      </w:pPr>
      <w:r w:rsidRPr="00310D49">
        <w:rPr>
          <w:lang w:val="fr-FR"/>
        </w:rPr>
        <w:t>430.</w:t>
      </w:r>
      <w:r w:rsidRPr="00310D49">
        <w:rPr>
          <w:lang w:val="fr-FR"/>
        </w:rPr>
        <w:tab/>
        <w:t>Conformément aux article</w:t>
      </w:r>
      <w:r w:rsidR="00DA7FD7">
        <w:rPr>
          <w:lang w:val="fr-FR"/>
        </w:rPr>
        <w:t>s</w:t>
      </w:r>
      <w:r w:rsidRPr="00310D49">
        <w:rPr>
          <w:lang w:val="fr-FR"/>
        </w:rPr>
        <w:t xml:space="preserve"> 29 (al</w:t>
      </w:r>
      <w:r w:rsidR="00DA7FD7">
        <w:rPr>
          <w:lang w:val="fr-FR"/>
        </w:rPr>
        <w:t>. </w:t>
      </w:r>
      <w:r w:rsidRPr="00310D49">
        <w:rPr>
          <w:lang w:val="fr-FR"/>
        </w:rPr>
        <w:t>1) et 37 du décret-loi sur les élections générales, est déchu de son droit de vote ou de se porter candidat aux élections présidentielles quiconque a été privé de ce droit par une décision judiciaire devenue définitive, quiconque est frappé d</w:t>
      </w:r>
      <w:r w:rsidR="0035332C">
        <w:rPr>
          <w:lang w:val="fr-FR"/>
        </w:rPr>
        <w:t>’</w:t>
      </w:r>
      <w:r w:rsidRPr="00310D49">
        <w:rPr>
          <w:lang w:val="fr-FR"/>
        </w:rPr>
        <w:t>incapacité juridique en vertu d</w:t>
      </w:r>
      <w:r w:rsidR="0035332C">
        <w:rPr>
          <w:lang w:val="fr-FR"/>
        </w:rPr>
        <w:t>’</w:t>
      </w:r>
      <w:r w:rsidRPr="00310D49">
        <w:rPr>
          <w:lang w:val="fr-FR"/>
        </w:rPr>
        <w:t>une décision judiciaire devenue définitive, quiconque a été reconnu coupable d</w:t>
      </w:r>
      <w:r w:rsidR="0035332C">
        <w:rPr>
          <w:lang w:val="fr-FR"/>
        </w:rPr>
        <w:t>’</w:t>
      </w:r>
      <w:r w:rsidRPr="00310D49">
        <w:rPr>
          <w:lang w:val="fr-FR"/>
        </w:rPr>
        <w:t>un crime ou d</w:t>
      </w:r>
      <w:r w:rsidR="0035332C">
        <w:rPr>
          <w:lang w:val="fr-FR"/>
        </w:rPr>
        <w:t>’</w:t>
      </w:r>
      <w:r w:rsidRPr="00310D49">
        <w:rPr>
          <w:lang w:val="fr-FR"/>
        </w:rPr>
        <w:t>une atteinte grave à l</w:t>
      </w:r>
      <w:r w:rsidR="0035332C">
        <w:rPr>
          <w:lang w:val="fr-FR"/>
        </w:rPr>
        <w:t>’</w:t>
      </w:r>
      <w:r w:rsidRPr="00310D49">
        <w:rPr>
          <w:lang w:val="fr-FR"/>
        </w:rPr>
        <w:t>honneur ou à la probité et n</w:t>
      </w:r>
      <w:r w:rsidR="0035332C">
        <w:rPr>
          <w:lang w:val="fr-FR"/>
        </w:rPr>
        <w:t>’</w:t>
      </w:r>
      <w:r w:rsidRPr="00310D49">
        <w:rPr>
          <w:lang w:val="fr-FR"/>
        </w:rPr>
        <w:t xml:space="preserve">a pas été réhabilité, et quiconque a acquis la citoyenneté israélienne. </w:t>
      </w:r>
    </w:p>
    <w:p w14:paraId="02C26BA9" w14:textId="1F9ED522" w:rsidR="00D005FA" w:rsidRPr="00310D49" w:rsidRDefault="00D005FA" w:rsidP="00190F9D">
      <w:pPr>
        <w:pStyle w:val="SingleTxtG"/>
        <w:rPr>
          <w:lang w:val="fr-FR"/>
        </w:rPr>
      </w:pPr>
      <w:r w:rsidRPr="00310D49">
        <w:rPr>
          <w:lang w:val="fr-FR"/>
        </w:rPr>
        <w:t>431.</w:t>
      </w:r>
      <w:r w:rsidRPr="00310D49">
        <w:rPr>
          <w:lang w:val="fr-FR"/>
        </w:rPr>
        <w:tab/>
        <w:t>Selon l</w:t>
      </w:r>
      <w:r w:rsidR="0035332C">
        <w:rPr>
          <w:lang w:val="fr-FR"/>
        </w:rPr>
        <w:t>’</w:t>
      </w:r>
      <w:r w:rsidRPr="00310D49">
        <w:rPr>
          <w:lang w:val="fr-FR"/>
        </w:rPr>
        <w:t>article 326 du Code de commerce (loi n</w:t>
      </w:r>
      <w:r w:rsidR="00DA7FD7" w:rsidRPr="00DA7FD7">
        <w:rPr>
          <w:vertAlign w:val="superscript"/>
          <w:lang w:val="fr-FR"/>
        </w:rPr>
        <w:t>o</w:t>
      </w:r>
      <w:r w:rsidR="00DA7FD7">
        <w:rPr>
          <w:lang w:val="fr-FR"/>
        </w:rPr>
        <w:t> </w:t>
      </w:r>
      <w:r w:rsidRPr="00310D49">
        <w:rPr>
          <w:lang w:val="fr-FR"/>
        </w:rPr>
        <w:t>12 de 1966), « le failli est déchu de ses droits politiques le mois où il déclare faillite</w:t>
      </w:r>
      <w:r w:rsidR="00B02693">
        <w:rPr>
          <w:lang w:val="fr-FR"/>
        </w:rPr>
        <w:t> </w:t>
      </w:r>
      <w:r w:rsidRPr="00310D49">
        <w:rPr>
          <w:lang w:val="fr-FR"/>
        </w:rPr>
        <w:t>; il lui est interdit de voter et d</w:t>
      </w:r>
      <w:r w:rsidR="0035332C">
        <w:rPr>
          <w:lang w:val="fr-FR"/>
        </w:rPr>
        <w:t>’</w:t>
      </w:r>
      <w:r w:rsidRPr="00310D49">
        <w:rPr>
          <w:lang w:val="fr-FR"/>
        </w:rPr>
        <w:t>être élu dans les conseils politiques municipaux ou professionnels</w:t>
      </w:r>
      <w:r w:rsidR="00B02693">
        <w:rPr>
          <w:lang w:val="fr-FR"/>
        </w:rPr>
        <w:t> </w:t>
      </w:r>
      <w:r w:rsidRPr="00310D49">
        <w:rPr>
          <w:lang w:val="fr-FR"/>
        </w:rPr>
        <w:t>; il lui est interdit d</w:t>
      </w:r>
      <w:r w:rsidR="0035332C">
        <w:rPr>
          <w:lang w:val="fr-FR"/>
        </w:rPr>
        <w:t>’</w:t>
      </w:r>
      <w:r w:rsidRPr="00310D49">
        <w:rPr>
          <w:lang w:val="fr-FR"/>
        </w:rPr>
        <w:t>exercer une fonction publique ou d</w:t>
      </w:r>
      <w:r w:rsidR="0035332C">
        <w:rPr>
          <w:lang w:val="fr-FR"/>
        </w:rPr>
        <w:t>’</w:t>
      </w:r>
      <w:r w:rsidRPr="00310D49">
        <w:rPr>
          <w:lang w:val="fr-FR"/>
        </w:rPr>
        <w:t>accomplir une mission publique</w:t>
      </w:r>
      <w:r w:rsidR="00DA7FD7">
        <w:rPr>
          <w:lang w:val="fr-FR"/>
        </w:rPr>
        <w:t>.</w:t>
      </w:r>
      <w:r w:rsidRPr="00310D49">
        <w:rPr>
          <w:lang w:val="fr-FR"/>
        </w:rPr>
        <w:t> ».</w:t>
      </w:r>
    </w:p>
    <w:p w14:paraId="77A8EF15" w14:textId="77777777" w:rsidR="00D005FA" w:rsidRPr="00310D49" w:rsidRDefault="00D005FA" w:rsidP="00190F9D">
      <w:pPr>
        <w:pStyle w:val="H23G"/>
        <w:rPr>
          <w:lang w:val="fr-FR"/>
        </w:rPr>
      </w:pPr>
      <w:r w:rsidRPr="00310D49">
        <w:rPr>
          <w:lang w:val="fr-FR"/>
        </w:rPr>
        <w:tab/>
      </w:r>
      <w:r w:rsidRPr="00310D49">
        <w:rPr>
          <w:lang w:val="fr-FR"/>
        </w:rPr>
        <w:tab/>
        <w:t>Système électoral</w:t>
      </w:r>
    </w:p>
    <w:p w14:paraId="26E8FDC8" w14:textId="77777777" w:rsidR="00D005FA" w:rsidRPr="00310D49" w:rsidRDefault="00D005FA" w:rsidP="00190F9D">
      <w:pPr>
        <w:pStyle w:val="SingleTxtG"/>
        <w:rPr>
          <w:lang w:val="fr-FR"/>
        </w:rPr>
      </w:pPr>
      <w:r w:rsidRPr="00310D49">
        <w:rPr>
          <w:lang w:val="fr-FR"/>
        </w:rPr>
        <w:t>432.</w:t>
      </w:r>
      <w:r w:rsidRPr="00310D49">
        <w:rPr>
          <w:lang w:val="fr-FR"/>
        </w:rPr>
        <w:tab/>
        <w:t xml:space="preserve">Conformément aux lois électorales, les élections présidentielles ont lieu au suffrage universel direct, libre et </w:t>
      </w:r>
      <w:r w:rsidRPr="007C5787">
        <w:rPr>
          <w:lang w:val="fr-FR"/>
        </w:rPr>
        <w:t>secret, tandis</w:t>
      </w:r>
      <w:r w:rsidRPr="00310D49">
        <w:rPr>
          <w:lang w:val="fr-FR"/>
        </w:rPr>
        <w:t xml:space="preserve"> que les membres du Conseil législatif et des conseils des collectivités locales sont élus au scrutin secret sur la base du régime de représentation proportionnelle intégrale.</w:t>
      </w:r>
    </w:p>
    <w:p w14:paraId="535CA384" w14:textId="1EFD8629" w:rsidR="00D005FA" w:rsidRPr="00310D49" w:rsidRDefault="00D005FA" w:rsidP="00190F9D">
      <w:pPr>
        <w:pStyle w:val="SingleTxtG"/>
        <w:rPr>
          <w:lang w:val="fr-FR"/>
        </w:rPr>
      </w:pPr>
      <w:r w:rsidRPr="00310D49">
        <w:rPr>
          <w:lang w:val="fr-FR"/>
        </w:rPr>
        <w:t>433.</w:t>
      </w:r>
      <w:r w:rsidRPr="00310D49">
        <w:rPr>
          <w:lang w:val="fr-FR"/>
        </w:rPr>
        <w:tab/>
        <w:t>Pour promouvoir le droit des femmes de participer aux élections générales et locales, les lois électorales imposent des «</w:t>
      </w:r>
      <w:r w:rsidR="001B7ADF">
        <w:rPr>
          <w:lang w:val="fr-FR"/>
        </w:rPr>
        <w:t> </w:t>
      </w:r>
      <w:r w:rsidRPr="00310D49">
        <w:rPr>
          <w:lang w:val="fr-FR"/>
        </w:rPr>
        <w:t>quotas de candidatures féminines</w:t>
      </w:r>
      <w:r w:rsidR="001B7ADF">
        <w:rPr>
          <w:lang w:val="fr-FR"/>
        </w:rPr>
        <w:t> </w:t>
      </w:r>
      <w:r w:rsidRPr="00310D49">
        <w:rPr>
          <w:lang w:val="fr-FR"/>
        </w:rPr>
        <w:t>». À cet égard, le décret</w:t>
      </w:r>
      <w:r w:rsidR="001B7ADF">
        <w:rPr>
          <w:lang w:val="fr-FR"/>
        </w:rPr>
        <w:noBreakHyphen/>
      </w:r>
      <w:r w:rsidRPr="00310D49">
        <w:rPr>
          <w:lang w:val="fr-FR"/>
        </w:rPr>
        <w:t>loi sur les élections générales et la loi sur les élections aux conseils des collectivités locales prévoient que chaque liste électorale de candidats à l</w:t>
      </w:r>
      <w:r w:rsidR="0035332C">
        <w:rPr>
          <w:lang w:val="fr-FR"/>
        </w:rPr>
        <w:t>’</w:t>
      </w:r>
      <w:r w:rsidRPr="00310D49">
        <w:rPr>
          <w:lang w:val="fr-FR"/>
        </w:rPr>
        <w:t>élection comporte un nombre minimal de femmes. Les femmes ne sont représentées que dans la limite des quotas fixés par la loi et sont sous-représentées par rapport au seuil des 30</w:t>
      </w:r>
      <w:r w:rsidR="001B7ADF">
        <w:rPr>
          <w:lang w:val="fr-FR"/>
        </w:rPr>
        <w:t> </w:t>
      </w:r>
      <w:r w:rsidRPr="00310D49">
        <w:rPr>
          <w:lang w:val="fr-FR"/>
        </w:rPr>
        <w:t>% que les partis se sont engagés à respecter en vertu d</w:t>
      </w:r>
      <w:r w:rsidR="0035332C">
        <w:rPr>
          <w:lang w:val="fr-FR"/>
        </w:rPr>
        <w:t>’</w:t>
      </w:r>
      <w:r w:rsidRPr="00310D49">
        <w:rPr>
          <w:lang w:val="fr-FR"/>
        </w:rPr>
        <w:t>un pacte d</w:t>
      </w:r>
      <w:r w:rsidR="0035332C">
        <w:rPr>
          <w:lang w:val="fr-FR"/>
        </w:rPr>
        <w:t>’</w:t>
      </w:r>
      <w:r w:rsidRPr="00310D49">
        <w:rPr>
          <w:lang w:val="fr-FR"/>
        </w:rPr>
        <w:t>honneur.</w:t>
      </w:r>
    </w:p>
    <w:p w14:paraId="23F9F232" w14:textId="3BB73161" w:rsidR="00D005FA" w:rsidRPr="00310D49" w:rsidRDefault="00D005FA" w:rsidP="00190F9D">
      <w:pPr>
        <w:pStyle w:val="SingleTxtG"/>
        <w:rPr>
          <w:lang w:val="fr-FR"/>
        </w:rPr>
      </w:pPr>
      <w:r w:rsidRPr="00310D49">
        <w:rPr>
          <w:lang w:val="fr-FR"/>
        </w:rPr>
        <w:t>434.</w:t>
      </w:r>
      <w:r w:rsidRPr="00310D49">
        <w:rPr>
          <w:lang w:val="fr-FR"/>
        </w:rPr>
        <w:tab/>
        <w:t>La législation électorale attribue des sièges aux Palestiniens de religion chrétienne dans certains conseils des collectivités locales et dans certaines circonscriptions législatives, ainsi qu</w:t>
      </w:r>
      <w:r w:rsidR="0035332C">
        <w:rPr>
          <w:lang w:val="fr-FR"/>
        </w:rPr>
        <w:t>’</w:t>
      </w:r>
      <w:r w:rsidRPr="00310D49">
        <w:rPr>
          <w:lang w:val="fr-FR"/>
        </w:rPr>
        <w:t>un siège aux membres de la communauté samaritaine dans la circonscription de Naplouse.</w:t>
      </w:r>
    </w:p>
    <w:p w14:paraId="46CD2994" w14:textId="0CDBCC51" w:rsidR="00D005FA" w:rsidRPr="00310D49" w:rsidRDefault="00D005FA" w:rsidP="00E95C74">
      <w:pPr>
        <w:pStyle w:val="SingleTxtG"/>
        <w:rPr>
          <w:lang w:val="fr-FR"/>
        </w:rPr>
      </w:pPr>
      <w:r w:rsidRPr="00310D49">
        <w:rPr>
          <w:lang w:val="fr-FR"/>
        </w:rPr>
        <w:t>435.</w:t>
      </w:r>
      <w:r w:rsidRPr="00310D49">
        <w:rPr>
          <w:lang w:val="fr-FR"/>
        </w:rPr>
        <w:tab/>
        <w:t>L</w:t>
      </w:r>
      <w:r w:rsidR="0035332C">
        <w:rPr>
          <w:lang w:val="fr-FR"/>
        </w:rPr>
        <w:t>’</w:t>
      </w:r>
      <w:r w:rsidRPr="00310D49">
        <w:rPr>
          <w:lang w:val="fr-FR"/>
        </w:rPr>
        <w:t>électeur, qui ne sait ni lire ni écrire ou qu</w:t>
      </w:r>
      <w:r w:rsidR="0035332C">
        <w:rPr>
          <w:lang w:val="fr-FR"/>
        </w:rPr>
        <w:t>’</w:t>
      </w:r>
      <w:r w:rsidRPr="00310D49">
        <w:rPr>
          <w:lang w:val="fr-FR"/>
        </w:rPr>
        <w:t>un handicap met dans l</w:t>
      </w:r>
      <w:r w:rsidR="0035332C">
        <w:rPr>
          <w:lang w:val="fr-FR"/>
        </w:rPr>
        <w:t>’</w:t>
      </w:r>
      <w:r w:rsidRPr="00310D49">
        <w:rPr>
          <w:lang w:val="fr-FR"/>
        </w:rPr>
        <w:t>incapacité de remplir un bulletin de vote, peut se faire aider d</w:t>
      </w:r>
      <w:r w:rsidR="0035332C">
        <w:rPr>
          <w:lang w:val="fr-FR"/>
        </w:rPr>
        <w:t>’</w:t>
      </w:r>
      <w:r w:rsidRPr="00310D49">
        <w:rPr>
          <w:lang w:val="fr-FR"/>
        </w:rPr>
        <w:t>une personne de confiance pour procéder à cette opération, avec l</w:t>
      </w:r>
      <w:r w:rsidR="0035332C">
        <w:rPr>
          <w:lang w:val="fr-FR"/>
        </w:rPr>
        <w:t>’</w:t>
      </w:r>
      <w:r w:rsidRPr="00310D49">
        <w:rPr>
          <w:lang w:val="fr-FR"/>
        </w:rPr>
        <w:t>approbation des membres du bureau de vote et sous réserve que la Commission électorale surveille la remise de son bulletin de vote.</w:t>
      </w:r>
    </w:p>
    <w:p w14:paraId="47C0DC32" w14:textId="77777777" w:rsidR="00D005FA" w:rsidRPr="00310D49" w:rsidRDefault="00D005FA" w:rsidP="00E95C74">
      <w:pPr>
        <w:pStyle w:val="H23G"/>
        <w:rPr>
          <w:lang w:val="fr-FR"/>
        </w:rPr>
      </w:pPr>
      <w:r w:rsidRPr="00310D49">
        <w:rPr>
          <w:lang w:val="fr-FR"/>
        </w:rPr>
        <w:lastRenderedPageBreak/>
        <w:tab/>
      </w:r>
      <w:r w:rsidRPr="00310D49">
        <w:rPr>
          <w:lang w:val="fr-FR"/>
        </w:rPr>
        <w:tab/>
        <w:t>Élections locales de 2017</w:t>
      </w:r>
    </w:p>
    <w:p w14:paraId="4CCC444D" w14:textId="0D1BCFB5" w:rsidR="00D005FA" w:rsidRPr="00310D49" w:rsidRDefault="00D005FA" w:rsidP="00E95C74">
      <w:pPr>
        <w:pStyle w:val="SingleTxtG"/>
        <w:keepNext/>
        <w:keepLines/>
        <w:rPr>
          <w:lang w:val="fr-FR"/>
        </w:rPr>
      </w:pPr>
      <w:r w:rsidRPr="00310D49">
        <w:rPr>
          <w:lang w:val="fr-FR"/>
        </w:rPr>
        <w:t>436.</w:t>
      </w:r>
      <w:r w:rsidRPr="00310D49">
        <w:rPr>
          <w:lang w:val="fr-FR"/>
        </w:rPr>
        <w:tab/>
        <w:t>Lors des élections locales qui ont eu lieu en mai 2017, 587</w:t>
      </w:r>
      <w:r w:rsidR="001B7ADF">
        <w:rPr>
          <w:lang w:val="fr-FR"/>
        </w:rPr>
        <w:t> </w:t>
      </w:r>
      <w:r w:rsidRPr="00310D49">
        <w:rPr>
          <w:lang w:val="fr-FR"/>
        </w:rPr>
        <w:t>listes composées de 4</w:t>
      </w:r>
      <w:r w:rsidR="001B7ADF">
        <w:rPr>
          <w:lang w:val="fr-FR"/>
        </w:rPr>
        <w:t> </w:t>
      </w:r>
      <w:r w:rsidRPr="00310D49">
        <w:rPr>
          <w:lang w:val="fr-FR"/>
        </w:rPr>
        <w:t>822</w:t>
      </w:r>
      <w:r w:rsidR="001B7ADF">
        <w:rPr>
          <w:lang w:val="fr-FR"/>
        </w:rPr>
        <w:t> </w:t>
      </w:r>
      <w:r w:rsidRPr="00310D49">
        <w:rPr>
          <w:lang w:val="fr-FR"/>
        </w:rPr>
        <w:t>candidats, dont 26</w:t>
      </w:r>
      <w:r w:rsidR="001B7ADF">
        <w:rPr>
          <w:lang w:val="fr-FR"/>
        </w:rPr>
        <w:t> </w:t>
      </w:r>
      <w:r w:rsidRPr="00310D49">
        <w:rPr>
          <w:lang w:val="fr-FR"/>
        </w:rPr>
        <w:t>% de femmes, ont été présentées. Dans ce contexte, les candidats ont été élus par acclamation pour siéger aux 199</w:t>
      </w:r>
      <w:r w:rsidR="001B7ADF">
        <w:rPr>
          <w:lang w:val="fr-FR"/>
        </w:rPr>
        <w:t> </w:t>
      </w:r>
      <w:r w:rsidRPr="00310D49">
        <w:rPr>
          <w:lang w:val="fr-FR"/>
        </w:rPr>
        <w:t>conseils locaux parce qu</w:t>
      </w:r>
      <w:r w:rsidR="0035332C">
        <w:rPr>
          <w:lang w:val="fr-FR"/>
        </w:rPr>
        <w:t>’</w:t>
      </w:r>
      <w:r w:rsidRPr="00310D49">
        <w:rPr>
          <w:lang w:val="fr-FR"/>
        </w:rPr>
        <w:t>il n</w:t>
      </w:r>
      <w:r w:rsidR="0035332C">
        <w:rPr>
          <w:lang w:val="fr-FR"/>
        </w:rPr>
        <w:t>’</w:t>
      </w:r>
      <w:r w:rsidRPr="00310D49">
        <w:rPr>
          <w:lang w:val="fr-FR"/>
        </w:rPr>
        <w:t>y avait pas plus d</w:t>
      </w:r>
      <w:r w:rsidR="0035332C">
        <w:rPr>
          <w:lang w:val="fr-FR"/>
        </w:rPr>
        <w:t>’</w:t>
      </w:r>
      <w:r w:rsidRPr="00310D49">
        <w:rPr>
          <w:lang w:val="fr-FR"/>
        </w:rPr>
        <w:t>une liste par conseil.</w:t>
      </w:r>
    </w:p>
    <w:p w14:paraId="53652B84" w14:textId="60E93FA6" w:rsidR="00D005FA" w:rsidRPr="00310D49" w:rsidRDefault="00D005FA" w:rsidP="00190F9D">
      <w:pPr>
        <w:pStyle w:val="SingleTxtG"/>
        <w:rPr>
          <w:lang w:val="fr-FR"/>
        </w:rPr>
      </w:pPr>
      <w:r w:rsidRPr="00310D49">
        <w:rPr>
          <w:lang w:val="fr-FR"/>
        </w:rPr>
        <w:t>437.</w:t>
      </w:r>
      <w:r w:rsidRPr="00310D49">
        <w:rPr>
          <w:lang w:val="fr-FR"/>
        </w:rPr>
        <w:tab/>
        <w:t>Le scrutin local de 2017 a été surveillé par 78</w:t>
      </w:r>
      <w:r w:rsidR="001B7ADF">
        <w:rPr>
          <w:lang w:val="fr-FR"/>
        </w:rPr>
        <w:t> </w:t>
      </w:r>
      <w:r w:rsidRPr="00310D49">
        <w:rPr>
          <w:lang w:val="fr-FR"/>
        </w:rPr>
        <w:t>institutions nationales et internationales et 914</w:t>
      </w:r>
      <w:r w:rsidR="00534640">
        <w:rPr>
          <w:lang w:val="fr-FR"/>
        </w:rPr>
        <w:t> </w:t>
      </w:r>
      <w:r w:rsidRPr="00310D49">
        <w:rPr>
          <w:lang w:val="fr-FR"/>
        </w:rPr>
        <w:t>journalistes ont été accrédités pour y assister, contre 557 lors du précédent. Suite au scrutin, la Commission électorale centrale a été saisie de 102</w:t>
      </w:r>
      <w:r w:rsidR="001B7ADF">
        <w:rPr>
          <w:lang w:val="fr-FR"/>
        </w:rPr>
        <w:t> </w:t>
      </w:r>
      <w:r w:rsidRPr="00310D49">
        <w:rPr>
          <w:lang w:val="fr-FR"/>
        </w:rPr>
        <w:t>recours administratifs contre le processus électoral, tandis que 34</w:t>
      </w:r>
      <w:r w:rsidR="001B7ADF">
        <w:rPr>
          <w:lang w:val="fr-FR"/>
        </w:rPr>
        <w:t> </w:t>
      </w:r>
      <w:r w:rsidRPr="00310D49">
        <w:rPr>
          <w:lang w:val="fr-FR"/>
        </w:rPr>
        <w:t xml:space="preserve">recours judiciaires ont été déposés auprès du Tribunal électoral chargé des conseils locaux, qui en </w:t>
      </w:r>
      <w:r w:rsidR="00D63719">
        <w:rPr>
          <w:lang w:val="fr-FR"/>
        </w:rPr>
        <w:t xml:space="preserve">a </w:t>
      </w:r>
      <w:r w:rsidRPr="00310D49">
        <w:rPr>
          <w:lang w:val="fr-FR"/>
        </w:rPr>
        <w:t>accepté 4.</w:t>
      </w:r>
    </w:p>
    <w:p w14:paraId="6B435638" w14:textId="5220398A" w:rsidR="00D005FA" w:rsidRPr="00310D49" w:rsidRDefault="00D005FA" w:rsidP="00190F9D">
      <w:pPr>
        <w:pStyle w:val="SingleTxtG"/>
        <w:rPr>
          <w:lang w:val="fr-FR"/>
        </w:rPr>
      </w:pPr>
      <w:r w:rsidRPr="00310D49">
        <w:rPr>
          <w:lang w:val="fr-FR"/>
        </w:rPr>
        <w:t>438.</w:t>
      </w:r>
      <w:r w:rsidRPr="00310D49">
        <w:rPr>
          <w:lang w:val="fr-FR"/>
        </w:rPr>
        <w:tab/>
        <w:t>Israël, puissance occupante, impose de sévères restrictions à la liberté de mouvement et de circulation des Palestiniens, ce qui entrave les déplacements des électeurs et des équipes de la Commission électorale centrale. En outre, il rejette tout arrangement permettant aux prisonniers de participer au processus électoral, place en détention les membres du Conseil législatif et se livre à de nombreux harcèlements contre les habitants de Jérusalem, tels que les menaces d</w:t>
      </w:r>
      <w:r w:rsidR="0035332C">
        <w:rPr>
          <w:lang w:val="fr-FR"/>
        </w:rPr>
        <w:t>’</w:t>
      </w:r>
      <w:r w:rsidRPr="00310D49">
        <w:rPr>
          <w:lang w:val="fr-FR"/>
        </w:rPr>
        <w:t>expulsion forcée, entraînant une baisse de leur participation aux deuxièmes élections législatives. En 2004, les autorités d</w:t>
      </w:r>
      <w:r w:rsidR="0035332C">
        <w:rPr>
          <w:lang w:val="fr-FR"/>
        </w:rPr>
        <w:t>’</w:t>
      </w:r>
      <w:r w:rsidRPr="00310D49">
        <w:rPr>
          <w:lang w:val="fr-FR"/>
        </w:rPr>
        <w:t>occupation ont fermé les centres d</w:t>
      </w:r>
      <w:r w:rsidR="0035332C">
        <w:rPr>
          <w:lang w:val="fr-FR"/>
        </w:rPr>
        <w:t>’</w:t>
      </w:r>
      <w:r w:rsidRPr="00310D49">
        <w:rPr>
          <w:lang w:val="fr-FR"/>
        </w:rPr>
        <w:t>inscription des électeurs hiérosolymitains à Jérusalem occupée et mis en détention les travailleurs de ces centres.</w:t>
      </w:r>
    </w:p>
    <w:p w14:paraId="114F986F" w14:textId="77777777" w:rsidR="00D005FA" w:rsidRPr="00310D49" w:rsidRDefault="00D005FA" w:rsidP="00190F9D">
      <w:pPr>
        <w:pStyle w:val="H23G"/>
        <w:rPr>
          <w:lang w:val="fr-FR"/>
        </w:rPr>
      </w:pPr>
      <w:r w:rsidRPr="00310D49">
        <w:rPr>
          <w:lang w:val="fr-FR"/>
        </w:rPr>
        <w:tab/>
      </w:r>
      <w:r w:rsidRPr="00310D49">
        <w:rPr>
          <w:lang w:val="fr-FR"/>
        </w:rPr>
        <w:tab/>
        <w:t>Fonction publique</w:t>
      </w:r>
    </w:p>
    <w:p w14:paraId="359797FE" w14:textId="1FAC762E" w:rsidR="00D005FA" w:rsidRPr="00310D49" w:rsidRDefault="00D005FA" w:rsidP="00190F9D">
      <w:pPr>
        <w:pStyle w:val="SingleTxtG"/>
        <w:rPr>
          <w:lang w:val="fr-FR"/>
        </w:rPr>
      </w:pPr>
      <w:r w:rsidRPr="00310D49">
        <w:rPr>
          <w:lang w:val="fr-FR"/>
        </w:rPr>
        <w:t>439.</w:t>
      </w:r>
      <w:r w:rsidRPr="00310D49">
        <w:rPr>
          <w:lang w:val="fr-FR"/>
        </w:rPr>
        <w:tab/>
        <w:t>L</w:t>
      </w:r>
      <w:r w:rsidR="0035332C">
        <w:rPr>
          <w:lang w:val="fr-FR"/>
        </w:rPr>
        <w:t>’</w:t>
      </w:r>
      <w:r w:rsidRPr="00310D49">
        <w:rPr>
          <w:lang w:val="fr-FR"/>
        </w:rPr>
        <w:t>article 26 (al</w:t>
      </w:r>
      <w:r w:rsidR="00534640">
        <w:rPr>
          <w:lang w:val="fr-FR"/>
        </w:rPr>
        <w:t>. </w:t>
      </w:r>
      <w:r w:rsidRPr="00310D49">
        <w:rPr>
          <w:lang w:val="fr-FR"/>
        </w:rPr>
        <w:t>4) de la Loi fondamentale, telle que modifiée, souligne que l</w:t>
      </w:r>
      <w:r w:rsidR="0035332C">
        <w:rPr>
          <w:lang w:val="fr-FR"/>
        </w:rPr>
        <w:t>’</w:t>
      </w:r>
      <w:r w:rsidRPr="00310D49">
        <w:rPr>
          <w:lang w:val="fr-FR"/>
        </w:rPr>
        <w:t>accès à la fonction publique est fondé sur la règle de l</w:t>
      </w:r>
      <w:r w:rsidR="0035332C">
        <w:rPr>
          <w:lang w:val="fr-FR"/>
        </w:rPr>
        <w:t>’</w:t>
      </w:r>
      <w:r w:rsidRPr="00310D49">
        <w:rPr>
          <w:lang w:val="fr-FR"/>
        </w:rPr>
        <w:t>égalité des chances. En outre, les conditions de nomination et de promotion dans la fonction publique garantissent l</w:t>
      </w:r>
      <w:r w:rsidR="0035332C">
        <w:rPr>
          <w:lang w:val="fr-FR"/>
        </w:rPr>
        <w:t>’</w:t>
      </w:r>
      <w:r w:rsidRPr="00310D49">
        <w:rPr>
          <w:lang w:val="fr-FR"/>
        </w:rPr>
        <w:t>égalité et la non</w:t>
      </w:r>
      <w:r w:rsidR="00534640">
        <w:rPr>
          <w:lang w:val="fr-FR"/>
        </w:rPr>
        <w:noBreakHyphen/>
      </w:r>
      <w:r w:rsidRPr="00310D49">
        <w:rPr>
          <w:lang w:val="fr-FR"/>
        </w:rPr>
        <w:t>discrimination entre les candidats et intègrent les critères de compétence et d</w:t>
      </w:r>
      <w:r w:rsidR="0035332C">
        <w:rPr>
          <w:lang w:val="fr-FR"/>
        </w:rPr>
        <w:t>’</w:t>
      </w:r>
      <w:r w:rsidRPr="00310D49">
        <w:rPr>
          <w:lang w:val="fr-FR"/>
        </w:rPr>
        <w:t>expérience dans le processus de sélection, tout en fixant un quota minimum de 5</w:t>
      </w:r>
      <w:r w:rsidR="00534640">
        <w:rPr>
          <w:lang w:val="fr-FR"/>
        </w:rPr>
        <w:t> </w:t>
      </w:r>
      <w:r w:rsidRPr="00310D49">
        <w:rPr>
          <w:lang w:val="fr-FR"/>
        </w:rPr>
        <w:t>% pour l</w:t>
      </w:r>
      <w:r w:rsidR="0035332C">
        <w:rPr>
          <w:lang w:val="fr-FR"/>
        </w:rPr>
        <w:t>’</w:t>
      </w:r>
      <w:r w:rsidRPr="00310D49">
        <w:rPr>
          <w:lang w:val="fr-FR"/>
        </w:rPr>
        <w:t>emploi des personnes handicapées.</w:t>
      </w:r>
    </w:p>
    <w:p w14:paraId="13AEB18F" w14:textId="4A6ABC56" w:rsidR="00D005FA" w:rsidRPr="00310D49" w:rsidRDefault="00D005FA" w:rsidP="00190F9D">
      <w:pPr>
        <w:pStyle w:val="SingleTxtG"/>
        <w:rPr>
          <w:lang w:val="fr-FR"/>
        </w:rPr>
      </w:pPr>
      <w:r w:rsidRPr="00310D49">
        <w:rPr>
          <w:lang w:val="fr-FR"/>
        </w:rPr>
        <w:t>440.</w:t>
      </w:r>
      <w:r w:rsidRPr="00310D49">
        <w:rPr>
          <w:lang w:val="fr-FR"/>
        </w:rPr>
        <w:tab/>
        <w:t>L</w:t>
      </w:r>
      <w:r w:rsidR="0035332C">
        <w:rPr>
          <w:lang w:val="fr-FR"/>
        </w:rPr>
        <w:t>’</w:t>
      </w:r>
      <w:r w:rsidRPr="00310D49">
        <w:rPr>
          <w:lang w:val="fr-FR"/>
        </w:rPr>
        <w:t>article</w:t>
      </w:r>
      <w:r w:rsidR="00534640">
        <w:rPr>
          <w:lang w:val="fr-FR"/>
        </w:rPr>
        <w:t> </w:t>
      </w:r>
      <w:r w:rsidRPr="00310D49">
        <w:rPr>
          <w:lang w:val="fr-FR"/>
        </w:rPr>
        <w:t>24 du Code de la fonction publique, tel que modifié, dispose que pour être fonctionnaire, il faut être de nationalité palestinienne ou d</w:t>
      </w:r>
      <w:r w:rsidR="0035332C">
        <w:rPr>
          <w:lang w:val="fr-FR"/>
        </w:rPr>
        <w:t>’</w:t>
      </w:r>
      <w:r w:rsidRPr="00310D49">
        <w:rPr>
          <w:lang w:val="fr-FR"/>
        </w:rPr>
        <w:t xml:space="preserve">un autre État arabe, </w:t>
      </w:r>
      <w:r w:rsidRPr="00B34078">
        <w:rPr>
          <w:lang w:val="fr-FR"/>
        </w:rPr>
        <w:t>âgé de 18</w:t>
      </w:r>
      <w:r w:rsidR="00534640" w:rsidRPr="00B34078">
        <w:rPr>
          <w:lang w:val="fr-FR"/>
        </w:rPr>
        <w:t> </w:t>
      </w:r>
      <w:r w:rsidRPr="00B34078">
        <w:rPr>
          <w:lang w:val="fr-FR"/>
        </w:rPr>
        <w:t>ans révolus, exempt de maladies susceptibles d</w:t>
      </w:r>
      <w:r w:rsidR="0035332C">
        <w:rPr>
          <w:lang w:val="fr-FR"/>
        </w:rPr>
        <w:t>’</w:t>
      </w:r>
      <w:r w:rsidRPr="00B34078">
        <w:rPr>
          <w:lang w:val="fr-FR"/>
        </w:rPr>
        <w:t>entraver l</w:t>
      </w:r>
      <w:r w:rsidR="0035332C">
        <w:rPr>
          <w:lang w:val="fr-FR"/>
        </w:rPr>
        <w:t>’</w:t>
      </w:r>
      <w:r w:rsidRPr="00B34078">
        <w:rPr>
          <w:lang w:val="fr-FR"/>
        </w:rPr>
        <w:t xml:space="preserve">exercice des fonctions du poste </w:t>
      </w:r>
      <w:r w:rsidR="00B34078">
        <w:rPr>
          <w:lang w:val="fr-FR"/>
        </w:rPr>
        <w:t>à pourvoir</w:t>
      </w:r>
      <w:r w:rsidRPr="00310D49">
        <w:rPr>
          <w:lang w:val="fr-FR"/>
        </w:rPr>
        <w:t xml:space="preserve"> </w:t>
      </w:r>
      <w:r w:rsidR="00534640">
        <w:rPr>
          <w:lang w:val="fr-FR"/>
        </w:rPr>
        <w:t>−</w:t>
      </w:r>
      <w:r w:rsidRPr="00310D49">
        <w:rPr>
          <w:lang w:val="fr-FR"/>
        </w:rPr>
        <w:t xml:space="preserve"> sachant qu</w:t>
      </w:r>
      <w:r w:rsidR="0035332C">
        <w:rPr>
          <w:lang w:val="fr-FR"/>
        </w:rPr>
        <w:t>’</w:t>
      </w:r>
      <w:r w:rsidRPr="00310D49">
        <w:rPr>
          <w:lang w:val="fr-FR"/>
        </w:rPr>
        <w:t>il est permis de nommer une personne handicapée à un poste si son handicap ne l</w:t>
      </w:r>
      <w:r w:rsidR="0035332C">
        <w:rPr>
          <w:lang w:val="fr-FR"/>
        </w:rPr>
        <w:t>’</w:t>
      </w:r>
      <w:r w:rsidRPr="00310D49">
        <w:rPr>
          <w:lang w:val="fr-FR"/>
        </w:rPr>
        <w:t>empêche pas d</w:t>
      </w:r>
      <w:r w:rsidR="0035332C">
        <w:rPr>
          <w:lang w:val="fr-FR"/>
        </w:rPr>
        <w:t>’</w:t>
      </w:r>
      <w:r w:rsidRPr="00310D49">
        <w:rPr>
          <w:lang w:val="fr-FR"/>
        </w:rPr>
        <w:t xml:space="preserve">exercer les fonctions afférentes à ce poste </w:t>
      </w:r>
      <w:r w:rsidR="00534640">
        <w:rPr>
          <w:lang w:val="fr-FR"/>
        </w:rPr>
        <w:t>−</w:t>
      </w:r>
      <w:r w:rsidRPr="00310D49">
        <w:rPr>
          <w:lang w:val="fr-FR"/>
        </w:rPr>
        <w:t>, jouir de ses droits civiques et ne pas avoir été condamné pour une infraction pénale ou un délit portant atteinte à l</w:t>
      </w:r>
      <w:r w:rsidR="0035332C">
        <w:rPr>
          <w:lang w:val="fr-FR"/>
        </w:rPr>
        <w:t>’</w:t>
      </w:r>
      <w:r w:rsidRPr="00310D49">
        <w:rPr>
          <w:lang w:val="fr-FR"/>
        </w:rPr>
        <w:t>honneur ou à la probité, sous réserve de réhabilitation.</w:t>
      </w:r>
    </w:p>
    <w:p w14:paraId="2FDE7CF6" w14:textId="6FD2865F" w:rsidR="00D005FA" w:rsidRPr="00310D49" w:rsidRDefault="00D005FA" w:rsidP="00190F9D">
      <w:pPr>
        <w:pStyle w:val="SingleTxtG"/>
        <w:rPr>
          <w:lang w:val="fr-FR"/>
        </w:rPr>
      </w:pPr>
      <w:r w:rsidRPr="00310D49">
        <w:rPr>
          <w:lang w:val="fr-FR"/>
        </w:rPr>
        <w:t>441.</w:t>
      </w:r>
      <w:r w:rsidRPr="00310D49">
        <w:rPr>
          <w:lang w:val="fr-FR"/>
        </w:rPr>
        <w:tab/>
        <w:t>Conformément à l</w:t>
      </w:r>
      <w:r w:rsidR="0035332C">
        <w:rPr>
          <w:lang w:val="fr-FR"/>
        </w:rPr>
        <w:t>’</w:t>
      </w:r>
      <w:r w:rsidRPr="00310D49">
        <w:rPr>
          <w:lang w:val="fr-FR"/>
        </w:rPr>
        <w:t>article</w:t>
      </w:r>
      <w:r w:rsidR="00534640">
        <w:rPr>
          <w:lang w:val="fr-FR"/>
        </w:rPr>
        <w:t> </w:t>
      </w:r>
      <w:r w:rsidRPr="00310D49">
        <w:rPr>
          <w:lang w:val="fr-FR"/>
        </w:rPr>
        <w:t>96 dudit Code, il peut être mis fin aux services d</w:t>
      </w:r>
      <w:r w:rsidR="0035332C">
        <w:rPr>
          <w:lang w:val="fr-FR"/>
        </w:rPr>
        <w:t>’</w:t>
      </w:r>
      <w:r w:rsidRPr="00310D49">
        <w:rPr>
          <w:lang w:val="fr-FR"/>
        </w:rPr>
        <w:t>un fonctionnaire dans les cas suivants</w:t>
      </w:r>
      <w:r w:rsidR="00A53B5A">
        <w:rPr>
          <w:lang w:val="fr-FR"/>
        </w:rPr>
        <w:t> </w:t>
      </w:r>
      <w:r w:rsidRPr="00310D49">
        <w:rPr>
          <w:lang w:val="fr-FR"/>
        </w:rPr>
        <w:t>: le départ à la retraite à l</w:t>
      </w:r>
      <w:r w:rsidR="0035332C">
        <w:rPr>
          <w:lang w:val="fr-FR"/>
        </w:rPr>
        <w:t>’</w:t>
      </w:r>
      <w:r w:rsidRPr="00310D49">
        <w:rPr>
          <w:lang w:val="fr-FR"/>
        </w:rPr>
        <w:t>âge fixé par la loi, l</w:t>
      </w:r>
      <w:r w:rsidR="0035332C">
        <w:rPr>
          <w:lang w:val="fr-FR"/>
        </w:rPr>
        <w:t>’</w:t>
      </w:r>
      <w:r w:rsidRPr="00310D49">
        <w:rPr>
          <w:lang w:val="fr-FR"/>
        </w:rPr>
        <w:t>incapacité de travail liée à des problèmes de santé, la démission, la destitution, la mise à la retraite ou la cessation de service, la condamnation en vertu d</w:t>
      </w:r>
      <w:r w:rsidR="0035332C">
        <w:rPr>
          <w:lang w:val="fr-FR"/>
        </w:rPr>
        <w:t>’</w:t>
      </w:r>
      <w:r w:rsidRPr="00310D49">
        <w:rPr>
          <w:lang w:val="fr-FR"/>
        </w:rPr>
        <w:t>un jugement définitif pour une infraction pénale ou un délit portant atteinte à l</w:t>
      </w:r>
      <w:r w:rsidR="0035332C">
        <w:rPr>
          <w:lang w:val="fr-FR"/>
        </w:rPr>
        <w:t>’</w:t>
      </w:r>
      <w:r w:rsidRPr="00310D49">
        <w:rPr>
          <w:lang w:val="fr-FR"/>
        </w:rPr>
        <w:t>honneur ou à la probité, ou le décès. La Haute Cour de justice est compétente pour connaître des litiges relatifs à la fonction publique.</w:t>
      </w:r>
    </w:p>
    <w:p w14:paraId="056CC42F" w14:textId="77777777" w:rsidR="00D005FA" w:rsidRPr="00310D49" w:rsidRDefault="00D005FA" w:rsidP="00190F9D">
      <w:pPr>
        <w:pStyle w:val="H1G"/>
        <w:rPr>
          <w:lang w:val="fr-FR"/>
        </w:rPr>
      </w:pPr>
      <w:r w:rsidRPr="00310D49">
        <w:rPr>
          <w:lang w:val="fr-FR"/>
        </w:rPr>
        <w:tab/>
      </w:r>
      <w:r w:rsidRPr="00310D49">
        <w:rPr>
          <w:lang w:val="fr-FR"/>
        </w:rPr>
        <w:tab/>
        <w:t>Article 26</w:t>
      </w:r>
      <w:bookmarkStart w:id="28" w:name="_Toc80715515"/>
      <w:bookmarkEnd w:id="28"/>
    </w:p>
    <w:p w14:paraId="38AEF83F" w14:textId="7F232E63" w:rsidR="00D005FA" w:rsidRPr="00310D49" w:rsidRDefault="00D005FA" w:rsidP="00190F9D">
      <w:pPr>
        <w:pStyle w:val="SingleTxtG"/>
        <w:rPr>
          <w:lang w:val="fr-FR"/>
        </w:rPr>
      </w:pPr>
      <w:r w:rsidRPr="00310D49">
        <w:rPr>
          <w:lang w:val="fr-FR"/>
        </w:rPr>
        <w:t>442.</w:t>
      </w:r>
      <w:r w:rsidRPr="00310D49">
        <w:rPr>
          <w:lang w:val="fr-FR"/>
        </w:rPr>
        <w:tab/>
        <w:t>La Déclaration d</w:t>
      </w:r>
      <w:r w:rsidR="0035332C">
        <w:rPr>
          <w:lang w:val="fr-FR"/>
        </w:rPr>
        <w:t>’</w:t>
      </w:r>
      <w:r w:rsidRPr="00310D49">
        <w:rPr>
          <w:lang w:val="fr-FR"/>
        </w:rPr>
        <w:t>indépendance et la Loi fondamentale, telle que modifiée, consacrent les principes de l</w:t>
      </w:r>
      <w:r w:rsidR="0035332C">
        <w:rPr>
          <w:lang w:val="fr-FR"/>
        </w:rPr>
        <w:t>’</w:t>
      </w:r>
      <w:r w:rsidRPr="00310D49">
        <w:rPr>
          <w:lang w:val="fr-FR"/>
        </w:rPr>
        <w:t>état de droit, de l</w:t>
      </w:r>
      <w:r w:rsidR="0035332C">
        <w:rPr>
          <w:lang w:val="fr-FR"/>
        </w:rPr>
        <w:t>’</w:t>
      </w:r>
      <w:r w:rsidRPr="00310D49">
        <w:rPr>
          <w:lang w:val="fr-FR"/>
        </w:rPr>
        <w:t>égalité et de la non-discrimination, ainsi que de l</w:t>
      </w:r>
      <w:r w:rsidR="0035332C">
        <w:rPr>
          <w:lang w:val="fr-FR"/>
        </w:rPr>
        <w:t>’</w:t>
      </w:r>
      <w:r w:rsidRPr="00310D49">
        <w:rPr>
          <w:lang w:val="fr-FR"/>
        </w:rPr>
        <w:t>égalité devant la loi et la justice, et disposent que le droit d</w:t>
      </w:r>
      <w:r w:rsidR="0035332C">
        <w:rPr>
          <w:lang w:val="fr-FR"/>
        </w:rPr>
        <w:t>’</w:t>
      </w:r>
      <w:r w:rsidRPr="00310D49">
        <w:rPr>
          <w:lang w:val="fr-FR"/>
        </w:rPr>
        <w:t>ester en justice est un droit protégé et garanti à tous. Le cadre juridique palestinien garantit l</w:t>
      </w:r>
      <w:r w:rsidR="0035332C">
        <w:rPr>
          <w:lang w:val="fr-FR"/>
        </w:rPr>
        <w:t>’</w:t>
      </w:r>
      <w:r w:rsidRPr="00310D49">
        <w:rPr>
          <w:lang w:val="fr-FR"/>
        </w:rPr>
        <w:t>accès sans discrimination à des voies de recours et prévoit des dispositions juridiques et administratives interdisant la discrimination. À cet égard, l</w:t>
      </w:r>
      <w:r w:rsidR="0035332C">
        <w:rPr>
          <w:lang w:val="fr-FR"/>
        </w:rPr>
        <w:t>’</w:t>
      </w:r>
      <w:r w:rsidRPr="00310D49">
        <w:rPr>
          <w:lang w:val="fr-FR"/>
        </w:rPr>
        <w:t>article</w:t>
      </w:r>
      <w:r w:rsidR="00534640">
        <w:rPr>
          <w:lang w:val="fr-FR"/>
        </w:rPr>
        <w:t> </w:t>
      </w:r>
      <w:r w:rsidRPr="00310D49">
        <w:rPr>
          <w:lang w:val="fr-FR"/>
        </w:rPr>
        <w:t>18 de la décision n</w:t>
      </w:r>
      <w:r w:rsidR="00534640" w:rsidRPr="00534640">
        <w:rPr>
          <w:vertAlign w:val="superscript"/>
          <w:lang w:val="fr-FR"/>
        </w:rPr>
        <w:t>o</w:t>
      </w:r>
      <w:r w:rsidR="00534640">
        <w:rPr>
          <w:lang w:val="fr-FR"/>
        </w:rPr>
        <w:t> </w:t>
      </w:r>
      <w:r w:rsidRPr="00310D49">
        <w:rPr>
          <w:lang w:val="fr-FR"/>
        </w:rPr>
        <w:t>3 de 2006 du Conseil supérieur de la magistrature relative au Code de déontologie de la magistrature dispose que, dans le cadre de l</w:t>
      </w:r>
      <w:r w:rsidR="0035332C">
        <w:rPr>
          <w:lang w:val="fr-FR"/>
        </w:rPr>
        <w:t>’</w:t>
      </w:r>
      <w:r w:rsidRPr="00310D49">
        <w:rPr>
          <w:lang w:val="fr-FR"/>
        </w:rPr>
        <w:t>exercice de leurs fonctions, les magistrats ne doivent manifester aucune partialité, par la parole ou le comportement, envers toutes les personnes, qu</w:t>
      </w:r>
      <w:r w:rsidR="0035332C">
        <w:rPr>
          <w:lang w:val="fr-FR"/>
        </w:rPr>
        <w:t>’</w:t>
      </w:r>
      <w:r w:rsidRPr="00310D49">
        <w:rPr>
          <w:lang w:val="fr-FR"/>
        </w:rPr>
        <w:t>elles soient parties au litige ou non, ni aucune distinction entre elles fondée sur la religion, l</w:t>
      </w:r>
      <w:r w:rsidR="0035332C">
        <w:rPr>
          <w:lang w:val="fr-FR"/>
        </w:rPr>
        <w:t>’</w:t>
      </w:r>
      <w:r w:rsidRPr="00310D49">
        <w:rPr>
          <w:lang w:val="fr-FR"/>
        </w:rPr>
        <w:t>appartenance ethnique, la couleur, ou toute autre considération.</w:t>
      </w:r>
    </w:p>
    <w:p w14:paraId="2B765311" w14:textId="295ADC8E" w:rsidR="00D005FA" w:rsidRPr="00310D49" w:rsidRDefault="00D005FA" w:rsidP="00190F9D">
      <w:pPr>
        <w:pStyle w:val="H1G"/>
        <w:rPr>
          <w:lang w:val="fr-FR"/>
        </w:rPr>
      </w:pPr>
      <w:r w:rsidRPr="00310D49">
        <w:rPr>
          <w:lang w:val="fr-FR"/>
        </w:rPr>
        <w:lastRenderedPageBreak/>
        <w:tab/>
      </w:r>
      <w:r w:rsidRPr="00310D49">
        <w:rPr>
          <w:lang w:val="fr-FR"/>
        </w:rPr>
        <w:tab/>
        <w:t>Article 27</w:t>
      </w:r>
      <w:bookmarkStart w:id="29" w:name="_Toc80715516"/>
      <w:bookmarkEnd w:id="29"/>
    </w:p>
    <w:p w14:paraId="755D8645" w14:textId="0C4A02A5" w:rsidR="00D005FA" w:rsidRPr="00310D49" w:rsidRDefault="00D005FA" w:rsidP="00190F9D">
      <w:pPr>
        <w:pStyle w:val="SingleTxtG"/>
        <w:rPr>
          <w:lang w:val="fr-FR"/>
        </w:rPr>
      </w:pPr>
      <w:r w:rsidRPr="00310D49">
        <w:rPr>
          <w:lang w:val="fr-FR"/>
        </w:rPr>
        <w:t>443.</w:t>
      </w:r>
      <w:r w:rsidRPr="00310D49">
        <w:rPr>
          <w:lang w:val="fr-FR"/>
        </w:rPr>
        <w:tab/>
        <w:t>Le dispositif juridique et politique de l</w:t>
      </w:r>
      <w:r w:rsidR="0035332C">
        <w:rPr>
          <w:lang w:val="fr-FR"/>
        </w:rPr>
        <w:t>’</w:t>
      </w:r>
      <w:r w:rsidRPr="00310D49">
        <w:rPr>
          <w:lang w:val="fr-FR"/>
        </w:rPr>
        <w:t>État de Palestine est exempt de toute restriction susceptible d</w:t>
      </w:r>
      <w:r w:rsidR="0035332C">
        <w:rPr>
          <w:lang w:val="fr-FR"/>
        </w:rPr>
        <w:t>’</w:t>
      </w:r>
      <w:r w:rsidRPr="00310D49">
        <w:rPr>
          <w:lang w:val="fr-FR"/>
        </w:rPr>
        <w:t>empêcher toute personne d</w:t>
      </w:r>
      <w:r w:rsidR="0035332C">
        <w:rPr>
          <w:lang w:val="fr-FR"/>
        </w:rPr>
        <w:t>’</w:t>
      </w:r>
      <w:r w:rsidRPr="00310D49">
        <w:rPr>
          <w:lang w:val="fr-FR"/>
        </w:rPr>
        <w:t>exercer son droit de jouir de sa propre culture ou de manifester sa religion et d</w:t>
      </w:r>
      <w:r w:rsidR="0035332C">
        <w:rPr>
          <w:lang w:val="fr-FR"/>
        </w:rPr>
        <w:t>’</w:t>
      </w:r>
      <w:r w:rsidRPr="00310D49">
        <w:rPr>
          <w:lang w:val="fr-FR"/>
        </w:rPr>
        <w:t>accomplir les rites y afférents. C</w:t>
      </w:r>
      <w:r w:rsidR="0035332C">
        <w:rPr>
          <w:lang w:val="fr-FR"/>
        </w:rPr>
        <w:t>’</w:t>
      </w:r>
      <w:r w:rsidRPr="00310D49">
        <w:rPr>
          <w:lang w:val="fr-FR"/>
        </w:rPr>
        <w:t>est ce qu</w:t>
      </w:r>
      <w:r w:rsidR="0035332C">
        <w:rPr>
          <w:lang w:val="fr-FR"/>
        </w:rPr>
        <w:t>’</w:t>
      </w:r>
      <w:r w:rsidRPr="00310D49">
        <w:rPr>
          <w:lang w:val="fr-FR"/>
        </w:rPr>
        <w:t>indique clairement la Déclaration d</w:t>
      </w:r>
      <w:r w:rsidR="0035332C">
        <w:rPr>
          <w:lang w:val="fr-FR"/>
        </w:rPr>
        <w:t>’</w:t>
      </w:r>
      <w:r w:rsidRPr="00310D49">
        <w:rPr>
          <w:lang w:val="fr-FR"/>
        </w:rPr>
        <w:t>indépendance, texte qui figure au sommet de l</w:t>
      </w:r>
      <w:r w:rsidR="0035332C">
        <w:rPr>
          <w:lang w:val="fr-FR"/>
        </w:rPr>
        <w:t>’</w:t>
      </w:r>
      <w:r w:rsidRPr="00310D49">
        <w:rPr>
          <w:lang w:val="fr-FR"/>
        </w:rPr>
        <w:t>ordre juridique interne, en</w:t>
      </w:r>
      <w:r w:rsidR="005152DB">
        <w:rPr>
          <w:lang w:val="fr-FR"/>
        </w:rPr>
        <w:t> </w:t>
      </w:r>
      <w:r w:rsidRPr="00310D49">
        <w:rPr>
          <w:lang w:val="fr-FR"/>
        </w:rPr>
        <w:t>disposant que l</w:t>
      </w:r>
      <w:r w:rsidR="0035332C">
        <w:rPr>
          <w:lang w:val="fr-FR"/>
        </w:rPr>
        <w:t>’</w:t>
      </w:r>
      <w:r w:rsidRPr="00310D49">
        <w:rPr>
          <w:lang w:val="fr-FR"/>
        </w:rPr>
        <w:t>État de Palestine est au service de tous les Palestiniens, où qu</w:t>
      </w:r>
      <w:r w:rsidR="0035332C">
        <w:rPr>
          <w:lang w:val="fr-FR"/>
        </w:rPr>
        <w:t>’</w:t>
      </w:r>
      <w:r w:rsidRPr="00310D49">
        <w:rPr>
          <w:lang w:val="fr-FR"/>
        </w:rPr>
        <w:t>ils soient, afin que puisse s</w:t>
      </w:r>
      <w:r w:rsidR="0035332C">
        <w:rPr>
          <w:lang w:val="fr-FR"/>
        </w:rPr>
        <w:t>’</w:t>
      </w:r>
      <w:r w:rsidRPr="00310D49">
        <w:rPr>
          <w:lang w:val="fr-FR"/>
        </w:rPr>
        <w:t>épanouir leur identité nationale et culturelle et qu</w:t>
      </w:r>
      <w:r w:rsidR="0035332C">
        <w:rPr>
          <w:lang w:val="fr-FR"/>
        </w:rPr>
        <w:t>’</w:t>
      </w:r>
      <w:r w:rsidRPr="00310D49">
        <w:rPr>
          <w:lang w:val="fr-FR"/>
        </w:rPr>
        <w:t>ils puissent jouir de la pleine égalité de leurs droits, pratiquer librement leur religion et exprimer leurs convictions politiques, dans le respect de leur dignité</w:t>
      </w:r>
      <w:r w:rsidR="00B02693">
        <w:rPr>
          <w:lang w:val="fr-FR"/>
        </w:rPr>
        <w:t> </w:t>
      </w:r>
      <w:r w:rsidRPr="00310D49">
        <w:rPr>
          <w:lang w:val="fr-FR"/>
        </w:rPr>
        <w:t>; ce régime est fondé sur l</w:t>
      </w:r>
      <w:r w:rsidR="0035332C">
        <w:rPr>
          <w:lang w:val="fr-FR"/>
        </w:rPr>
        <w:t>’</w:t>
      </w:r>
      <w:r w:rsidRPr="00310D49">
        <w:rPr>
          <w:lang w:val="fr-FR"/>
        </w:rPr>
        <w:t>égalité et l</w:t>
      </w:r>
      <w:r w:rsidR="0035332C">
        <w:rPr>
          <w:lang w:val="fr-FR"/>
        </w:rPr>
        <w:t>’</w:t>
      </w:r>
      <w:r w:rsidRPr="00310D49">
        <w:rPr>
          <w:lang w:val="fr-FR"/>
        </w:rPr>
        <w:t>absence de toute forme de discrimination en raison de la race, de la religion, de la couleur et du sexe.</w:t>
      </w:r>
    </w:p>
    <w:p w14:paraId="1FF4EFC4" w14:textId="551066AF" w:rsidR="00D005FA" w:rsidRPr="00310D49" w:rsidRDefault="00D005FA" w:rsidP="00190F9D">
      <w:pPr>
        <w:pStyle w:val="SingleTxtG"/>
        <w:rPr>
          <w:lang w:val="fr-FR"/>
        </w:rPr>
      </w:pPr>
      <w:r w:rsidRPr="00310D49">
        <w:rPr>
          <w:lang w:val="fr-FR"/>
        </w:rPr>
        <w:t>444.</w:t>
      </w:r>
      <w:r w:rsidRPr="00310D49">
        <w:rPr>
          <w:lang w:val="fr-FR"/>
        </w:rPr>
        <w:tab/>
        <w:t>Il convient également de souligner que l</w:t>
      </w:r>
      <w:r w:rsidR="0035332C">
        <w:rPr>
          <w:lang w:val="fr-FR"/>
        </w:rPr>
        <w:t>’</w:t>
      </w:r>
      <w:r w:rsidRPr="00310D49">
        <w:rPr>
          <w:lang w:val="fr-FR"/>
        </w:rPr>
        <w:t>expression «</w:t>
      </w:r>
      <w:r w:rsidR="005152DB">
        <w:rPr>
          <w:lang w:val="fr-FR"/>
        </w:rPr>
        <w:t> </w:t>
      </w:r>
      <w:r w:rsidRPr="00310D49">
        <w:rPr>
          <w:lang w:val="fr-FR"/>
        </w:rPr>
        <w:t>caractéristiques ethniques, religieuses ou linguistiques propres à la société palestinienne</w:t>
      </w:r>
      <w:r w:rsidR="005152DB">
        <w:rPr>
          <w:lang w:val="fr-FR"/>
        </w:rPr>
        <w:t> </w:t>
      </w:r>
      <w:r w:rsidRPr="00310D49">
        <w:rPr>
          <w:lang w:val="fr-FR"/>
        </w:rPr>
        <w:t>» ne remet pas en cause leur identité palestinienne et n</w:t>
      </w:r>
      <w:r w:rsidR="0035332C">
        <w:rPr>
          <w:lang w:val="fr-FR"/>
        </w:rPr>
        <w:t>’</w:t>
      </w:r>
      <w:r w:rsidRPr="00310D49">
        <w:rPr>
          <w:lang w:val="fr-FR"/>
        </w:rPr>
        <w:t>en fait pas des «</w:t>
      </w:r>
      <w:r w:rsidR="005152DB">
        <w:rPr>
          <w:lang w:val="fr-FR"/>
        </w:rPr>
        <w:t> </w:t>
      </w:r>
      <w:r w:rsidRPr="00310D49">
        <w:rPr>
          <w:lang w:val="fr-FR"/>
        </w:rPr>
        <w:t>minorités</w:t>
      </w:r>
      <w:r w:rsidR="005152DB">
        <w:rPr>
          <w:lang w:val="fr-FR"/>
        </w:rPr>
        <w:t> </w:t>
      </w:r>
      <w:r w:rsidRPr="00310D49">
        <w:rPr>
          <w:lang w:val="fr-FR"/>
        </w:rPr>
        <w:t>» au regard du système juridique palestinien, car elles font partie de «</w:t>
      </w:r>
      <w:r w:rsidR="005152DB">
        <w:rPr>
          <w:lang w:val="fr-FR"/>
        </w:rPr>
        <w:t> </w:t>
      </w:r>
      <w:r w:rsidRPr="00310D49">
        <w:rPr>
          <w:lang w:val="fr-FR"/>
        </w:rPr>
        <w:t>l</w:t>
      </w:r>
      <w:r w:rsidR="0035332C">
        <w:rPr>
          <w:lang w:val="fr-FR"/>
        </w:rPr>
        <w:t>’</w:t>
      </w:r>
      <w:r w:rsidRPr="00310D49">
        <w:rPr>
          <w:lang w:val="fr-FR"/>
        </w:rPr>
        <w:t>ensemble</w:t>
      </w:r>
      <w:r w:rsidR="005152DB">
        <w:rPr>
          <w:lang w:val="fr-FR"/>
        </w:rPr>
        <w:t> </w:t>
      </w:r>
      <w:r w:rsidRPr="00310D49">
        <w:rPr>
          <w:lang w:val="fr-FR"/>
        </w:rPr>
        <w:t xml:space="preserve">» des Palestiniens qui partagent un certain nombre de caractéristiques ethniques, linguistiques et culturelles. </w:t>
      </w:r>
    </w:p>
    <w:p w14:paraId="129EFEDC" w14:textId="74AD3849" w:rsidR="00D005FA" w:rsidRPr="00310D49" w:rsidRDefault="00D005FA" w:rsidP="00190F9D">
      <w:pPr>
        <w:pStyle w:val="SingleTxtG"/>
        <w:rPr>
          <w:lang w:val="fr-FR"/>
        </w:rPr>
      </w:pPr>
      <w:r w:rsidRPr="00310D49">
        <w:rPr>
          <w:lang w:val="fr-FR"/>
        </w:rPr>
        <w:t>445.</w:t>
      </w:r>
      <w:r w:rsidRPr="00310D49">
        <w:rPr>
          <w:lang w:val="fr-FR"/>
        </w:rPr>
        <w:tab/>
        <w:t xml:space="preserve">La société </w:t>
      </w:r>
      <w:r w:rsidRPr="00B34078">
        <w:rPr>
          <w:lang w:val="fr-FR"/>
        </w:rPr>
        <w:t xml:space="preserve">palestinienne se caractérise </w:t>
      </w:r>
      <w:r w:rsidR="00B34078" w:rsidRPr="00B34078">
        <w:rPr>
          <w:lang w:val="fr-FR"/>
        </w:rPr>
        <w:t xml:space="preserve">par </w:t>
      </w:r>
      <w:r w:rsidRPr="00B34078">
        <w:rPr>
          <w:lang w:val="fr-FR"/>
        </w:rPr>
        <w:t>son harmonie, l</w:t>
      </w:r>
      <w:r w:rsidR="0035332C">
        <w:rPr>
          <w:lang w:val="fr-FR"/>
        </w:rPr>
        <w:t>’</w:t>
      </w:r>
      <w:r w:rsidRPr="00B34078">
        <w:rPr>
          <w:lang w:val="fr-FR"/>
        </w:rPr>
        <w:t>unité</w:t>
      </w:r>
      <w:r w:rsidRPr="00310D49">
        <w:rPr>
          <w:lang w:val="fr-FR"/>
        </w:rPr>
        <w:t xml:space="preserve"> de ses composantes et son identité nationale, qui s</w:t>
      </w:r>
      <w:r w:rsidR="0035332C">
        <w:rPr>
          <w:lang w:val="fr-FR"/>
        </w:rPr>
        <w:t>’</w:t>
      </w:r>
      <w:r w:rsidRPr="00310D49">
        <w:rPr>
          <w:lang w:val="fr-FR"/>
        </w:rPr>
        <w:t>expriment par la formation d</w:t>
      </w:r>
      <w:r w:rsidR="0035332C">
        <w:rPr>
          <w:lang w:val="fr-FR"/>
        </w:rPr>
        <w:t>’</w:t>
      </w:r>
      <w:r w:rsidRPr="00310D49">
        <w:rPr>
          <w:lang w:val="fr-FR"/>
        </w:rPr>
        <w:t>associations, de musées, de centres culturels et de cérémonies religieuses. Ainsi, pour n</w:t>
      </w:r>
      <w:r w:rsidR="0035332C">
        <w:rPr>
          <w:lang w:val="fr-FR"/>
        </w:rPr>
        <w:t>’</w:t>
      </w:r>
      <w:r w:rsidRPr="00310D49">
        <w:rPr>
          <w:lang w:val="fr-FR"/>
        </w:rPr>
        <w:t>en citer que quelques composantes, les</w:t>
      </w:r>
      <w:r w:rsidR="005152DB">
        <w:rPr>
          <w:lang w:val="fr-FR"/>
        </w:rPr>
        <w:t> </w:t>
      </w:r>
      <w:r w:rsidRPr="00310D49">
        <w:rPr>
          <w:lang w:val="fr-FR"/>
        </w:rPr>
        <w:t>Palestiniens samaritains accomplissent leurs rites religieux dans les synagogues situées dans la ville de Naplouse (mont Gerizim) et ils utilisent la langue samaritaine, l</w:t>
      </w:r>
      <w:r w:rsidR="0035332C">
        <w:rPr>
          <w:lang w:val="fr-FR"/>
        </w:rPr>
        <w:t>’</w:t>
      </w:r>
      <w:r w:rsidRPr="00310D49">
        <w:rPr>
          <w:lang w:val="fr-FR"/>
        </w:rPr>
        <w:t>ancienne langue hébraïque, pour communiquer entre eux. Des associations de Samaritains, parmi lesquelles l</w:t>
      </w:r>
      <w:r w:rsidR="0035332C">
        <w:rPr>
          <w:lang w:val="fr-FR"/>
        </w:rPr>
        <w:t>’</w:t>
      </w:r>
      <w:r w:rsidRPr="00310D49">
        <w:rPr>
          <w:lang w:val="fr-FR"/>
        </w:rPr>
        <w:t>association Légende samaritaine, le club des Jeunes samaritains et la Société d</w:t>
      </w:r>
      <w:r w:rsidR="0035332C">
        <w:rPr>
          <w:lang w:val="fr-FR"/>
        </w:rPr>
        <w:t>’</w:t>
      </w:r>
      <w:r w:rsidRPr="00310D49">
        <w:rPr>
          <w:lang w:val="fr-FR"/>
        </w:rPr>
        <w:t>études samaritaines, ainsi que le Musée Samaritain du mont Gerizim ont également été créés pour faire revivre l</w:t>
      </w:r>
      <w:r w:rsidR="0035332C">
        <w:rPr>
          <w:lang w:val="fr-FR"/>
        </w:rPr>
        <w:t>’</w:t>
      </w:r>
      <w:r w:rsidRPr="00310D49">
        <w:rPr>
          <w:lang w:val="fr-FR"/>
        </w:rPr>
        <w:t>héritage samaritain.</w:t>
      </w:r>
    </w:p>
    <w:p w14:paraId="78A3EA6D" w14:textId="15150721" w:rsidR="00D005FA" w:rsidRPr="00310D49" w:rsidRDefault="00D005FA" w:rsidP="00190F9D">
      <w:pPr>
        <w:pStyle w:val="SingleTxtG"/>
        <w:rPr>
          <w:spacing w:val="-4"/>
          <w:lang w:val="fr-FR"/>
        </w:rPr>
      </w:pPr>
      <w:r w:rsidRPr="00310D49">
        <w:rPr>
          <w:lang w:val="fr-FR"/>
        </w:rPr>
        <w:t>446.</w:t>
      </w:r>
      <w:r w:rsidRPr="00310D49">
        <w:rPr>
          <w:lang w:val="fr-FR"/>
        </w:rPr>
        <w:tab/>
        <w:t>La communauté arménienne a créé les associations d</w:t>
      </w:r>
      <w:r w:rsidR="0035332C">
        <w:rPr>
          <w:lang w:val="fr-FR"/>
        </w:rPr>
        <w:t>’</w:t>
      </w:r>
      <w:r w:rsidRPr="00310D49">
        <w:rPr>
          <w:lang w:val="fr-FR"/>
        </w:rPr>
        <w:t>arméniens suivantes pour préserver sa culture</w:t>
      </w:r>
      <w:r w:rsidR="00B02693">
        <w:rPr>
          <w:lang w:val="fr-FR"/>
        </w:rPr>
        <w:t> </w:t>
      </w:r>
      <w:r w:rsidRPr="00310D49">
        <w:rPr>
          <w:lang w:val="fr-FR"/>
        </w:rPr>
        <w:t>: le club des arméniens locaux, l</w:t>
      </w:r>
      <w:r w:rsidR="0035332C">
        <w:rPr>
          <w:lang w:val="fr-FR"/>
        </w:rPr>
        <w:t>’</w:t>
      </w:r>
      <w:r w:rsidRPr="00310D49">
        <w:rPr>
          <w:lang w:val="fr-FR"/>
        </w:rPr>
        <w:t>association de la jeunesse arménienne, le club catholique Araks et l</w:t>
      </w:r>
      <w:r w:rsidR="0035332C">
        <w:rPr>
          <w:lang w:val="fr-FR"/>
        </w:rPr>
        <w:t>’</w:t>
      </w:r>
      <w:r w:rsidRPr="00310D49">
        <w:rPr>
          <w:lang w:val="fr-FR"/>
        </w:rPr>
        <w:t>association de bienfaisance arménienne, qui œuvrent au profit de la communauté de Jérusalem. Les Palestiniens arméniens, qui parlent arménien entre eux, disposent de la bibliothèque et du musée du monastère de Mâr Yaqoûb comme structures culturelles. Quant à la communauté syriaque, elle a créé l</w:t>
      </w:r>
      <w:r w:rsidR="0035332C">
        <w:rPr>
          <w:lang w:val="fr-FR"/>
        </w:rPr>
        <w:t>’</w:t>
      </w:r>
      <w:r w:rsidRPr="00310D49">
        <w:rPr>
          <w:lang w:val="fr-FR"/>
        </w:rPr>
        <w:t>association Mar Marcos à Jérusalem, le club syriaque et l</w:t>
      </w:r>
      <w:r w:rsidR="0035332C">
        <w:rPr>
          <w:lang w:val="fr-FR"/>
        </w:rPr>
        <w:t>’</w:t>
      </w:r>
      <w:r w:rsidRPr="00310D49">
        <w:rPr>
          <w:lang w:val="fr-FR"/>
        </w:rPr>
        <w:t>association syriaque orthodoxe Mar Afram, et a fondé l</w:t>
      </w:r>
      <w:r w:rsidR="0035332C">
        <w:rPr>
          <w:lang w:val="fr-FR"/>
        </w:rPr>
        <w:t>’</w:t>
      </w:r>
      <w:r w:rsidRPr="00310D49">
        <w:rPr>
          <w:lang w:val="fr-FR"/>
        </w:rPr>
        <w:t>école Syriaque de Mar Afram, qui enseigne l</w:t>
      </w:r>
      <w:r w:rsidR="0035332C">
        <w:rPr>
          <w:lang w:val="fr-FR"/>
        </w:rPr>
        <w:t>’</w:t>
      </w:r>
      <w:r w:rsidRPr="00310D49">
        <w:rPr>
          <w:lang w:val="fr-FR"/>
        </w:rPr>
        <w:t>araméen. En outre, cette communauté publie la revue Al-Hikma pour promouvoir son patrimoine.</w:t>
      </w:r>
    </w:p>
    <w:p w14:paraId="436553C1" w14:textId="1A139841" w:rsidR="00D005FA" w:rsidRPr="00310D49" w:rsidRDefault="00D005FA" w:rsidP="00190F9D">
      <w:pPr>
        <w:pStyle w:val="SingleTxtG"/>
        <w:rPr>
          <w:lang w:val="fr-FR"/>
        </w:rPr>
      </w:pPr>
      <w:r w:rsidRPr="00310D49">
        <w:rPr>
          <w:lang w:val="fr-FR"/>
        </w:rPr>
        <w:t>447.</w:t>
      </w:r>
      <w:r w:rsidRPr="00310D49">
        <w:rPr>
          <w:lang w:val="fr-FR"/>
        </w:rPr>
        <w:tab/>
        <w:t>Les Palestiniens d</w:t>
      </w:r>
      <w:r w:rsidR="0035332C">
        <w:rPr>
          <w:lang w:val="fr-FR"/>
        </w:rPr>
        <w:t>’</w:t>
      </w:r>
      <w:r w:rsidRPr="00310D49">
        <w:rPr>
          <w:lang w:val="fr-FR"/>
        </w:rPr>
        <w:t>ascendance africaine de Jérusalem ont une association qui sert de centre communautaire important abritant des activités politiques et culturelles. S</w:t>
      </w:r>
      <w:r w:rsidR="0035332C">
        <w:rPr>
          <w:lang w:val="fr-FR"/>
        </w:rPr>
        <w:t>’</w:t>
      </w:r>
      <w:r w:rsidRPr="00310D49">
        <w:rPr>
          <w:lang w:val="fr-FR"/>
        </w:rPr>
        <w:t>agissant des Palestiniens coptes, ils utilisent la langue copte dans les rites et rituels religieux et l</w:t>
      </w:r>
      <w:r w:rsidR="0035332C">
        <w:rPr>
          <w:lang w:val="fr-FR"/>
        </w:rPr>
        <w:t>’</w:t>
      </w:r>
      <w:r w:rsidRPr="00310D49">
        <w:rPr>
          <w:lang w:val="fr-FR"/>
        </w:rPr>
        <w:t>Église copte dont ils font partie dispose de certaines institutions civiles, dont les plus célèbres sont peut-être les écoles coptes. Parmi les biens, églises et monastères coptes les plus importants figurent le monastère Deir es-Sultan, le monastère Deir Mar Antonios, le monastère Deir Mar Georges et l</w:t>
      </w:r>
      <w:r w:rsidR="0035332C">
        <w:rPr>
          <w:lang w:val="fr-FR"/>
        </w:rPr>
        <w:t>’</w:t>
      </w:r>
      <w:r w:rsidRPr="00310D49">
        <w:rPr>
          <w:lang w:val="fr-FR"/>
        </w:rPr>
        <w:t>église du Sépulcre de la Sainte Vierge à Jérusalem, ainsi que l</w:t>
      </w:r>
      <w:r w:rsidR="0035332C">
        <w:rPr>
          <w:lang w:val="fr-FR"/>
        </w:rPr>
        <w:t>’</w:t>
      </w:r>
      <w:r w:rsidRPr="00310D49">
        <w:rPr>
          <w:lang w:val="fr-FR"/>
        </w:rPr>
        <w:t>église et le monastère d</w:t>
      </w:r>
      <w:r w:rsidR="0035332C">
        <w:rPr>
          <w:lang w:val="fr-FR"/>
        </w:rPr>
        <w:t>’</w:t>
      </w:r>
      <w:r w:rsidRPr="00310D49">
        <w:rPr>
          <w:lang w:val="fr-FR"/>
        </w:rPr>
        <w:t>Anba Antuniyus, et l</w:t>
      </w:r>
      <w:r w:rsidR="0035332C">
        <w:rPr>
          <w:lang w:val="fr-FR"/>
        </w:rPr>
        <w:t>’</w:t>
      </w:r>
      <w:r w:rsidRPr="00310D49">
        <w:rPr>
          <w:lang w:val="fr-FR"/>
        </w:rPr>
        <w:t>église et le monastère de Mar Zakka et l</w:t>
      </w:r>
      <w:r w:rsidR="0035332C">
        <w:rPr>
          <w:lang w:val="fr-FR"/>
        </w:rPr>
        <w:t>’</w:t>
      </w:r>
      <w:r w:rsidRPr="00310D49">
        <w:rPr>
          <w:lang w:val="fr-FR"/>
        </w:rPr>
        <w:t>église Saint-André à Jéricho</w:t>
      </w:r>
      <w:r w:rsidRPr="00B34078">
        <w:rPr>
          <w:lang w:val="fr-FR"/>
        </w:rPr>
        <w:t>. Les Palestiniens d</w:t>
      </w:r>
      <w:r w:rsidR="0035332C">
        <w:rPr>
          <w:lang w:val="fr-FR"/>
        </w:rPr>
        <w:t>’</w:t>
      </w:r>
      <w:r w:rsidRPr="00B34078">
        <w:rPr>
          <w:lang w:val="fr-FR"/>
        </w:rPr>
        <w:t>origine maghrébine, quant à eux, ont fondé</w:t>
      </w:r>
      <w:r w:rsidRPr="00310D49">
        <w:rPr>
          <w:lang w:val="fr-FR"/>
        </w:rPr>
        <w:t xml:space="preserve"> l</w:t>
      </w:r>
      <w:r w:rsidR="0035332C">
        <w:rPr>
          <w:lang w:val="fr-FR"/>
        </w:rPr>
        <w:t>’</w:t>
      </w:r>
      <w:r w:rsidRPr="00310D49">
        <w:rPr>
          <w:lang w:val="fr-FR"/>
        </w:rPr>
        <w:t>Association des femmes du Maghreb à Jérusalem. En outre, des dizaines de monuments archéologiques, dont le plus célèbre est Al-Madrasa al-Afdhaliya, se trouvent dans le quartier des Maghrébins où les bulldozers de l</w:t>
      </w:r>
      <w:r w:rsidR="0035332C">
        <w:rPr>
          <w:lang w:val="fr-FR"/>
        </w:rPr>
        <w:t>’</w:t>
      </w:r>
      <w:r w:rsidRPr="00310D49">
        <w:rPr>
          <w:lang w:val="fr-FR"/>
        </w:rPr>
        <w:t>occupant israélien ont démoli près de 135</w:t>
      </w:r>
      <w:r w:rsidR="005152DB">
        <w:rPr>
          <w:lang w:val="fr-FR"/>
        </w:rPr>
        <w:t> </w:t>
      </w:r>
      <w:r w:rsidRPr="00310D49">
        <w:rPr>
          <w:lang w:val="fr-FR"/>
        </w:rPr>
        <w:t>sites archéologiques.</w:t>
      </w:r>
    </w:p>
    <w:p w14:paraId="214AEC35" w14:textId="76DF1B2F" w:rsidR="00D005FA" w:rsidRPr="00310D49" w:rsidRDefault="00D005FA" w:rsidP="00190F9D">
      <w:pPr>
        <w:pStyle w:val="SingleTxtG"/>
        <w:rPr>
          <w:lang w:val="fr-FR"/>
        </w:rPr>
      </w:pPr>
      <w:r w:rsidRPr="00310D49">
        <w:rPr>
          <w:lang w:val="fr-FR"/>
        </w:rPr>
        <w:t>448.</w:t>
      </w:r>
      <w:r w:rsidRPr="00310D49">
        <w:rPr>
          <w:lang w:val="fr-FR"/>
        </w:rPr>
        <w:tab/>
        <w:t>Les violations et politiques racistes, systématiques et généralisées menées par Israël, puissance occupante, se poursuivent et empêchent l</w:t>
      </w:r>
      <w:r w:rsidR="0035332C">
        <w:rPr>
          <w:lang w:val="fr-FR"/>
        </w:rPr>
        <w:t>’</w:t>
      </w:r>
      <w:r w:rsidRPr="00310D49">
        <w:rPr>
          <w:lang w:val="fr-FR"/>
        </w:rPr>
        <w:t>État de Palestine de garantir à ses citoyens l</w:t>
      </w:r>
      <w:r w:rsidR="0035332C">
        <w:rPr>
          <w:lang w:val="fr-FR"/>
        </w:rPr>
        <w:t>’</w:t>
      </w:r>
      <w:r w:rsidRPr="00310D49">
        <w:rPr>
          <w:lang w:val="fr-FR"/>
        </w:rPr>
        <w:t>exercice de leur droit de participer à la vie culturelle. Les établissements sont envahis, confisqués et fermés, tandis que les manifestations et activités culturelles reflétant l</w:t>
      </w:r>
      <w:r w:rsidR="0035332C">
        <w:rPr>
          <w:lang w:val="fr-FR"/>
        </w:rPr>
        <w:t>’</w:t>
      </w:r>
      <w:r w:rsidRPr="00310D49">
        <w:rPr>
          <w:lang w:val="fr-FR"/>
        </w:rPr>
        <w:t>identité palestinienne organisées à Jérusalem sont systématiquement réprimées et interdites dans le cadre du plan de judaïsation de la ville.</w:t>
      </w:r>
    </w:p>
    <w:p w14:paraId="52545F9B" w14:textId="76932B9B" w:rsidR="00D005FA" w:rsidRPr="00310D49" w:rsidRDefault="00D005FA" w:rsidP="00E95C74">
      <w:pPr>
        <w:pStyle w:val="SingleTxtG"/>
        <w:keepNext/>
        <w:keepLines/>
        <w:rPr>
          <w:lang w:val="fr-FR"/>
        </w:rPr>
      </w:pPr>
      <w:r w:rsidRPr="00310D49">
        <w:rPr>
          <w:lang w:val="fr-FR"/>
        </w:rPr>
        <w:lastRenderedPageBreak/>
        <w:t>449.</w:t>
      </w:r>
      <w:r w:rsidRPr="00310D49">
        <w:rPr>
          <w:lang w:val="fr-FR"/>
        </w:rPr>
        <w:tab/>
        <w:t>L</w:t>
      </w:r>
      <w:r w:rsidR="0035332C">
        <w:rPr>
          <w:lang w:val="fr-FR"/>
        </w:rPr>
        <w:t>’</w:t>
      </w:r>
      <w:r w:rsidRPr="00310D49">
        <w:rPr>
          <w:lang w:val="fr-FR"/>
        </w:rPr>
        <w:t>État de Palestine s</w:t>
      </w:r>
      <w:r w:rsidR="0035332C">
        <w:rPr>
          <w:lang w:val="fr-FR"/>
        </w:rPr>
        <w:t>’</w:t>
      </w:r>
      <w:r w:rsidRPr="00310D49">
        <w:rPr>
          <w:lang w:val="fr-FR"/>
        </w:rPr>
        <w:t>emploie à promouvoir la participation effective de tous les palestiniens à la direction des affaires publiques, en ce sens que les lois électorales en vigueur ne font aucune distinction de race, de couleur, d</w:t>
      </w:r>
      <w:r w:rsidR="0035332C">
        <w:rPr>
          <w:lang w:val="fr-FR"/>
        </w:rPr>
        <w:t>’</w:t>
      </w:r>
      <w:r w:rsidRPr="00310D49">
        <w:rPr>
          <w:lang w:val="fr-FR"/>
        </w:rPr>
        <w:t>ascendance, de religion ou d</w:t>
      </w:r>
      <w:r w:rsidR="0035332C">
        <w:rPr>
          <w:lang w:val="fr-FR"/>
        </w:rPr>
        <w:t>’</w:t>
      </w:r>
      <w:r w:rsidRPr="00310D49">
        <w:rPr>
          <w:lang w:val="fr-FR"/>
        </w:rPr>
        <w:t>origine nationale ou ethnique et les conditions de vote et d</w:t>
      </w:r>
      <w:r w:rsidR="0035332C">
        <w:rPr>
          <w:lang w:val="fr-FR"/>
        </w:rPr>
        <w:t>’</w:t>
      </w:r>
      <w:r w:rsidRPr="00310D49">
        <w:rPr>
          <w:lang w:val="fr-FR"/>
        </w:rPr>
        <w:t>éligibilité qui y sont prévues sont les mêmes pour tous les Palestiniens. S</w:t>
      </w:r>
      <w:r w:rsidR="0035332C">
        <w:rPr>
          <w:lang w:val="fr-FR"/>
        </w:rPr>
        <w:t>’</w:t>
      </w:r>
      <w:r w:rsidRPr="00310D49">
        <w:rPr>
          <w:lang w:val="fr-FR"/>
        </w:rPr>
        <w:t>agissant des mesures prises à titre provisoire, les Syriaques disposent d</w:t>
      </w:r>
      <w:r w:rsidR="0035332C">
        <w:rPr>
          <w:lang w:val="fr-FR"/>
        </w:rPr>
        <w:t>’</w:t>
      </w:r>
      <w:r w:rsidRPr="00310D49">
        <w:rPr>
          <w:lang w:val="fr-FR"/>
        </w:rPr>
        <w:t>un siège fixe au Conseil municipal de Bethléem et le prêtre Saloum Cohen Yitzhaq a été élu membre du Conseil législatif palestinien en 1996.</w:t>
      </w:r>
    </w:p>
    <w:p w14:paraId="45AB0A7E" w14:textId="4AED9D67" w:rsidR="001912BD" w:rsidRDefault="00D005FA" w:rsidP="00E95C74">
      <w:pPr>
        <w:pStyle w:val="SingleTxtG"/>
        <w:rPr>
          <w:lang w:val="fr-FR"/>
        </w:rPr>
      </w:pPr>
      <w:r w:rsidRPr="00310D49">
        <w:rPr>
          <w:lang w:val="fr-FR"/>
        </w:rPr>
        <w:t>450.</w:t>
      </w:r>
      <w:r w:rsidRPr="00310D49">
        <w:rPr>
          <w:lang w:val="fr-FR"/>
        </w:rPr>
        <w:tab/>
        <w:t>L</w:t>
      </w:r>
      <w:r w:rsidR="0035332C">
        <w:rPr>
          <w:lang w:val="fr-FR"/>
        </w:rPr>
        <w:t>’</w:t>
      </w:r>
      <w:r w:rsidRPr="00310D49">
        <w:rPr>
          <w:lang w:val="fr-FR"/>
        </w:rPr>
        <w:t>État de Palestine a adhéré à la Convention sur l</w:t>
      </w:r>
      <w:r w:rsidR="0035332C">
        <w:rPr>
          <w:lang w:val="fr-FR"/>
        </w:rPr>
        <w:t>’</w:t>
      </w:r>
      <w:r w:rsidRPr="00310D49">
        <w:rPr>
          <w:lang w:val="fr-FR"/>
        </w:rPr>
        <w:t>élimination de toutes les formes de discrimination raciale en 2014 et s</w:t>
      </w:r>
      <w:r w:rsidR="0035332C">
        <w:rPr>
          <w:lang w:val="fr-FR"/>
        </w:rPr>
        <w:t>’</w:t>
      </w:r>
      <w:r w:rsidRPr="00310D49">
        <w:rPr>
          <w:lang w:val="fr-FR"/>
        </w:rPr>
        <w:t>emploie à donner suite aux observations finales que le Comité pour l</w:t>
      </w:r>
      <w:r w:rsidR="0035332C">
        <w:rPr>
          <w:lang w:val="fr-FR"/>
        </w:rPr>
        <w:t>’</w:t>
      </w:r>
      <w:r w:rsidRPr="00310D49">
        <w:rPr>
          <w:lang w:val="fr-FR"/>
        </w:rPr>
        <w:t>élimination de la discrimination raciale avait formulées à l</w:t>
      </w:r>
      <w:r w:rsidR="0035332C">
        <w:rPr>
          <w:lang w:val="fr-FR"/>
        </w:rPr>
        <w:t>’</w:t>
      </w:r>
      <w:r w:rsidRPr="00310D49">
        <w:rPr>
          <w:lang w:val="fr-FR"/>
        </w:rPr>
        <w:t>issue de l</w:t>
      </w:r>
      <w:r w:rsidR="0035332C">
        <w:rPr>
          <w:lang w:val="fr-FR"/>
        </w:rPr>
        <w:t>’</w:t>
      </w:r>
      <w:r w:rsidRPr="00310D49">
        <w:rPr>
          <w:lang w:val="fr-FR"/>
        </w:rPr>
        <w:t>examen du rapport soumis par le pays, ainsi qu</w:t>
      </w:r>
      <w:r w:rsidR="0035332C">
        <w:rPr>
          <w:lang w:val="fr-FR"/>
        </w:rPr>
        <w:t>’</w:t>
      </w:r>
      <w:r w:rsidRPr="00310D49">
        <w:rPr>
          <w:lang w:val="fr-FR"/>
        </w:rPr>
        <w:t>à prendre et à mettre en œuvre les mesures nécessaires pour protéger les droits des groupes protégés par ladite Convention.</w:t>
      </w:r>
    </w:p>
    <w:p w14:paraId="372B8B30" w14:textId="1C8788A1" w:rsidR="00190F9D" w:rsidRPr="00190F9D" w:rsidRDefault="00190F9D" w:rsidP="00E95C74">
      <w:pPr>
        <w:pStyle w:val="SingleTxtG"/>
        <w:spacing w:before="240" w:after="0"/>
        <w:jc w:val="center"/>
        <w:rPr>
          <w:u w:val="single"/>
        </w:rPr>
      </w:pPr>
      <w:r>
        <w:rPr>
          <w:u w:val="single"/>
        </w:rPr>
        <w:tab/>
      </w:r>
      <w:r>
        <w:rPr>
          <w:u w:val="single"/>
        </w:rPr>
        <w:tab/>
      </w:r>
      <w:r>
        <w:rPr>
          <w:u w:val="single"/>
        </w:rPr>
        <w:tab/>
      </w:r>
    </w:p>
    <w:sectPr w:rsidR="00190F9D" w:rsidRPr="00190F9D" w:rsidSect="001912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C438" w14:textId="77777777" w:rsidR="00A04738" w:rsidRDefault="00A04738" w:rsidP="00F95C08">
      <w:pPr>
        <w:spacing w:line="240" w:lineRule="auto"/>
      </w:pPr>
    </w:p>
  </w:endnote>
  <w:endnote w:type="continuationSeparator" w:id="0">
    <w:p w14:paraId="5B1FAE60" w14:textId="77777777" w:rsidR="00A04738" w:rsidRPr="00AC3823" w:rsidRDefault="00A04738" w:rsidP="00AC3823">
      <w:pPr>
        <w:pStyle w:val="Pieddepage"/>
      </w:pPr>
    </w:p>
  </w:endnote>
  <w:endnote w:type="continuationNotice" w:id="1">
    <w:p w14:paraId="422AB28E" w14:textId="77777777" w:rsidR="00A04738" w:rsidRDefault="00A047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EB7A" w14:textId="2D3E3363" w:rsidR="00A04738" w:rsidRPr="001912BD" w:rsidRDefault="00A04738" w:rsidP="001912BD">
    <w:pPr>
      <w:pStyle w:val="Pieddepage"/>
      <w:tabs>
        <w:tab w:val="right" w:pos="9638"/>
      </w:tabs>
    </w:pPr>
    <w:r w:rsidRPr="001912BD">
      <w:rPr>
        <w:b/>
        <w:sz w:val="18"/>
      </w:rPr>
      <w:fldChar w:fldCharType="begin"/>
    </w:r>
    <w:r w:rsidRPr="001912BD">
      <w:rPr>
        <w:b/>
        <w:sz w:val="18"/>
      </w:rPr>
      <w:instrText xml:space="preserve"> PAGE  \* MERGEFORMAT </w:instrText>
    </w:r>
    <w:r w:rsidRPr="001912BD">
      <w:rPr>
        <w:b/>
        <w:sz w:val="18"/>
      </w:rPr>
      <w:fldChar w:fldCharType="separate"/>
    </w:r>
    <w:r w:rsidRPr="001912BD">
      <w:rPr>
        <w:b/>
        <w:noProof/>
        <w:sz w:val="18"/>
      </w:rPr>
      <w:t>2</w:t>
    </w:r>
    <w:r w:rsidRPr="001912BD">
      <w:rPr>
        <w:b/>
        <w:sz w:val="18"/>
      </w:rPr>
      <w:fldChar w:fldCharType="end"/>
    </w:r>
    <w:r>
      <w:rPr>
        <w:b/>
        <w:sz w:val="18"/>
      </w:rPr>
      <w:tab/>
    </w:r>
    <w:r>
      <w:t>GE.21-11799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0CC8" w14:textId="6030CF82" w:rsidR="00A04738" w:rsidRPr="001912BD" w:rsidRDefault="00A04738" w:rsidP="001912BD">
    <w:pPr>
      <w:pStyle w:val="Pieddepage"/>
      <w:tabs>
        <w:tab w:val="right" w:pos="9638"/>
      </w:tabs>
      <w:rPr>
        <w:b/>
        <w:sz w:val="18"/>
      </w:rPr>
    </w:pPr>
    <w:r>
      <w:t>GE.21-11799</w:t>
    </w:r>
    <w:r>
      <w:tab/>
    </w:r>
    <w:r w:rsidRPr="001912BD">
      <w:rPr>
        <w:b/>
        <w:sz w:val="18"/>
      </w:rPr>
      <w:fldChar w:fldCharType="begin"/>
    </w:r>
    <w:r w:rsidRPr="001912BD">
      <w:rPr>
        <w:b/>
        <w:sz w:val="18"/>
      </w:rPr>
      <w:instrText xml:space="preserve"> PAGE  \* MERGEFORMAT </w:instrText>
    </w:r>
    <w:r w:rsidRPr="001912BD">
      <w:rPr>
        <w:b/>
        <w:sz w:val="18"/>
      </w:rPr>
      <w:fldChar w:fldCharType="separate"/>
    </w:r>
    <w:r w:rsidRPr="001912BD">
      <w:rPr>
        <w:b/>
        <w:noProof/>
        <w:sz w:val="18"/>
      </w:rPr>
      <w:t>3</w:t>
    </w:r>
    <w:r w:rsidRPr="00191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C309" w14:textId="5458EBA0" w:rsidR="00A04738" w:rsidRPr="001912BD" w:rsidRDefault="00A04738" w:rsidP="001912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AFEAFCD" wp14:editId="268EC5F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21-11799  (F)</w:t>
    </w:r>
    <w:r>
      <w:rPr>
        <w:noProof/>
        <w:sz w:val="20"/>
      </w:rPr>
      <w:drawing>
        <wp:anchor distT="0" distB="0" distL="114300" distR="114300" simplePos="0" relativeHeight="251660288" behindDoc="0" locked="0" layoutInCell="1" allowOverlap="1" wp14:anchorId="7B2B214A" wp14:editId="10B9ACC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301121    0</w:t>
    </w:r>
    <w:r w:rsidR="0035332C">
      <w:rPr>
        <w:sz w:val="20"/>
      </w:rPr>
      <w:t>7</w:t>
    </w:r>
    <w:r>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77A9" w14:textId="77777777" w:rsidR="00A04738" w:rsidRPr="00AC3823" w:rsidRDefault="00A04738" w:rsidP="00AC3823">
      <w:pPr>
        <w:pStyle w:val="Pieddepage"/>
        <w:tabs>
          <w:tab w:val="right" w:pos="2155"/>
        </w:tabs>
        <w:spacing w:after="80" w:line="240" w:lineRule="atLeast"/>
        <w:ind w:left="680"/>
        <w:rPr>
          <w:u w:val="single"/>
        </w:rPr>
      </w:pPr>
      <w:r>
        <w:rPr>
          <w:u w:val="single"/>
        </w:rPr>
        <w:tab/>
      </w:r>
    </w:p>
  </w:footnote>
  <w:footnote w:type="continuationSeparator" w:id="0">
    <w:p w14:paraId="50EE438D" w14:textId="77777777" w:rsidR="00A04738" w:rsidRPr="00AC3823" w:rsidRDefault="00A04738" w:rsidP="00AC3823">
      <w:pPr>
        <w:pStyle w:val="Pieddepage"/>
        <w:tabs>
          <w:tab w:val="right" w:pos="2155"/>
        </w:tabs>
        <w:spacing w:after="80" w:line="240" w:lineRule="atLeast"/>
        <w:ind w:left="680"/>
        <w:rPr>
          <w:u w:val="single"/>
        </w:rPr>
      </w:pPr>
      <w:r>
        <w:rPr>
          <w:u w:val="single"/>
        </w:rPr>
        <w:tab/>
      </w:r>
    </w:p>
  </w:footnote>
  <w:footnote w:type="continuationNotice" w:id="1">
    <w:p w14:paraId="73C263FF" w14:textId="77777777" w:rsidR="00A04738" w:rsidRPr="00AC3823" w:rsidRDefault="00A04738">
      <w:pPr>
        <w:spacing w:line="240" w:lineRule="auto"/>
        <w:rPr>
          <w:sz w:val="2"/>
          <w:szCs w:val="2"/>
        </w:rPr>
      </w:pPr>
    </w:p>
  </w:footnote>
  <w:footnote w:id="2">
    <w:p w14:paraId="38597EE9" w14:textId="249FB3C2" w:rsidR="00A04738" w:rsidRPr="00342A1F" w:rsidRDefault="00A04738">
      <w:pPr>
        <w:pStyle w:val="Notedebasdepage"/>
      </w:pPr>
      <w:r>
        <w:rPr>
          <w:rStyle w:val="Appelnotedebasdep"/>
        </w:rPr>
        <w:tab/>
      </w:r>
      <w:r w:rsidRPr="00342A1F">
        <w:rPr>
          <w:rStyle w:val="Appelnotedebasdep"/>
          <w:sz w:val="20"/>
          <w:vertAlign w:val="baseline"/>
        </w:rPr>
        <w:t>*</w:t>
      </w:r>
      <w:r>
        <w:rPr>
          <w:rStyle w:val="Appelnotedebasdep"/>
          <w:sz w:val="20"/>
          <w:vertAlign w:val="baseline"/>
        </w:rPr>
        <w:tab/>
      </w:r>
      <w:r w:rsidRPr="00310D49">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D852" w14:textId="56A189FD" w:rsidR="00A04738" w:rsidRPr="001912BD" w:rsidRDefault="00A04738">
    <w:pPr>
      <w:pStyle w:val="En-tte"/>
    </w:pPr>
    <w:fldSimple w:instr=" TITLE  \* MERGEFORMAT ">
      <w:r w:rsidR="00237047">
        <w:t>CCPR/C/PSE/1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0B4D" w14:textId="02E226CC" w:rsidR="00A04738" w:rsidRPr="001912BD" w:rsidRDefault="00A04738" w:rsidP="001912BD">
    <w:pPr>
      <w:pStyle w:val="En-tte"/>
      <w:jc w:val="right"/>
    </w:pPr>
    <w:fldSimple w:instr=" TITLE  \* MERGEFORMAT ">
      <w:r w:rsidR="00237047">
        <w:t>CCPR/C/PSE/1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3"/>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8"/>
  </w:num>
  <w:num w:numId="6">
    <w:abstractNumId w:val="6"/>
  </w:num>
  <w:num w:numId="7">
    <w:abstractNumId w:val="5"/>
  </w:num>
  <w:num w:numId="8">
    <w:abstractNumId w:val="11"/>
  </w:num>
  <w:num w:numId="9">
    <w:abstractNumId w:val="3"/>
  </w:num>
  <w:num w:numId="10">
    <w:abstractNumId w:val="10"/>
  </w:num>
  <w:num w:numId="11">
    <w:abstractNumId w:val="1"/>
  </w:num>
  <w:num w:numId="12">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4B"/>
    <w:rsid w:val="00015903"/>
    <w:rsid w:val="00017F94"/>
    <w:rsid w:val="00023842"/>
    <w:rsid w:val="00026B95"/>
    <w:rsid w:val="000334F9"/>
    <w:rsid w:val="000348DE"/>
    <w:rsid w:val="00045195"/>
    <w:rsid w:val="000503D7"/>
    <w:rsid w:val="000643E5"/>
    <w:rsid w:val="0007796D"/>
    <w:rsid w:val="000919AD"/>
    <w:rsid w:val="000B7790"/>
    <w:rsid w:val="000C2225"/>
    <w:rsid w:val="000E213C"/>
    <w:rsid w:val="00111F2F"/>
    <w:rsid w:val="00127FF7"/>
    <w:rsid w:val="0014365E"/>
    <w:rsid w:val="00156394"/>
    <w:rsid w:val="00176178"/>
    <w:rsid w:val="0018192B"/>
    <w:rsid w:val="001841CD"/>
    <w:rsid w:val="001843ED"/>
    <w:rsid w:val="00190F9D"/>
    <w:rsid w:val="001912BD"/>
    <w:rsid w:val="001B379B"/>
    <w:rsid w:val="001B7ADF"/>
    <w:rsid w:val="001E6349"/>
    <w:rsid w:val="001E74F8"/>
    <w:rsid w:val="001F113A"/>
    <w:rsid w:val="001F525A"/>
    <w:rsid w:val="00204EDE"/>
    <w:rsid w:val="00206A2F"/>
    <w:rsid w:val="0022061E"/>
    <w:rsid w:val="00223272"/>
    <w:rsid w:val="00237047"/>
    <w:rsid w:val="0024779E"/>
    <w:rsid w:val="002547A5"/>
    <w:rsid w:val="00271B9F"/>
    <w:rsid w:val="002971B7"/>
    <w:rsid w:val="002A6DB7"/>
    <w:rsid w:val="002B2F61"/>
    <w:rsid w:val="002B7BC7"/>
    <w:rsid w:val="002D38B1"/>
    <w:rsid w:val="002E2D46"/>
    <w:rsid w:val="002E7C60"/>
    <w:rsid w:val="00311C56"/>
    <w:rsid w:val="0032225A"/>
    <w:rsid w:val="003265B7"/>
    <w:rsid w:val="0033561C"/>
    <w:rsid w:val="003402F1"/>
    <w:rsid w:val="00342A1F"/>
    <w:rsid w:val="00351332"/>
    <w:rsid w:val="00352507"/>
    <w:rsid w:val="0035332C"/>
    <w:rsid w:val="003668CB"/>
    <w:rsid w:val="003A02FA"/>
    <w:rsid w:val="003A6E96"/>
    <w:rsid w:val="003B02B1"/>
    <w:rsid w:val="003C6A59"/>
    <w:rsid w:val="003D1B0D"/>
    <w:rsid w:val="003E4D03"/>
    <w:rsid w:val="003E6D19"/>
    <w:rsid w:val="003F6A9C"/>
    <w:rsid w:val="00431E56"/>
    <w:rsid w:val="00446FE5"/>
    <w:rsid w:val="00452396"/>
    <w:rsid w:val="004D6394"/>
    <w:rsid w:val="004E0876"/>
    <w:rsid w:val="005152DB"/>
    <w:rsid w:val="00527559"/>
    <w:rsid w:val="00532B23"/>
    <w:rsid w:val="00534640"/>
    <w:rsid w:val="00544E0D"/>
    <w:rsid w:val="005505B7"/>
    <w:rsid w:val="0057016D"/>
    <w:rsid w:val="00572343"/>
    <w:rsid w:val="00573BE5"/>
    <w:rsid w:val="0057719F"/>
    <w:rsid w:val="00586ED3"/>
    <w:rsid w:val="00596AA9"/>
    <w:rsid w:val="005B1852"/>
    <w:rsid w:val="005B7C01"/>
    <w:rsid w:val="00617E7D"/>
    <w:rsid w:val="00624266"/>
    <w:rsid w:val="00634C45"/>
    <w:rsid w:val="0065230B"/>
    <w:rsid w:val="006573C2"/>
    <w:rsid w:val="006B6059"/>
    <w:rsid w:val="006C1783"/>
    <w:rsid w:val="006C6F72"/>
    <w:rsid w:val="006D1448"/>
    <w:rsid w:val="006F7144"/>
    <w:rsid w:val="006F71EA"/>
    <w:rsid w:val="0071601D"/>
    <w:rsid w:val="007254B6"/>
    <w:rsid w:val="007258D4"/>
    <w:rsid w:val="00760765"/>
    <w:rsid w:val="00793E85"/>
    <w:rsid w:val="007A611C"/>
    <w:rsid w:val="007A62E6"/>
    <w:rsid w:val="007B17AA"/>
    <w:rsid w:val="007B18ED"/>
    <w:rsid w:val="007C5D1E"/>
    <w:rsid w:val="007D6D99"/>
    <w:rsid w:val="007E2032"/>
    <w:rsid w:val="007E3114"/>
    <w:rsid w:val="007F778E"/>
    <w:rsid w:val="0080684C"/>
    <w:rsid w:val="008139E6"/>
    <w:rsid w:val="00814F0C"/>
    <w:rsid w:val="00826233"/>
    <w:rsid w:val="0083159E"/>
    <w:rsid w:val="00842F54"/>
    <w:rsid w:val="008560DB"/>
    <w:rsid w:val="00860CFD"/>
    <w:rsid w:val="00871C75"/>
    <w:rsid w:val="008776DC"/>
    <w:rsid w:val="00894706"/>
    <w:rsid w:val="008A287A"/>
    <w:rsid w:val="008B0E8B"/>
    <w:rsid w:val="008B6ECA"/>
    <w:rsid w:val="008C09EA"/>
    <w:rsid w:val="008C2A7D"/>
    <w:rsid w:val="00906778"/>
    <w:rsid w:val="009437AD"/>
    <w:rsid w:val="009705C8"/>
    <w:rsid w:val="00971DF4"/>
    <w:rsid w:val="00983E9D"/>
    <w:rsid w:val="00993E0C"/>
    <w:rsid w:val="009B1E6C"/>
    <w:rsid w:val="009C29ED"/>
    <w:rsid w:val="009D7432"/>
    <w:rsid w:val="009E2AB8"/>
    <w:rsid w:val="009E2C6A"/>
    <w:rsid w:val="00A04738"/>
    <w:rsid w:val="00A10A5D"/>
    <w:rsid w:val="00A10C9C"/>
    <w:rsid w:val="00A260FA"/>
    <w:rsid w:val="00A53B5A"/>
    <w:rsid w:val="00A57411"/>
    <w:rsid w:val="00A60DA7"/>
    <w:rsid w:val="00A90509"/>
    <w:rsid w:val="00A9151D"/>
    <w:rsid w:val="00A915FA"/>
    <w:rsid w:val="00A9247C"/>
    <w:rsid w:val="00A92823"/>
    <w:rsid w:val="00AA2283"/>
    <w:rsid w:val="00AA6A35"/>
    <w:rsid w:val="00AC3823"/>
    <w:rsid w:val="00AE168A"/>
    <w:rsid w:val="00AE323C"/>
    <w:rsid w:val="00AF2AAF"/>
    <w:rsid w:val="00AF3E90"/>
    <w:rsid w:val="00B00181"/>
    <w:rsid w:val="00B02693"/>
    <w:rsid w:val="00B115B9"/>
    <w:rsid w:val="00B15B0A"/>
    <w:rsid w:val="00B34078"/>
    <w:rsid w:val="00B45E06"/>
    <w:rsid w:val="00B76332"/>
    <w:rsid w:val="00B765F7"/>
    <w:rsid w:val="00B920DE"/>
    <w:rsid w:val="00BA0CA9"/>
    <w:rsid w:val="00BB335F"/>
    <w:rsid w:val="00BC3E67"/>
    <w:rsid w:val="00BD2C96"/>
    <w:rsid w:val="00BD47DB"/>
    <w:rsid w:val="00BE2D6C"/>
    <w:rsid w:val="00BE3EE6"/>
    <w:rsid w:val="00BE51F8"/>
    <w:rsid w:val="00BF58AC"/>
    <w:rsid w:val="00C01ACF"/>
    <w:rsid w:val="00C02897"/>
    <w:rsid w:val="00C25CE8"/>
    <w:rsid w:val="00C308F4"/>
    <w:rsid w:val="00C807B4"/>
    <w:rsid w:val="00C94881"/>
    <w:rsid w:val="00CA7BC4"/>
    <w:rsid w:val="00CE3175"/>
    <w:rsid w:val="00CF762B"/>
    <w:rsid w:val="00D005FA"/>
    <w:rsid w:val="00D05667"/>
    <w:rsid w:val="00D059BC"/>
    <w:rsid w:val="00D22C9C"/>
    <w:rsid w:val="00D26D12"/>
    <w:rsid w:val="00D32762"/>
    <w:rsid w:val="00D3439C"/>
    <w:rsid w:val="00D34EDF"/>
    <w:rsid w:val="00D63719"/>
    <w:rsid w:val="00D744E5"/>
    <w:rsid w:val="00D83177"/>
    <w:rsid w:val="00DA7FD7"/>
    <w:rsid w:val="00DB1831"/>
    <w:rsid w:val="00DB57A3"/>
    <w:rsid w:val="00DC7360"/>
    <w:rsid w:val="00DD3BFD"/>
    <w:rsid w:val="00DE14DA"/>
    <w:rsid w:val="00DE541C"/>
    <w:rsid w:val="00DE689F"/>
    <w:rsid w:val="00DF0A10"/>
    <w:rsid w:val="00DF5759"/>
    <w:rsid w:val="00DF6678"/>
    <w:rsid w:val="00E34368"/>
    <w:rsid w:val="00E34B4B"/>
    <w:rsid w:val="00E45A1F"/>
    <w:rsid w:val="00E85C42"/>
    <w:rsid w:val="00E95C74"/>
    <w:rsid w:val="00EB437D"/>
    <w:rsid w:val="00EC30D5"/>
    <w:rsid w:val="00EE1BD4"/>
    <w:rsid w:val="00F12152"/>
    <w:rsid w:val="00F55240"/>
    <w:rsid w:val="00F660DF"/>
    <w:rsid w:val="00F66D13"/>
    <w:rsid w:val="00F95C08"/>
    <w:rsid w:val="00F97882"/>
    <w:rsid w:val="00FC19B1"/>
    <w:rsid w:val="00FD57A3"/>
    <w:rsid w:val="00FE4B5A"/>
    <w:rsid w:val="00FF5D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C1039"/>
  <w15:docId w15:val="{9496C15F-5505-45F2-BFAC-F31028E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qFormat/>
    <w:rsid w:val="00A9151D"/>
    <w:pPr>
      <w:outlineLvl w:val="1"/>
    </w:pPr>
  </w:style>
  <w:style w:type="paragraph" w:styleId="Titre3">
    <w:name w:val="heading 3"/>
    <w:basedOn w:val="Normal"/>
    <w:next w:val="Normal"/>
    <w:link w:val="Titre3Car"/>
    <w:uiPriority w:val="9"/>
    <w:qFormat/>
    <w:rsid w:val="00793E85"/>
    <w:pPr>
      <w:outlineLvl w:val="2"/>
    </w:pPr>
  </w:style>
  <w:style w:type="paragraph" w:styleId="Titre4">
    <w:name w:val="heading 4"/>
    <w:basedOn w:val="Normal"/>
    <w:next w:val="Normal"/>
    <w:link w:val="Titre4Car"/>
    <w:uiPriority w:val="9"/>
    <w:qFormat/>
    <w:rsid w:val="00793E85"/>
    <w:pPr>
      <w:outlineLvl w:val="3"/>
    </w:pPr>
  </w:style>
  <w:style w:type="paragraph" w:styleId="Titre5">
    <w:name w:val="heading 5"/>
    <w:basedOn w:val="Normal"/>
    <w:next w:val="Normal"/>
    <w:link w:val="Titre5Car"/>
    <w:uiPriority w:val="9"/>
    <w:qFormat/>
    <w:rsid w:val="00793E85"/>
    <w:pPr>
      <w:outlineLvl w:val="4"/>
    </w:pPr>
  </w:style>
  <w:style w:type="paragraph" w:styleId="Titre6">
    <w:name w:val="heading 6"/>
    <w:basedOn w:val="Normal"/>
    <w:next w:val="Normal"/>
    <w:link w:val="Titre6Car"/>
    <w:uiPriority w:val="9"/>
    <w:qFormat/>
    <w:rsid w:val="00793E85"/>
    <w:pPr>
      <w:outlineLvl w:val="5"/>
    </w:pPr>
  </w:style>
  <w:style w:type="paragraph" w:styleId="Titre7">
    <w:name w:val="heading 7"/>
    <w:basedOn w:val="Normal"/>
    <w:next w:val="Normal"/>
    <w:link w:val="Titre7Car"/>
    <w:uiPriority w:val="9"/>
    <w:qFormat/>
    <w:rsid w:val="00793E85"/>
    <w:pPr>
      <w:outlineLvl w:val="6"/>
    </w:pPr>
  </w:style>
  <w:style w:type="paragraph" w:styleId="Titre8">
    <w:name w:val="heading 8"/>
    <w:basedOn w:val="Normal"/>
    <w:next w:val="Normal"/>
    <w:link w:val="Titre8Car"/>
    <w:uiPriority w:val="9"/>
    <w:qFormat/>
    <w:rsid w:val="00793E85"/>
    <w:pPr>
      <w:outlineLvl w:val="7"/>
    </w:pPr>
  </w:style>
  <w:style w:type="paragraph" w:styleId="Titre9">
    <w:name w:val="heading 9"/>
    <w:basedOn w:val="Normal"/>
    <w:next w:val="Normal"/>
    <w:link w:val="Titre9Car"/>
    <w:uiPriority w:val="9"/>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6_GA"/>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6_GA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3_GA"/>
    <w:basedOn w:val="Normal"/>
    <w:next w:val="Normal"/>
    <w:link w:val="PieddepageCar"/>
    <w:qFormat/>
    <w:rsid w:val="00D744E5"/>
    <w:pPr>
      <w:spacing w:line="240" w:lineRule="auto"/>
    </w:pPr>
    <w:rPr>
      <w:sz w:val="16"/>
    </w:rPr>
  </w:style>
  <w:style w:type="character" w:customStyle="1" w:styleId="PieddepageCar">
    <w:name w:val="Pied de page Car"/>
    <w:aliases w:val="3_G Car,3_GA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4_GA,footnote ref,Fußnotenzeichen DISS,fr,(NECG) Footnote Reference"/>
    <w:basedOn w:val="Policepardfaut"/>
    <w:link w:val="Char2"/>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2_ GA"/>
    <w:basedOn w:val="Notedebasdepage"/>
    <w:link w:val="NotedefinCar"/>
    <w:uiPriority w:val="99"/>
    <w:qFormat/>
    <w:rsid w:val="00D744E5"/>
  </w:style>
  <w:style w:type="character" w:customStyle="1" w:styleId="NotedefinCar">
    <w:name w:val="Note de fin Car"/>
    <w:aliases w:val="2_G Car,2_ GA Car"/>
    <w:basedOn w:val="Policepardfaut"/>
    <w:link w:val="Notedefin"/>
    <w:uiPriority w:val="99"/>
    <w:rsid w:val="00D744E5"/>
    <w:rPr>
      <w:rFonts w:ascii="Times New Roman" w:eastAsiaTheme="minorHAnsi" w:hAnsi="Times New Roman" w:cs="Times New Roman"/>
      <w:sz w:val="18"/>
      <w:szCs w:val="20"/>
      <w:lang w:eastAsia="en-US"/>
    </w:rPr>
  </w:style>
  <w:style w:type="character" w:styleId="Numrodepage">
    <w:name w:val="page number"/>
    <w:aliases w:val="7_G,7_GA"/>
    <w:basedOn w:val="Policepardfaut"/>
    <w:qFormat/>
    <w:rsid w:val="00D744E5"/>
    <w:rPr>
      <w:rFonts w:ascii="Times New Roman" w:hAnsi="Times New Roman"/>
      <w:b/>
      <w:sz w:val="18"/>
      <w:lang w:val="fr-CH"/>
    </w:rPr>
  </w:style>
  <w:style w:type="character" w:customStyle="1" w:styleId="Titre1Car">
    <w:name w:val="Titre 1 Car"/>
    <w:aliases w:val="Table_G Car,Table_GA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rsid w:val="00793E85"/>
    <w:rPr>
      <w:rFonts w:ascii="Times New Roman" w:hAnsi="Times New Roman" w:cs="Times New Roman"/>
      <w:sz w:val="20"/>
      <w:szCs w:val="20"/>
      <w:lang w:eastAsia="en-US"/>
    </w:rPr>
  </w:style>
  <w:style w:type="character" w:customStyle="1" w:styleId="Titre5Car">
    <w:name w:val="Titre 5 Car"/>
    <w:basedOn w:val="Policepardfaut"/>
    <w:link w:val="Titre5"/>
    <w:uiPriority w:val="9"/>
    <w:rsid w:val="00793E85"/>
    <w:rPr>
      <w:rFonts w:ascii="Times New Roman" w:hAnsi="Times New Roman" w:cs="Times New Roman"/>
      <w:sz w:val="20"/>
      <w:szCs w:val="20"/>
      <w:lang w:eastAsia="en-US"/>
    </w:rPr>
  </w:style>
  <w:style w:type="character" w:customStyle="1" w:styleId="Titre6Car">
    <w:name w:val="Titre 6 Car"/>
    <w:basedOn w:val="Policepardfaut"/>
    <w:link w:val="Titre6"/>
    <w:uiPriority w:val="9"/>
    <w:rsid w:val="00793E85"/>
    <w:rPr>
      <w:rFonts w:ascii="Times New Roman" w:hAnsi="Times New Roman" w:cs="Times New Roman"/>
      <w:sz w:val="20"/>
      <w:szCs w:val="20"/>
      <w:lang w:eastAsia="en-US"/>
    </w:rPr>
  </w:style>
  <w:style w:type="character" w:customStyle="1" w:styleId="Titre7Car">
    <w:name w:val="Titre 7 Car"/>
    <w:basedOn w:val="Policepardfaut"/>
    <w:link w:val="Titre7"/>
    <w:uiPriority w:val="9"/>
    <w:rsid w:val="00793E85"/>
    <w:rPr>
      <w:rFonts w:ascii="Times New Roman" w:hAnsi="Times New Roman" w:cs="Times New Roman"/>
      <w:sz w:val="20"/>
      <w:szCs w:val="20"/>
      <w:lang w:eastAsia="en-US"/>
    </w:rPr>
  </w:style>
  <w:style w:type="character" w:customStyle="1" w:styleId="Titre8Car">
    <w:name w:val="Titre 8 Car"/>
    <w:basedOn w:val="Policepardfaut"/>
    <w:link w:val="Titre8"/>
    <w:uiPriority w:val="9"/>
    <w:rsid w:val="00793E85"/>
    <w:rPr>
      <w:rFonts w:ascii="Times New Roman" w:hAnsi="Times New Roman" w:cs="Times New Roman"/>
      <w:sz w:val="20"/>
      <w:szCs w:val="20"/>
      <w:lang w:eastAsia="en-US"/>
    </w:rPr>
  </w:style>
  <w:style w:type="character" w:customStyle="1" w:styleId="Titre9Car">
    <w:name w:val="Titre 9 Car"/>
    <w:basedOn w:val="Policepardfaut"/>
    <w:link w:val="Titre9"/>
    <w:uiPriority w:val="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Char2">
    <w:name w:val="Char2"/>
    <w:basedOn w:val="Normal"/>
    <w:link w:val="Appelnotedebasdep"/>
    <w:uiPriority w:val="99"/>
    <w:rsid w:val="001912BD"/>
    <w:pPr>
      <w:suppressAutoHyphens w:val="0"/>
      <w:kinsoku/>
      <w:overflowPunct/>
      <w:autoSpaceDE/>
      <w:autoSpaceDN/>
      <w:adjustRightInd/>
      <w:snapToGrid/>
      <w:spacing w:after="160" w:line="240" w:lineRule="exact"/>
      <w:jc w:val="both"/>
    </w:pPr>
    <w:rPr>
      <w:rFonts w:eastAsia="Times New Roman" w:cstheme="minorBidi"/>
      <w:sz w:val="18"/>
      <w:szCs w:val="22"/>
      <w:vertAlign w:val="superscript"/>
      <w:lang w:eastAsia="zh-CN"/>
    </w:rPr>
  </w:style>
  <w:style w:type="paragraph" w:customStyle="1" w:styleId="SingleTxtGA">
    <w:name w:val="_ Single Txt_GA"/>
    <w:basedOn w:val="Normal"/>
    <w:link w:val="SingleTxtGAChar"/>
    <w:qFormat/>
    <w:rsid w:val="00D005FA"/>
    <w:pPr>
      <w:tabs>
        <w:tab w:val="left" w:pos="1928"/>
        <w:tab w:val="left" w:pos="2608"/>
        <w:tab w:val="left" w:pos="3289"/>
        <w:tab w:val="left" w:pos="3969"/>
        <w:tab w:val="left" w:pos="4649"/>
        <w:tab w:val="left" w:pos="5330"/>
      </w:tabs>
      <w:kinsoku/>
      <w:overflowPunct/>
      <w:autoSpaceDE/>
      <w:autoSpaceDN/>
      <w:bidi/>
      <w:adjustRightInd/>
      <w:snapToGrid/>
      <w:spacing w:after="120" w:line="360" w:lineRule="exact"/>
      <w:ind w:left="1247" w:right="1247"/>
      <w:jc w:val="lowKashida"/>
    </w:pPr>
    <w:rPr>
      <w:rFonts w:eastAsia="PMingLiU" w:cs="Simplified Arabic"/>
      <w:sz w:val="22"/>
      <w:szCs w:val="22"/>
      <w:lang w:val="en-GB"/>
    </w:rPr>
  </w:style>
  <w:style w:type="character" w:customStyle="1" w:styleId="SingleTxtGAChar">
    <w:name w:val="_ Single Txt_GA Char"/>
    <w:basedOn w:val="Policepardfaut"/>
    <w:link w:val="SingleTxtGA"/>
    <w:locked/>
    <w:rsid w:val="00D005FA"/>
    <w:rPr>
      <w:rFonts w:ascii="Times New Roman" w:eastAsia="PMingLiU" w:hAnsi="Times New Roman" w:cs="Simplified Arabic"/>
      <w:lang w:val="en-GB" w:eastAsia="en-US"/>
    </w:rPr>
  </w:style>
  <w:style w:type="paragraph" w:customStyle="1" w:styleId="HMGA">
    <w:name w:val="_ H __M_GA"/>
    <w:basedOn w:val="Normal"/>
    <w:next w:val="SingleTxtGA"/>
    <w:qFormat/>
    <w:rsid w:val="00D005FA"/>
    <w:pPr>
      <w:keepNext/>
      <w:keepLines/>
      <w:tabs>
        <w:tab w:val="right" w:pos="1021"/>
      </w:tabs>
      <w:kinsoku/>
      <w:overflowPunct/>
      <w:autoSpaceDE/>
      <w:autoSpaceDN/>
      <w:bidi/>
      <w:adjustRightInd/>
      <w:snapToGrid/>
      <w:spacing w:before="360" w:after="240" w:line="480" w:lineRule="exact"/>
      <w:ind w:left="1247" w:right="1247" w:hanging="1247"/>
      <w:jc w:val="lowKashida"/>
      <w:outlineLvl w:val="0"/>
    </w:pPr>
    <w:rPr>
      <w:rFonts w:eastAsia="PMingLiU" w:cs="Simplified Arabic"/>
      <w:b/>
      <w:bCs/>
      <w:sz w:val="36"/>
      <w:szCs w:val="36"/>
      <w:lang w:val="en-GB"/>
    </w:rPr>
  </w:style>
  <w:style w:type="paragraph" w:customStyle="1" w:styleId="HChGA">
    <w:name w:val="_ H _Ch_GA"/>
    <w:basedOn w:val="Normal"/>
    <w:next w:val="SingleTxtGA"/>
    <w:qFormat/>
    <w:rsid w:val="00D005FA"/>
    <w:pPr>
      <w:keepNext/>
      <w:keepLines/>
      <w:tabs>
        <w:tab w:val="right" w:pos="1021"/>
      </w:tabs>
      <w:kinsoku/>
      <w:overflowPunct/>
      <w:autoSpaceDE/>
      <w:autoSpaceDN/>
      <w:bidi/>
      <w:adjustRightInd/>
      <w:snapToGrid/>
      <w:spacing w:before="360" w:after="240" w:line="440" w:lineRule="exact"/>
      <w:ind w:left="1247" w:right="1247" w:hanging="1247"/>
      <w:jc w:val="lowKashida"/>
      <w:outlineLvl w:val="1"/>
    </w:pPr>
    <w:rPr>
      <w:rFonts w:eastAsia="PMingLiU" w:cs="Simplified Arabic"/>
      <w:b/>
      <w:bCs/>
      <w:sz w:val="30"/>
      <w:szCs w:val="30"/>
      <w:lang w:val="en-GB"/>
    </w:rPr>
  </w:style>
  <w:style w:type="paragraph" w:customStyle="1" w:styleId="H1GA">
    <w:name w:val="_ H_1_GA"/>
    <w:basedOn w:val="Normal"/>
    <w:next w:val="SingleTxtGA"/>
    <w:qFormat/>
    <w:rsid w:val="00D005FA"/>
    <w:pPr>
      <w:keepNext/>
      <w:keepLines/>
      <w:tabs>
        <w:tab w:val="right" w:pos="1021"/>
      </w:tabs>
      <w:kinsoku/>
      <w:overflowPunct/>
      <w:autoSpaceDE/>
      <w:autoSpaceDN/>
      <w:bidi/>
      <w:adjustRightInd/>
      <w:snapToGrid/>
      <w:spacing w:before="240" w:after="240" w:line="400" w:lineRule="exact"/>
      <w:ind w:left="1247" w:right="1247" w:hanging="1247"/>
      <w:jc w:val="lowKashida"/>
      <w:outlineLvl w:val="2"/>
    </w:pPr>
    <w:rPr>
      <w:rFonts w:eastAsia="PMingLiU" w:cs="Simplified Arabic"/>
      <w:b/>
      <w:bCs/>
      <w:sz w:val="26"/>
      <w:szCs w:val="26"/>
      <w:lang w:val="en-GB"/>
    </w:rPr>
  </w:style>
  <w:style w:type="paragraph" w:customStyle="1" w:styleId="H23GA">
    <w:name w:val="_ H_2/3_GA"/>
    <w:basedOn w:val="Normal"/>
    <w:next w:val="SingleTxtGA"/>
    <w:qFormat/>
    <w:rsid w:val="00D005FA"/>
    <w:pPr>
      <w:keepNext/>
      <w:keepLines/>
      <w:tabs>
        <w:tab w:val="right" w:pos="1021"/>
      </w:tabs>
      <w:kinsoku/>
      <w:overflowPunct/>
      <w:autoSpaceDE/>
      <w:autoSpaceDN/>
      <w:bidi/>
      <w:adjustRightInd/>
      <w:snapToGrid/>
      <w:spacing w:before="240" w:after="120" w:line="380" w:lineRule="exact"/>
      <w:ind w:left="1247" w:right="1247" w:hanging="1247"/>
      <w:jc w:val="lowKashida"/>
      <w:outlineLvl w:val="3"/>
    </w:pPr>
    <w:rPr>
      <w:rFonts w:eastAsia="PMingLiU" w:cs="Simplified Arabic"/>
      <w:b/>
      <w:bCs/>
      <w:sz w:val="22"/>
      <w:szCs w:val="22"/>
      <w:lang w:val="en-GB" w:eastAsia="ar-SA"/>
    </w:rPr>
  </w:style>
  <w:style w:type="paragraph" w:customStyle="1" w:styleId="H4GA">
    <w:name w:val="_ H_4_GA"/>
    <w:basedOn w:val="Normal"/>
    <w:next w:val="SingleTxtGA"/>
    <w:qFormat/>
    <w:rsid w:val="00D005FA"/>
    <w:pPr>
      <w:keepNext/>
      <w:keepLines/>
      <w:tabs>
        <w:tab w:val="right" w:pos="1021"/>
      </w:tabs>
      <w:kinsoku/>
      <w:overflowPunct/>
      <w:autoSpaceDE/>
      <w:autoSpaceDN/>
      <w:bidi/>
      <w:adjustRightInd/>
      <w:snapToGrid/>
      <w:spacing w:before="240" w:after="120" w:line="380" w:lineRule="exact"/>
      <w:ind w:left="1247" w:right="1247" w:hanging="1247"/>
      <w:jc w:val="lowKashida"/>
      <w:outlineLvl w:val="4"/>
    </w:pPr>
    <w:rPr>
      <w:rFonts w:eastAsia="PMingLiU" w:cs="Simplified Arabic"/>
      <w:i/>
      <w:iCs/>
      <w:sz w:val="22"/>
      <w:szCs w:val="22"/>
      <w:lang w:val="en-GB"/>
    </w:rPr>
  </w:style>
  <w:style w:type="paragraph" w:customStyle="1" w:styleId="H56GA">
    <w:name w:val="_ H_5/6_GA"/>
    <w:basedOn w:val="Normal"/>
    <w:next w:val="SingleTxtGA"/>
    <w:qFormat/>
    <w:rsid w:val="00D005FA"/>
    <w:pPr>
      <w:keepNext/>
      <w:keepLines/>
      <w:tabs>
        <w:tab w:val="right" w:pos="1021"/>
      </w:tabs>
      <w:kinsoku/>
      <w:overflowPunct/>
      <w:autoSpaceDE/>
      <w:autoSpaceDN/>
      <w:bidi/>
      <w:adjustRightInd/>
      <w:snapToGrid/>
      <w:spacing w:before="240" w:after="120" w:line="380" w:lineRule="exact"/>
      <w:ind w:left="1247" w:right="1247" w:hanging="1247"/>
      <w:jc w:val="lowKashida"/>
      <w:outlineLvl w:val="5"/>
    </w:pPr>
    <w:rPr>
      <w:rFonts w:eastAsia="PMingLiU" w:cs="Simplified Arabic"/>
      <w:sz w:val="22"/>
      <w:szCs w:val="22"/>
      <w:lang w:val="en-GB"/>
    </w:rPr>
  </w:style>
  <w:style w:type="paragraph" w:customStyle="1" w:styleId="SLGA">
    <w:name w:val="__S_L_GA"/>
    <w:basedOn w:val="Normal"/>
    <w:next w:val="SingleTxtGA"/>
    <w:qFormat/>
    <w:rsid w:val="00D005FA"/>
    <w:pPr>
      <w:keepNext/>
      <w:keepLines/>
      <w:kinsoku/>
      <w:overflowPunct/>
      <w:autoSpaceDE/>
      <w:autoSpaceDN/>
      <w:bidi/>
      <w:adjustRightInd/>
      <w:snapToGrid/>
      <w:spacing w:before="240" w:after="240" w:line="800" w:lineRule="exact"/>
      <w:ind w:left="1247" w:right="1247"/>
      <w:jc w:val="lowKashida"/>
    </w:pPr>
    <w:rPr>
      <w:rFonts w:eastAsia="PMingLiU" w:cs="Simplified Arabic"/>
      <w:b/>
      <w:bCs/>
      <w:sz w:val="56"/>
      <w:szCs w:val="56"/>
      <w:lang w:val="en-GB"/>
    </w:rPr>
  </w:style>
  <w:style w:type="paragraph" w:customStyle="1" w:styleId="SMGA">
    <w:name w:val="__S_M_GA"/>
    <w:basedOn w:val="Normal"/>
    <w:next w:val="SingleTxtGA"/>
    <w:qFormat/>
    <w:rsid w:val="00D005FA"/>
    <w:pPr>
      <w:keepNext/>
      <w:keepLines/>
      <w:kinsoku/>
      <w:overflowPunct/>
      <w:autoSpaceDE/>
      <w:autoSpaceDN/>
      <w:bidi/>
      <w:adjustRightInd/>
      <w:snapToGrid/>
      <w:spacing w:before="240" w:after="240" w:line="560" w:lineRule="exact"/>
      <w:ind w:left="1247" w:right="1247"/>
      <w:jc w:val="lowKashida"/>
    </w:pPr>
    <w:rPr>
      <w:rFonts w:eastAsia="PMingLiU" w:cs="Simplified Arabic"/>
      <w:b/>
      <w:bCs/>
      <w:sz w:val="40"/>
      <w:szCs w:val="40"/>
      <w:lang w:val="en-GB"/>
    </w:rPr>
  </w:style>
  <w:style w:type="paragraph" w:customStyle="1" w:styleId="SSGA">
    <w:name w:val="__S_S_GA"/>
    <w:basedOn w:val="Normal"/>
    <w:next w:val="SingleTxtGA"/>
    <w:qFormat/>
    <w:rsid w:val="00D005FA"/>
    <w:pPr>
      <w:keepNext/>
      <w:keepLines/>
      <w:kinsoku/>
      <w:overflowPunct/>
      <w:autoSpaceDE/>
      <w:autoSpaceDN/>
      <w:bidi/>
      <w:adjustRightInd/>
      <w:snapToGrid/>
      <w:spacing w:before="240" w:after="240" w:line="440" w:lineRule="exact"/>
      <w:ind w:left="1134" w:right="1134"/>
      <w:jc w:val="lowKashida"/>
    </w:pPr>
    <w:rPr>
      <w:rFonts w:eastAsia="PMingLiU" w:cs="Simplified Arabic"/>
      <w:b/>
      <w:bCs/>
      <w:sz w:val="34"/>
      <w:szCs w:val="34"/>
      <w:lang w:val="en-GB"/>
    </w:rPr>
  </w:style>
  <w:style w:type="paragraph" w:customStyle="1" w:styleId="XLargeGA">
    <w:name w:val="__XLarge_GA"/>
    <w:basedOn w:val="Normal"/>
    <w:next w:val="SingleTxtGA"/>
    <w:qFormat/>
    <w:rsid w:val="00D005FA"/>
    <w:pPr>
      <w:keepNext/>
      <w:keepLines/>
      <w:tabs>
        <w:tab w:val="right" w:leader="dot" w:pos="360"/>
      </w:tabs>
      <w:kinsoku/>
      <w:overflowPunct/>
      <w:autoSpaceDE/>
      <w:autoSpaceDN/>
      <w:bidi/>
      <w:adjustRightInd/>
      <w:snapToGrid/>
      <w:spacing w:before="240" w:after="240" w:line="580" w:lineRule="exact"/>
      <w:ind w:left="1247" w:right="1247"/>
      <w:jc w:val="lowKashida"/>
    </w:pPr>
    <w:rPr>
      <w:rFonts w:eastAsia="PMingLiU" w:cs="Simplified Arabic"/>
      <w:b/>
      <w:bCs/>
      <w:sz w:val="40"/>
      <w:szCs w:val="40"/>
      <w:lang w:val="en-GB"/>
    </w:rPr>
  </w:style>
  <w:style w:type="paragraph" w:customStyle="1" w:styleId="Bullet1GA">
    <w:name w:val="_Bullet 1_GA"/>
    <w:basedOn w:val="NormalA"/>
    <w:qFormat/>
    <w:rsid w:val="00D005FA"/>
    <w:pPr>
      <w:numPr>
        <w:numId w:val="4"/>
      </w:numPr>
      <w:suppressAutoHyphens/>
      <w:spacing w:after="120" w:line="360" w:lineRule="exact"/>
      <w:ind w:right="1247"/>
    </w:pPr>
    <w:rPr>
      <w:sz w:val="22"/>
      <w:lang w:eastAsia="zh-TW"/>
    </w:rPr>
  </w:style>
  <w:style w:type="paragraph" w:customStyle="1" w:styleId="NormalA">
    <w:name w:val="Normal_A"/>
    <w:basedOn w:val="Normal"/>
    <w:qFormat/>
    <w:rsid w:val="00D005FA"/>
    <w:pPr>
      <w:suppressAutoHyphens w:val="0"/>
      <w:kinsoku/>
      <w:overflowPunct/>
      <w:autoSpaceDE/>
      <w:autoSpaceDN/>
      <w:bidi/>
      <w:adjustRightInd/>
      <w:snapToGrid/>
      <w:jc w:val="lowKashida"/>
    </w:pPr>
    <w:rPr>
      <w:rFonts w:eastAsia="PMingLiU" w:cs="Simplified Arabic"/>
      <w:szCs w:val="22"/>
      <w:lang w:val="en-US"/>
    </w:rPr>
  </w:style>
  <w:style w:type="paragraph" w:customStyle="1" w:styleId="Bullet2GA">
    <w:name w:val="_Bullet 2_GA"/>
    <w:basedOn w:val="Normal"/>
    <w:qFormat/>
    <w:rsid w:val="00D005FA"/>
    <w:pPr>
      <w:numPr>
        <w:numId w:val="5"/>
      </w:numPr>
      <w:tabs>
        <w:tab w:val="clear" w:pos="3215"/>
        <w:tab w:val="left" w:pos="3062"/>
      </w:tabs>
      <w:kinsoku/>
      <w:overflowPunct/>
      <w:autoSpaceDE/>
      <w:autoSpaceDN/>
      <w:bidi/>
      <w:adjustRightInd/>
      <w:snapToGrid/>
      <w:spacing w:after="120" w:line="360" w:lineRule="exact"/>
      <w:ind w:left="3062" w:right="1247" w:hanging="590"/>
      <w:jc w:val="lowKashida"/>
    </w:pPr>
    <w:rPr>
      <w:rFonts w:eastAsia="PMingLiU" w:cs="Simplified Arabic"/>
      <w:sz w:val="22"/>
      <w:szCs w:val="22"/>
      <w:lang w:val="en-US" w:eastAsia="zh-TW"/>
    </w:rPr>
  </w:style>
  <w:style w:type="paragraph" w:customStyle="1" w:styleId="ParaNoGA">
    <w:name w:val="_ParaNo._GA"/>
    <w:basedOn w:val="SingleTxtGA"/>
    <w:qFormat/>
    <w:rsid w:val="00D005FA"/>
    <w:pPr>
      <w:numPr>
        <w:numId w:val="6"/>
      </w:numPr>
      <w:tabs>
        <w:tab w:val="clear" w:pos="1361"/>
        <w:tab w:val="num" w:pos="1701"/>
      </w:tabs>
      <w:bidi w:val="0"/>
      <w:ind w:left="1134"/>
    </w:pPr>
    <w:rPr>
      <w:lang w:val="en-US"/>
    </w:rPr>
  </w:style>
  <w:style w:type="paragraph" w:customStyle="1" w:styleId="Roman1GA">
    <w:name w:val="_Roman 1_GA"/>
    <w:basedOn w:val="Bullet1GA"/>
    <w:qFormat/>
    <w:rsid w:val="00D005FA"/>
    <w:pPr>
      <w:numPr>
        <w:numId w:val="7"/>
      </w:numPr>
      <w:tabs>
        <w:tab w:val="clear" w:pos="2310"/>
        <w:tab w:val="left" w:pos="2486"/>
      </w:tabs>
      <w:ind w:left="2486" w:hanging="378"/>
    </w:pPr>
  </w:style>
  <w:style w:type="paragraph" w:customStyle="1" w:styleId="Roman2GA">
    <w:name w:val="_Roman 2_GA"/>
    <w:basedOn w:val="Bullet2GA"/>
    <w:qFormat/>
    <w:rsid w:val="00D005FA"/>
    <w:pPr>
      <w:numPr>
        <w:numId w:val="8"/>
      </w:numPr>
      <w:tabs>
        <w:tab w:val="clear" w:pos="2877"/>
        <w:tab w:val="clear" w:pos="3062"/>
        <w:tab w:val="left" w:pos="3060"/>
      </w:tabs>
      <w:ind w:left="3060" w:hanging="392"/>
    </w:pPr>
  </w:style>
  <w:style w:type="character" w:customStyle="1" w:styleId="EndtnoteReference">
    <w:name w:val="Endtnote Reference"/>
    <w:aliases w:val="1_GA"/>
    <w:qFormat/>
    <w:rsid w:val="00D005FA"/>
    <w:rPr>
      <w:rFonts w:ascii="Times New Roman Bold" w:hAnsi="Times New Roman Bold" w:cs="Traditional Arabic"/>
      <w:b/>
      <w:i w:val="0"/>
      <w:kern w:val="0"/>
      <w:sz w:val="18"/>
      <w:szCs w:val="18"/>
      <w:vertAlign w:val="superscript"/>
    </w:rPr>
  </w:style>
  <w:style w:type="paragraph" w:customStyle="1" w:styleId="FootnoteText1">
    <w:name w:val="Footnote Text1"/>
    <w:aliases w:val="5_GA"/>
    <w:basedOn w:val="Normal"/>
    <w:qFormat/>
    <w:rsid w:val="00D005FA"/>
    <w:pPr>
      <w:suppressAutoHyphens w:val="0"/>
      <w:kinsoku/>
      <w:overflowPunct/>
      <w:autoSpaceDE/>
      <w:autoSpaceDN/>
      <w:bidi/>
      <w:adjustRightInd/>
      <w:snapToGrid/>
      <w:spacing w:after="60" w:line="280" w:lineRule="exact"/>
      <w:ind w:left="1247" w:right="1247" w:hanging="567"/>
      <w:jc w:val="lowKashida"/>
    </w:pPr>
    <w:rPr>
      <w:rFonts w:eastAsia="PMingLiU" w:cs="Simplified Arabic"/>
      <w:sz w:val="18"/>
      <w:szCs w:val="18"/>
      <w:lang w:val="en-US"/>
    </w:rPr>
  </w:style>
  <w:style w:type="paragraph" w:customStyle="1" w:styleId="XXLargeGA">
    <w:name w:val="XXLarge_GA"/>
    <w:basedOn w:val="Normal"/>
    <w:next w:val="SingleTxtGA"/>
    <w:qFormat/>
    <w:rsid w:val="00D005FA"/>
    <w:pPr>
      <w:kinsoku/>
      <w:overflowPunct/>
      <w:autoSpaceDE/>
      <w:autoSpaceDN/>
      <w:bidi/>
      <w:adjustRightInd/>
      <w:snapToGrid/>
      <w:spacing w:line="820" w:lineRule="exact"/>
      <w:jc w:val="lowKashida"/>
    </w:pPr>
    <w:rPr>
      <w:rFonts w:eastAsia="PMingLiU" w:cs="Simplified Arabic"/>
      <w:spacing w:val="-8"/>
      <w:w w:val="96"/>
      <w:sz w:val="57"/>
      <w:szCs w:val="86"/>
      <w:lang w:val="en-GB"/>
    </w:rPr>
  </w:style>
  <w:style w:type="character" w:styleId="Titredulivre">
    <w:name w:val="Book Title"/>
    <w:uiPriority w:val="33"/>
    <w:rsid w:val="00D005FA"/>
    <w:rPr>
      <w:b/>
      <w:bCs/>
      <w:smallCaps/>
      <w:spacing w:val="5"/>
    </w:rPr>
  </w:style>
  <w:style w:type="paragraph" w:styleId="Titre">
    <w:name w:val="Title"/>
    <w:basedOn w:val="Normal"/>
    <w:next w:val="Normal"/>
    <w:link w:val="TitreCar"/>
    <w:uiPriority w:val="10"/>
    <w:rsid w:val="00D005FA"/>
    <w:pPr>
      <w:pBdr>
        <w:bottom w:val="single" w:sz="8" w:space="4" w:color="4F81BD"/>
      </w:pBdr>
      <w:suppressAutoHyphens w:val="0"/>
      <w:kinsoku/>
      <w:overflowPunct/>
      <w:autoSpaceDE/>
      <w:autoSpaceDN/>
      <w:bidi/>
      <w:adjustRightInd/>
      <w:snapToGrid/>
      <w:spacing w:after="300" w:line="240" w:lineRule="auto"/>
      <w:contextualSpacing/>
      <w:jc w:val="lowKashida"/>
    </w:pPr>
    <w:rPr>
      <w:rFonts w:eastAsia="PMingLiU" w:cs="Simplified Arabic"/>
      <w:color w:val="17365D"/>
      <w:spacing w:val="5"/>
      <w:kern w:val="28"/>
      <w:sz w:val="52"/>
      <w:szCs w:val="52"/>
      <w:lang w:val="en-US"/>
    </w:rPr>
  </w:style>
  <w:style w:type="character" w:customStyle="1" w:styleId="TitreCar">
    <w:name w:val="Titre Car"/>
    <w:basedOn w:val="Policepardfaut"/>
    <w:link w:val="Titre"/>
    <w:uiPriority w:val="10"/>
    <w:rsid w:val="00D005FA"/>
    <w:rPr>
      <w:rFonts w:ascii="Times New Roman" w:eastAsia="PMingLiU" w:hAnsi="Times New Roman" w:cs="Simplified Arabic"/>
      <w:color w:val="17365D"/>
      <w:spacing w:val="5"/>
      <w:kern w:val="28"/>
      <w:sz w:val="52"/>
      <w:szCs w:val="52"/>
      <w:lang w:val="en-US" w:eastAsia="en-US"/>
    </w:rPr>
  </w:style>
  <w:style w:type="paragraph" w:styleId="Sous-titre">
    <w:name w:val="Subtitle"/>
    <w:basedOn w:val="Normal"/>
    <w:next w:val="Normal"/>
    <w:link w:val="Sous-titreCar"/>
    <w:uiPriority w:val="11"/>
    <w:rsid w:val="00D005FA"/>
    <w:pPr>
      <w:numPr>
        <w:ilvl w:val="1"/>
      </w:numPr>
      <w:suppressAutoHyphens w:val="0"/>
      <w:kinsoku/>
      <w:overflowPunct/>
      <w:autoSpaceDE/>
      <w:autoSpaceDN/>
      <w:bidi/>
      <w:adjustRightInd/>
      <w:snapToGrid/>
      <w:jc w:val="lowKashida"/>
    </w:pPr>
    <w:rPr>
      <w:rFonts w:eastAsia="PMingLiU" w:cs="Simplified Arabic"/>
      <w:i/>
      <w:iCs/>
      <w:color w:val="4F81BD"/>
      <w:spacing w:val="15"/>
      <w:sz w:val="24"/>
      <w:szCs w:val="24"/>
      <w:lang w:val="en-US"/>
    </w:rPr>
  </w:style>
  <w:style w:type="character" w:customStyle="1" w:styleId="Sous-titreCar">
    <w:name w:val="Sous-titre Car"/>
    <w:basedOn w:val="Policepardfaut"/>
    <w:link w:val="Sous-titre"/>
    <w:uiPriority w:val="11"/>
    <w:rsid w:val="00D005FA"/>
    <w:rPr>
      <w:rFonts w:ascii="Times New Roman" w:eastAsia="PMingLiU" w:hAnsi="Times New Roman" w:cs="Simplified Arabic"/>
      <w:i/>
      <w:iCs/>
      <w:color w:val="4F81BD"/>
      <w:spacing w:val="15"/>
      <w:sz w:val="24"/>
      <w:szCs w:val="24"/>
      <w:lang w:val="en-US" w:eastAsia="en-US"/>
    </w:rPr>
  </w:style>
  <w:style w:type="character" w:styleId="Accentuationlgre">
    <w:name w:val="Subtle Emphasis"/>
    <w:uiPriority w:val="19"/>
    <w:rsid w:val="00D005FA"/>
    <w:rPr>
      <w:i/>
      <w:iCs/>
      <w:color w:val="808080"/>
    </w:rPr>
  </w:style>
  <w:style w:type="table" w:styleId="Grillecouleur-Accent6">
    <w:name w:val="Colorful Grid Accent 6"/>
    <w:basedOn w:val="TableauNormal"/>
    <w:uiPriority w:val="73"/>
    <w:rsid w:val="00D005FA"/>
    <w:pPr>
      <w:spacing w:after="0" w:line="240" w:lineRule="auto"/>
    </w:pPr>
    <w:rPr>
      <w:rFonts w:ascii="Calibri" w:eastAsia="PMingLiU" w:hAnsi="Calibri" w:cs="Arial"/>
      <w:color w:val="000000"/>
      <w:sz w:val="20"/>
      <w:szCs w:val="2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ccentuation">
    <w:name w:val="Emphasis"/>
    <w:uiPriority w:val="20"/>
    <w:rsid w:val="00D005FA"/>
    <w:rPr>
      <w:i/>
      <w:iCs/>
    </w:rPr>
  </w:style>
  <w:style w:type="character" w:styleId="Accentuationintense">
    <w:name w:val="Intense Emphasis"/>
    <w:uiPriority w:val="21"/>
    <w:rsid w:val="00D005FA"/>
    <w:rPr>
      <w:b/>
      <w:bCs/>
      <w:i/>
      <w:iCs/>
      <w:color w:val="4F81BD"/>
    </w:rPr>
  </w:style>
  <w:style w:type="character" w:styleId="lev">
    <w:name w:val="Strong"/>
    <w:uiPriority w:val="22"/>
    <w:rsid w:val="00D005FA"/>
    <w:rPr>
      <w:b/>
      <w:bCs/>
    </w:rPr>
  </w:style>
  <w:style w:type="paragraph" w:styleId="Citation">
    <w:name w:val="Quote"/>
    <w:basedOn w:val="Normal"/>
    <w:next w:val="Normal"/>
    <w:link w:val="CitationCar"/>
    <w:uiPriority w:val="29"/>
    <w:rsid w:val="00D005FA"/>
    <w:pPr>
      <w:suppressAutoHyphens w:val="0"/>
      <w:kinsoku/>
      <w:overflowPunct/>
      <w:autoSpaceDE/>
      <w:autoSpaceDN/>
      <w:bidi/>
      <w:adjustRightInd/>
      <w:snapToGrid/>
      <w:jc w:val="lowKashida"/>
    </w:pPr>
    <w:rPr>
      <w:rFonts w:eastAsia="PMingLiU" w:cs="Simplified Arabic"/>
      <w:i/>
      <w:iCs/>
      <w:color w:val="000000"/>
      <w:szCs w:val="22"/>
      <w:lang w:val="en-US"/>
    </w:rPr>
  </w:style>
  <w:style w:type="character" w:customStyle="1" w:styleId="CitationCar">
    <w:name w:val="Citation Car"/>
    <w:basedOn w:val="Policepardfaut"/>
    <w:link w:val="Citation"/>
    <w:uiPriority w:val="29"/>
    <w:rsid w:val="00D005FA"/>
    <w:rPr>
      <w:rFonts w:ascii="Times New Roman" w:eastAsia="PMingLiU" w:hAnsi="Times New Roman" w:cs="Simplified Arabic"/>
      <w:i/>
      <w:iCs/>
      <w:color w:val="000000"/>
      <w:sz w:val="20"/>
      <w:lang w:val="en-US" w:eastAsia="en-US"/>
    </w:rPr>
  </w:style>
  <w:style w:type="paragraph" w:styleId="Citationintense">
    <w:name w:val="Intense Quote"/>
    <w:basedOn w:val="Normal"/>
    <w:next w:val="Normal"/>
    <w:link w:val="CitationintenseCar"/>
    <w:uiPriority w:val="30"/>
    <w:rsid w:val="00D005FA"/>
    <w:pPr>
      <w:pBdr>
        <w:bottom w:val="single" w:sz="4" w:space="4" w:color="4F81BD"/>
      </w:pBdr>
      <w:suppressAutoHyphens w:val="0"/>
      <w:kinsoku/>
      <w:overflowPunct/>
      <w:autoSpaceDE/>
      <w:autoSpaceDN/>
      <w:bidi/>
      <w:adjustRightInd/>
      <w:snapToGrid/>
      <w:spacing w:before="200" w:after="280"/>
      <w:ind w:left="936" w:right="936"/>
      <w:jc w:val="lowKashida"/>
    </w:pPr>
    <w:rPr>
      <w:rFonts w:eastAsia="PMingLiU" w:cs="Simplified Arabic"/>
      <w:b/>
      <w:bCs/>
      <w:i/>
      <w:iCs/>
      <w:color w:val="4F81BD"/>
      <w:szCs w:val="22"/>
      <w:lang w:val="en-US"/>
    </w:rPr>
  </w:style>
  <w:style w:type="character" w:customStyle="1" w:styleId="CitationintenseCar">
    <w:name w:val="Citation intense Car"/>
    <w:basedOn w:val="Policepardfaut"/>
    <w:link w:val="Citationintense"/>
    <w:uiPriority w:val="30"/>
    <w:rsid w:val="00D005FA"/>
    <w:rPr>
      <w:rFonts w:ascii="Times New Roman" w:eastAsia="PMingLiU" w:hAnsi="Times New Roman" w:cs="Simplified Arabic"/>
      <w:b/>
      <w:bCs/>
      <w:i/>
      <w:iCs/>
      <w:color w:val="4F81BD"/>
      <w:sz w:val="20"/>
      <w:lang w:val="en-US" w:eastAsia="en-US"/>
    </w:rPr>
  </w:style>
  <w:style w:type="character" w:styleId="Rfrencelgre">
    <w:name w:val="Subtle Reference"/>
    <w:uiPriority w:val="31"/>
    <w:rsid w:val="00D005FA"/>
    <w:rPr>
      <w:smallCaps/>
      <w:color w:val="C0504D"/>
      <w:u w:val="single"/>
    </w:rPr>
  </w:style>
  <w:style w:type="character" w:styleId="Rfrenceintense">
    <w:name w:val="Intense Reference"/>
    <w:uiPriority w:val="32"/>
    <w:rsid w:val="00D005FA"/>
    <w:rPr>
      <w:b/>
      <w:bCs/>
      <w:smallCaps/>
      <w:color w:val="C0504D"/>
      <w:spacing w:val="5"/>
      <w:u w:val="single"/>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005FA"/>
    <w:pPr>
      <w:suppressAutoHyphens w:val="0"/>
      <w:kinsoku/>
      <w:overflowPunct/>
      <w:autoSpaceDE/>
      <w:autoSpaceDN/>
      <w:bidi/>
      <w:adjustRightInd/>
      <w:snapToGrid/>
      <w:ind w:left="720"/>
      <w:jc w:val="lowKashida"/>
    </w:pPr>
    <w:rPr>
      <w:rFonts w:eastAsia="PMingLiU" w:cs="Simplified Arabic"/>
      <w:szCs w:val="22"/>
      <w:lang w:val="en-US"/>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qFormat/>
    <w:rsid w:val="00D005FA"/>
    <w:rPr>
      <w:rFonts w:ascii="Times New Roman" w:eastAsia="PMingLiU" w:hAnsi="Times New Roman" w:cs="Simplified Arabic"/>
      <w:sz w:val="20"/>
      <w:lang w:val="en-US" w:eastAsia="en-US"/>
    </w:rPr>
  </w:style>
  <w:style w:type="table" w:styleId="Tramemoyenne1-Accent4">
    <w:name w:val="Medium Shading 1 Accent 4"/>
    <w:basedOn w:val="TableauNormal"/>
    <w:uiPriority w:val="63"/>
    <w:rsid w:val="00D005FA"/>
    <w:pPr>
      <w:spacing w:after="0" w:line="240" w:lineRule="auto"/>
    </w:pPr>
    <w:rPr>
      <w:rFonts w:ascii="Calibri" w:eastAsia="PMingLiU" w:hAnsi="Calibri" w:cs="Arial"/>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M1">
    <w:name w:val="toc 1"/>
    <w:basedOn w:val="Normal"/>
    <w:link w:val="TM1Car"/>
    <w:autoRedefine/>
    <w:uiPriority w:val="39"/>
    <w:unhideWhenUsed/>
    <w:rsid w:val="00D005FA"/>
    <w:pPr>
      <w:tabs>
        <w:tab w:val="left" w:leader="dot" w:pos="8337"/>
        <w:tab w:val="right" w:pos="9639"/>
      </w:tabs>
      <w:kinsoku/>
      <w:overflowPunct/>
      <w:autoSpaceDE/>
      <w:autoSpaceDN/>
      <w:bidi/>
      <w:adjustRightInd/>
      <w:snapToGrid/>
      <w:spacing w:before="120" w:line="340" w:lineRule="exact"/>
      <w:ind w:left="820" w:right="1302"/>
      <w:jc w:val="lowKashida"/>
    </w:pPr>
    <w:rPr>
      <w:rFonts w:eastAsia="PMingLiU" w:cs="Simplified Arabic"/>
      <w:noProof/>
      <w:lang w:eastAsia="zh-TW" w:bidi="ar-EG"/>
    </w:rPr>
  </w:style>
  <w:style w:type="character" w:customStyle="1" w:styleId="TM1Car">
    <w:name w:val="TM 1 Car"/>
    <w:basedOn w:val="Policepardfaut"/>
    <w:link w:val="TM1"/>
    <w:uiPriority w:val="39"/>
    <w:rsid w:val="00D005FA"/>
    <w:rPr>
      <w:rFonts w:ascii="Times New Roman" w:eastAsia="PMingLiU" w:hAnsi="Times New Roman" w:cs="Simplified Arabic"/>
      <w:noProof/>
      <w:sz w:val="20"/>
      <w:szCs w:val="20"/>
      <w:lang w:eastAsia="zh-TW" w:bidi="ar-EG"/>
    </w:rPr>
  </w:style>
  <w:style w:type="paragraph" w:styleId="TM2">
    <w:name w:val="toc 2"/>
    <w:basedOn w:val="Normal"/>
    <w:link w:val="TM2Car"/>
    <w:autoRedefine/>
    <w:uiPriority w:val="39"/>
    <w:unhideWhenUsed/>
    <w:rsid w:val="00D005FA"/>
    <w:pPr>
      <w:tabs>
        <w:tab w:val="left" w:pos="1843"/>
        <w:tab w:val="left" w:pos="2206"/>
        <w:tab w:val="left" w:leader="dot" w:pos="7467"/>
        <w:tab w:val="left" w:pos="7972"/>
        <w:tab w:val="right" w:pos="9639"/>
      </w:tabs>
      <w:kinsoku/>
      <w:overflowPunct/>
      <w:autoSpaceDE/>
      <w:autoSpaceDN/>
      <w:bidi/>
      <w:adjustRightInd/>
      <w:snapToGrid/>
      <w:spacing w:line="340" w:lineRule="exact"/>
      <w:ind w:left="2205" w:right="2206" w:hanging="680"/>
      <w:jc w:val="lowKashida"/>
    </w:pPr>
    <w:rPr>
      <w:rFonts w:eastAsia="PMingLiU" w:cs="Simplified Arabic"/>
      <w:noProof/>
    </w:rPr>
  </w:style>
  <w:style w:type="character" w:customStyle="1" w:styleId="TM2Car">
    <w:name w:val="TM 2 Car"/>
    <w:basedOn w:val="Policepardfaut"/>
    <w:link w:val="TM2"/>
    <w:uiPriority w:val="39"/>
    <w:rsid w:val="00D005FA"/>
    <w:rPr>
      <w:rFonts w:ascii="Times New Roman" w:eastAsia="PMingLiU" w:hAnsi="Times New Roman" w:cs="Simplified Arabic"/>
      <w:noProof/>
      <w:sz w:val="20"/>
      <w:szCs w:val="20"/>
      <w:lang w:eastAsia="en-US"/>
    </w:rPr>
  </w:style>
  <w:style w:type="paragraph" w:styleId="TM3">
    <w:name w:val="toc 3"/>
    <w:basedOn w:val="TM2"/>
    <w:next w:val="Normal"/>
    <w:link w:val="TM3Car"/>
    <w:autoRedefine/>
    <w:uiPriority w:val="39"/>
    <w:unhideWhenUsed/>
    <w:rsid w:val="00D005FA"/>
    <w:pPr>
      <w:tabs>
        <w:tab w:val="clear" w:pos="1843"/>
        <w:tab w:val="clear" w:pos="2206"/>
        <w:tab w:val="left" w:pos="2325"/>
      </w:tabs>
      <w:suppressAutoHyphens w:val="0"/>
      <w:ind w:left="2886"/>
    </w:pPr>
    <w:rPr>
      <w:lang w:bidi="ar-EG"/>
    </w:rPr>
  </w:style>
  <w:style w:type="character" w:customStyle="1" w:styleId="TM3Car">
    <w:name w:val="TM 3 Car"/>
    <w:basedOn w:val="TM2Car"/>
    <w:link w:val="TM3"/>
    <w:uiPriority w:val="39"/>
    <w:rsid w:val="00D005FA"/>
    <w:rPr>
      <w:rFonts w:ascii="Times New Roman" w:eastAsia="PMingLiU" w:hAnsi="Times New Roman" w:cs="Simplified Arabic"/>
      <w:noProof/>
      <w:sz w:val="20"/>
      <w:szCs w:val="20"/>
      <w:lang w:eastAsia="en-US" w:bidi="ar-EG"/>
    </w:rPr>
  </w:style>
  <w:style w:type="character" w:customStyle="1" w:styleId="PagesNumbers">
    <w:name w:val="Pages Numbers"/>
    <w:uiPriority w:val="1"/>
    <w:qFormat/>
    <w:rsid w:val="00D005FA"/>
    <w:rPr>
      <w:rFonts w:eastAsia="DengXian"/>
      <w:color w:val="auto"/>
      <w:sz w:val="20"/>
      <w:szCs w:val="20"/>
      <w:u w:val="none"/>
      <w:lang w:eastAsia="zh-CN" w:bidi="ar-EG"/>
    </w:rPr>
  </w:style>
  <w:style w:type="paragraph" w:styleId="TM4">
    <w:name w:val="toc 4"/>
    <w:basedOn w:val="Normal"/>
    <w:link w:val="TM4Car"/>
    <w:autoRedefine/>
    <w:uiPriority w:val="39"/>
    <w:unhideWhenUsed/>
    <w:rsid w:val="00D005FA"/>
    <w:pPr>
      <w:tabs>
        <w:tab w:val="right" w:pos="1021"/>
        <w:tab w:val="left" w:pos="1077"/>
        <w:tab w:val="left" w:pos="1525"/>
        <w:tab w:val="left" w:leader="dot" w:pos="9065"/>
        <w:tab w:val="right" w:pos="9639"/>
      </w:tabs>
      <w:kinsoku/>
      <w:overflowPunct/>
      <w:autoSpaceDE/>
      <w:autoSpaceDN/>
      <w:bidi/>
      <w:adjustRightInd/>
      <w:snapToGrid/>
      <w:spacing w:before="120" w:line="340" w:lineRule="exact"/>
      <w:ind w:left="1525" w:right="567" w:hanging="1525"/>
      <w:jc w:val="lowKashida"/>
    </w:pPr>
    <w:rPr>
      <w:rFonts w:eastAsia="PMingLiU" w:cs="Simplified Arabic"/>
      <w:noProof/>
      <w:lang w:val="en-GB"/>
    </w:rPr>
  </w:style>
  <w:style w:type="character" w:customStyle="1" w:styleId="TM4Car">
    <w:name w:val="TM 4 Car"/>
    <w:basedOn w:val="Policepardfaut"/>
    <w:link w:val="TM4"/>
    <w:uiPriority w:val="39"/>
    <w:rsid w:val="00D005FA"/>
    <w:rPr>
      <w:rFonts w:ascii="Times New Roman" w:eastAsia="PMingLiU" w:hAnsi="Times New Roman" w:cs="Simplified Arabic"/>
      <w:noProof/>
      <w:sz w:val="20"/>
      <w:szCs w:val="20"/>
      <w:lang w:val="en-GB" w:eastAsia="en-US"/>
    </w:rPr>
  </w:style>
  <w:style w:type="paragraph" w:styleId="TM5">
    <w:name w:val="toc 5"/>
    <w:basedOn w:val="Normal"/>
    <w:link w:val="TM5Car"/>
    <w:autoRedefine/>
    <w:uiPriority w:val="39"/>
    <w:unhideWhenUsed/>
    <w:rsid w:val="00D005FA"/>
    <w:pPr>
      <w:tabs>
        <w:tab w:val="left" w:pos="1843"/>
        <w:tab w:val="left" w:pos="2206"/>
        <w:tab w:val="left" w:leader="dot" w:pos="9065"/>
        <w:tab w:val="right" w:pos="9639"/>
      </w:tabs>
      <w:kinsoku/>
      <w:overflowPunct/>
      <w:autoSpaceDE/>
      <w:autoSpaceDN/>
      <w:bidi/>
      <w:adjustRightInd/>
      <w:snapToGrid/>
      <w:spacing w:line="340" w:lineRule="exact"/>
      <w:ind w:left="2205" w:right="567" w:hanging="680"/>
      <w:jc w:val="lowKashida"/>
    </w:pPr>
    <w:rPr>
      <w:rFonts w:eastAsia="PMingLiU" w:cs="Simplified Arabic"/>
      <w:noProof/>
      <w:lang w:val="en-GB"/>
    </w:rPr>
  </w:style>
  <w:style w:type="character" w:customStyle="1" w:styleId="TM5Car">
    <w:name w:val="TM 5 Car"/>
    <w:basedOn w:val="Policepardfaut"/>
    <w:link w:val="TM5"/>
    <w:uiPriority w:val="39"/>
    <w:rsid w:val="00D005FA"/>
    <w:rPr>
      <w:rFonts w:ascii="Times New Roman" w:eastAsia="PMingLiU" w:hAnsi="Times New Roman" w:cs="Simplified Arabic"/>
      <w:noProof/>
      <w:sz w:val="20"/>
      <w:szCs w:val="20"/>
      <w:lang w:val="en-GB" w:eastAsia="en-US"/>
    </w:rPr>
  </w:style>
  <w:style w:type="paragraph" w:styleId="TM6">
    <w:name w:val="toc 6"/>
    <w:basedOn w:val="Normal"/>
    <w:link w:val="TM6Car"/>
    <w:autoRedefine/>
    <w:uiPriority w:val="39"/>
    <w:unhideWhenUsed/>
    <w:rsid w:val="00D005FA"/>
    <w:pPr>
      <w:tabs>
        <w:tab w:val="left" w:pos="2325"/>
        <w:tab w:val="left" w:leader="dot" w:pos="9065"/>
        <w:tab w:val="right" w:pos="9639"/>
      </w:tabs>
      <w:kinsoku/>
      <w:overflowPunct/>
      <w:autoSpaceDE/>
      <w:autoSpaceDN/>
      <w:bidi/>
      <w:adjustRightInd/>
      <w:snapToGrid/>
      <w:spacing w:line="340" w:lineRule="exact"/>
      <w:ind w:left="2886" w:right="567" w:hanging="680"/>
      <w:jc w:val="lowKashida"/>
    </w:pPr>
    <w:rPr>
      <w:rFonts w:eastAsia="PMingLiU" w:cs="Simplified Arabic"/>
      <w:lang w:val="en-GB"/>
    </w:rPr>
  </w:style>
  <w:style w:type="character" w:customStyle="1" w:styleId="TM6Car">
    <w:name w:val="TM 6 Car"/>
    <w:basedOn w:val="Policepardfaut"/>
    <w:link w:val="TM6"/>
    <w:uiPriority w:val="39"/>
    <w:rsid w:val="00D005FA"/>
    <w:rPr>
      <w:rFonts w:ascii="Times New Roman" w:eastAsia="PMingLiU" w:hAnsi="Times New Roman" w:cs="Simplified Arabic"/>
      <w:sz w:val="20"/>
      <w:szCs w:val="20"/>
      <w:lang w:val="en-GB" w:eastAsia="en-US"/>
    </w:rPr>
  </w:style>
  <w:style w:type="paragraph" w:customStyle="1" w:styleId="a">
    <w:name w:val="المحتويات_بلا_فقرات"/>
    <w:rsid w:val="00D005F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lang w:val="en-US" w:eastAsia="en-US"/>
    </w:rPr>
  </w:style>
  <w:style w:type="table" w:customStyle="1" w:styleId="TABLEA">
    <w:name w:val="TABLE_A"/>
    <w:basedOn w:val="TableauNormal"/>
    <w:uiPriority w:val="99"/>
    <w:rsid w:val="00D005FA"/>
    <w:pPr>
      <w:bidi/>
      <w:spacing w:before="80" w:after="80" w:line="320" w:lineRule="exact"/>
      <w:ind w:left="113" w:right="113"/>
      <w:jc w:val="lowKashida"/>
    </w:pPr>
    <w:rPr>
      <w:rFonts w:ascii="Times New Roman" w:eastAsiaTheme="minorEastAsia" w:hAnsi="Times New Roman" w:cs="Traditional Arabic"/>
      <w:sz w:val="18"/>
      <w:szCs w:val="28"/>
      <w:lang w:val="en-US"/>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UnresolvedMention1">
    <w:name w:val="Unresolved Mention1"/>
    <w:basedOn w:val="Policepardfaut"/>
    <w:uiPriority w:val="99"/>
    <w:semiHidden/>
    <w:unhideWhenUsed/>
    <w:rsid w:val="00D005FA"/>
    <w:rPr>
      <w:color w:val="605E5C"/>
      <w:shd w:val="clear" w:color="auto" w:fill="E1DFDD"/>
    </w:rPr>
  </w:style>
  <w:style w:type="paragraph" w:customStyle="1" w:styleId="SessionDate">
    <w:name w:val="Session_Date"/>
    <w:basedOn w:val="Normal"/>
    <w:qFormat/>
    <w:rsid w:val="00D005FA"/>
    <w:pPr>
      <w:suppressAutoHyphens w:val="0"/>
      <w:kinsoku/>
      <w:overflowPunct/>
      <w:autoSpaceDE/>
      <w:autoSpaceDN/>
      <w:bidi/>
      <w:adjustRightInd/>
      <w:snapToGrid/>
      <w:spacing w:before="240" w:after="240" w:line="460" w:lineRule="exact"/>
      <w:ind w:left="1247"/>
      <w:jc w:val="lowKashida"/>
    </w:pPr>
    <w:rPr>
      <w:rFonts w:eastAsia="PMingLiU" w:cs="Simplified Arabic"/>
      <w:b/>
      <w:bCs/>
      <w:sz w:val="32"/>
      <w:szCs w:val="44"/>
      <w:lang w:val="en-US"/>
    </w:rPr>
  </w:style>
  <w:style w:type="paragraph" w:customStyle="1" w:styleId="SessionNumber">
    <w:name w:val="Session_Number"/>
    <w:basedOn w:val="Normal"/>
    <w:qFormat/>
    <w:rsid w:val="00D005FA"/>
    <w:pPr>
      <w:suppressAutoHyphens w:val="0"/>
      <w:kinsoku/>
      <w:overflowPunct/>
      <w:autoSpaceDE/>
      <w:autoSpaceDN/>
      <w:bidi/>
      <w:adjustRightInd/>
      <w:snapToGrid/>
      <w:spacing w:line="480" w:lineRule="exact"/>
      <w:ind w:left="1247"/>
      <w:jc w:val="lowKashida"/>
    </w:pPr>
    <w:rPr>
      <w:rFonts w:eastAsia="PMingLiU" w:cs="Simplified Arabic"/>
      <w:b/>
      <w:bCs/>
      <w:sz w:val="28"/>
      <w:szCs w:val="38"/>
      <w:lang w:val="en-US"/>
    </w:rPr>
  </w:style>
  <w:style w:type="paragraph" w:customStyle="1" w:styleId="CityandYear">
    <w:name w:val="City and Year"/>
    <w:basedOn w:val="SingleTxtGA"/>
    <w:qFormat/>
    <w:rsid w:val="00D005FA"/>
    <w:pPr>
      <w:spacing w:line="480" w:lineRule="exact"/>
    </w:pPr>
    <w:rPr>
      <w:b/>
      <w:bCs/>
      <w:sz w:val="30"/>
      <w:szCs w:val="38"/>
      <w:lang w:eastAsia="ar-SA"/>
    </w:rPr>
  </w:style>
  <w:style w:type="character" w:customStyle="1" w:styleId="SingleTxtGChar">
    <w:name w:val="_ Single Txt_G Char"/>
    <w:link w:val="SingleTxtG"/>
    <w:rsid w:val="00D005FA"/>
    <w:rPr>
      <w:rFonts w:ascii="Times New Roman" w:eastAsiaTheme="minorHAnsi" w:hAnsi="Times New Roman" w:cs="Times New Roman"/>
      <w:sz w:val="20"/>
      <w:szCs w:val="20"/>
      <w:lang w:eastAsia="en-US"/>
    </w:rPr>
  </w:style>
  <w:style w:type="paragraph" w:customStyle="1" w:styleId="FootnoteGA">
    <w:name w:val="_Footnote_GA"/>
    <w:basedOn w:val="Normal"/>
    <w:qFormat/>
    <w:rsid w:val="00D005FA"/>
    <w:pPr>
      <w:kinsoku/>
      <w:overflowPunct/>
      <w:autoSpaceDE/>
      <w:autoSpaceDN/>
      <w:bidi/>
      <w:adjustRightInd/>
      <w:snapToGrid/>
      <w:spacing w:after="60" w:line="280" w:lineRule="exact"/>
      <w:ind w:left="1247" w:right="1247" w:hanging="567"/>
      <w:jc w:val="lowKashida"/>
    </w:pPr>
    <w:rPr>
      <w:rFonts w:eastAsia="PMingLiU" w:cs="Simplified Arabic"/>
      <w:sz w:val="18"/>
      <w:szCs w:val="18"/>
      <w:lang w:val="es-ES_tradnl" w:eastAsia="zh-TW"/>
    </w:rPr>
  </w:style>
  <w:style w:type="paragraph" w:customStyle="1" w:styleId="ReportCHGA">
    <w:name w:val="Report_CH_GA"/>
    <w:basedOn w:val="HChGA"/>
    <w:qFormat/>
    <w:rsid w:val="00D005FA"/>
    <w:rPr>
      <w:sz w:val="44"/>
      <w:szCs w:val="44"/>
      <w:lang w:val="en-US" w:bidi="ar-DZ"/>
    </w:rPr>
  </w:style>
  <w:style w:type="paragraph" w:customStyle="1" w:styleId="FootnoteGA0">
    <w:name w:val="Footnote_GA"/>
    <w:basedOn w:val="Normal"/>
    <w:qFormat/>
    <w:rsid w:val="00D005FA"/>
    <w:pPr>
      <w:suppressAutoHyphens w:val="0"/>
      <w:kinsoku/>
      <w:overflowPunct/>
      <w:autoSpaceDE/>
      <w:autoSpaceDN/>
      <w:bidi/>
      <w:adjustRightInd/>
      <w:snapToGrid/>
      <w:spacing w:after="60" w:line="280" w:lineRule="exact"/>
      <w:ind w:left="1247" w:right="1247" w:hanging="567"/>
      <w:jc w:val="lowKashida"/>
    </w:pPr>
    <w:rPr>
      <w:rFonts w:eastAsia="PMingLiU" w:cs="Simplified Arabic"/>
      <w:sz w:val="18"/>
      <w:szCs w:val="18"/>
      <w:lang w:val="es-ES_tradnl" w:eastAsia="zh-TW"/>
    </w:rPr>
  </w:style>
  <w:style w:type="paragraph" w:customStyle="1" w:styleId="H1">
    <w:name w:val="_ H_1"/>
    <w:basedOn w:val="Normal"/>
    <w:next w:val="SingleTxt"/>
    <w:qFormat/>
    <w:rsid w:val="00D005FA"/>
    <w:pPr>
      <w:keepNext/>
      <w:keepLines/>
      <w:suppressAutoHyphens w:val="0"/>
      <w:kinsoku/>
      <w:overflowPunct/>
      <w:autoSpaceDE/>
      <w:autoSpaceDN/>
      <w:bidi/>
      <w:adjustRightInd/>
      <w:snapToGrid/>
      <w:spacing w:after="120" w:line="400" w:lineRule="exact"/>
      <w:jc w:val="lowKashida"/>
      <w:outlineLvl w:val="0"/>
    </w:pPr>
    <w:rPr>
      <w:rFonts w:eastAsia="PMingLiU" w:cs="Simplified Arabic"/>
      <w:b/>
      <w:bCs/>
      <w:kern w:val="14"/>
      <w:sz w:val="24"/>
      <w:szCs w:val="32"/>
      <w:lang w:val="en-US"/>
    </w:rPr>
  </w:style>
  <w:style w:type="paragraph" w:customStyle="1" w:styleId="SingleTxt">
    <w:name w:val="__Single Txt"/>
    <w:basedOn w:val="SingleTxtG"/>
    <w:qFormat/>
    <w:rsid w:val="00D005FA"/>
    <w:pPr>
      <w:tabs>
        <w:tab w:val="clear" w:pos="2835"/>
      </w:tabs>
      <w:kinsoku/>
      <w:overflowPunct/>
      <w:autoSpaceDE/>
      <w:autoSpaceDN/>
      <w:adjustRightInd/>
      <w:snapToGrid/>
    </w:pPr>
    <w:rPr>
      <w:rFonts w:eastAsia="PMingLiU" w:cs="Simplified Arabic"/>
      <w:lang w:val="en-GB"/>
    </w:rPr>
  </w:style>
  <w:style w:type="paragraph" w:customStyle="1" w:styleId="HCh">
    <w:name w:val="_ H _Ch"/>
    <w:basedOn w:val="H1"/>
    <w:next w:val="SingleTxt"/>
    <w:qFormat/>
    <w:rsid w:val="00D005FA"/>
    <w:pPr>
      <w:spacing w:line="440" w:lineRule="exact"/>
    </w:pPr>
    <w:rPr>
      <w:spacing w:val="-2"/>
      <w:sz w:val="28"/>
      <w:szCs w:val="36"/>
    </w:rPr>
  </w:style>
  <w:style w:type="character" w:styleId="Marquedecommentaire">
    <w:name w:val="annotation reference"/>
    <w:uiPriority w:val="99"/>
    <w:semiHidden/>
    <w:rsid w:val="00D005FA"/>
    <w:rPr>
      <w:sz w:val="6"/>
      <w:szCs w:val="9"/>
    </w:rPr>
  </w:style>
  <w:style w:type="paragraph" w:customStyle="1" w:styleId="HM">
    <w:name w:val="_ H __M"/>
    <w:basedOn w:val="HCh"/>
    <w:next w:val="Normal"/>
    <w:qFormat/>
    <w:rsid w:val="00D005FA"/>
    <w:pPr>
      <w:suppressAutoHyphens/>
      <w:spacing w:line="520" w:lineRule="exact"/>
    </w:pPr>
    <w:rPr>
      <w:spacing w:val="-3"/>
      <w:sz w:val="34"/>
      <w:szCs w:val="48"/>
    </w:rPr>
  </w:style>
  <w:style w:type="paragraph" w:customStyle="1" w:styleId="H23">
    <w:name w:val="_ H_2/3"/>
    <w:basedOn w:val="H1"/>
    <w:next w:val="Normal"/>
    <w:qFormat/>
    <w:rsid w:val="00D005FA"/>
    <w:pPr>
      <w:suppressAutoHyphens/>
      <w:spacing w:line="360" w:lineRule="exact"/>
      <w:outlineLvl w:val="1"/>
    </w:pPr>
    <w:rPr>
      <w:spacing w:val="2"/>
      <w:sz w:val="20"/>
      <w:szCs w:val="28"/>
    </w:rPr>
  </w:style>
  <w:style w:type="paragraph" w:customStyle="1" w:styleId="H4">
    <w:name w:val="_ H_4"/>
    <w:basedOn w:val="Normal"/>
    <w:next w:val="Normal"/>
    <w:qFormat/>
    <w:rsid w:val="00D005FA"/>
    <w:pPr>
      <w:keepNext/>
      <w:keepLines/>
      <w:suppressAutoHyphens w:val="0"/>
      <w:kinsoku/>
      <w:overflowPunct/>
      <w:autoSpaceDE/>
      <w:autoSpaceDN/>
      <w:bidi/>
      <w:adjustRightInd/>
      <w:snapToGrid/>
      <w:spacing w:after="120" w:line="360" w:lineRule="exact"/>
      <w:jc w:val="lowKashida"/>
      <w:outlineLvl w:val="3"/>
    </w:pPr>
    <w:rPr>
      <w:rFonts w:eastAsia="PMingLiU" w:cs="Simplified Arabic"/>
      <w:i/>
      <w:iCs/>
      <w:kern w:val="14"/>
      <w:szCs w:val="28"/>
      <w:lang w:val="en-US"/>
    </w:rPr>
  </w:style>
  <w:style w:type="paragraph" w:customStyle="1" w:styleId="H56">
    <w:name w:val="_ H_5/6"/>
    <w:basedOn w:val="Normal"/>
    <w:next w:val="Normal"/>
    <w:qFormat/>
    <w:rsid w:val="00D005FA"/>
    <w:pPr>
      <w:keepNext/>
      <w:keepLines/>
      <w:suppressAutoHyphens w:val="0"/>
      <w:kinsoku/>
      <w:overflowPunct/>
      <w:autoSpaceDE/>
      <w:autoSpaceDN/>
      <w:bidi/>
      <w:adjustRightInd/>
      <w:snapToGrid/>
      <w:spacing w:after="120" w:line="360" w:lineRule="exact"/>
      <w:jc w:val="lowKashida"/>
      <w:outlineLvl w:val="4"/>
    </w:pPr>
    <w:rPr>
      <w:rFonts w:eastAsia="PMingLiU" w:cs="Simplified Arabic"/>
      <w:kern w:val="14"/>
      <w:szCs w:val="28"/>
      <w:lang w:val="en-US"/>
    </w:rPr>
  </w:style>
  <w:style w:type="paragraph" w:customStyle="1" w:styleId="DualTxt">
    <w:name w:val="__Dual Txt"/>
    <w:basedOn w:val="Normal"/>
    <w:qFormat/>
    <w:rsid w:val="00D005FA"/>
    <w:pPr>
      <w:tabs>
        <w:tab w:val="left" w:pos="662"/>
        <w:tab w:val="left" w:pos="1325"/>
        <w:tab w:val="left" w:pos="1987"/>
        <w:tab w:val="left" w:pos="2650"/>
        <w:tab w:val="left" w:pos="3312"/>
        <w:tab w:val="left" w:pos="3974"/>
        <w:tab w:val="left" w:pos="4637"/>
      </w:tabs>
      <w:suppressAutoHyphens w:val="0"/>
      <w:kinsoku/>
      <w:overflowPunct/>
      <w:autoSpaceDE/>
      <w:autoSpaceDN/>
      <w:bidi/>
      <w:adjustRightInd/>
      <w:snapToGrid/>
      <w:spacing w:after="120" w:line="360" w:lineRule="exact"/>
      <w:jc w:val="lowKashida"/>
    </w:pPr>
    <w:rPr>
      <w:rFonts w:eastAsia="PMingLiU" w:cs="Simplified Arabic"/>
      <w:kern w:val="14"/>
      <w:szCs w:val="28"/>
      <w:lang w:val="en-US"/>
    </w:rPr>
  </w:style>
  <w:style w:type="paragraph" w:customStyle="1" w:styleId="JDualTxt">
    <w:name w:val="J__Dual Txt"/>
    <w:basedOn w:val="Normal"/>
    <w:qFormat/>
    <w:rsid w:val="00D005FA"/>
    <w:pPr>
      <w:keepNext/>
      <w:tabs>
        <w:tab w:val="left" w:pos="475"/>
        <w:tab w:val="left" w:pos="950"/>
        <w:tab w:val="left" w:pos="1426"/>
        <w:tab w:val="left" w:pos="1901"/>
        <w:tab w:val="center" w:pos="2563"/>
        <w:tab w:val="right" w:pos="5040"/>
      </w:tabs>
      <w:suppressAutoHyphens w:val="0"/>
      <w:kinsoku/>
      <w:overflowPunct/>
      <w:autoSpaceDE/>
      <w:autoSpaceDN/>
      <w:bidi/>
      <w:adjustRightInd/>
      <w:snapToGrid/>
      <w:spacing w:after="80" w:line="300" w:lineRule="exact"/>
      <w:jc w:val="lowKashida"/>
    </w:pPr>
    <w:rPr>
      <w:rFonts w:eastAsia="PMingLiU" w:cs="Simplified Arabic"/>
      <w:kern w:val="14"/>
      <w:sz w:val="17"/>
      <w:szCs w:val="26"/>
      <w:lang w:val="en-US"/>
    </w:rPr>
  </w:style>
  <w:style w:type="paragraph" w:customStyle="1" w:styleId="JSingleTxt">
    <w:name w:val="J__Single Txt"/>
    <w:basedOn w:val="Normal"/>
    <w:qFormat/>
    <w:rsid w:val="00D005FA"/>
    <w:pPr>
      <w:keepNext/>
      <w:tabs>
        <w:tab w:val="left" w:pos="1843"/>
        <w:tab w:val="left" w:pos="2419"/>
        <w:tab w:val="left" w:pos="2995"/>
        <w:tab w:val="left" w:pos="3571"/>
        <w:tab w:val="left" w:pos="4147"/>
        <w:tab w:val="left" w:pos="4723"/>
        <w:tab w:val="center" w:pos="5486"/>
        <w:tab w:val="right" w:pos="9547"/>
      </w:tabs>
      <w:suppressAutoHyphens w:val="0"/>
      <w:kinsoku/>
      <w:overflowPunct/>
      <w:autoSpaceDE/>
      <w:autoSpaceDN/>
      <w:bidi/>
      <w:adjustRightInd/>
      <w:snapToGrid/>
      <w:spacing w:after="80" w:line="300" w:lineRule="exact"/>
      <w:jc w:val="lowKashida"/>
    </w:pPr>
    <w:rPr>
      <w:rFonts w:eastAsia="PMingLiU" w:cs="Simplified Arabic"/>
      <w:kern w:val="14"/>
      <w:sz w:val="17"/>
      <w:szCs w:val="26"/>
      <w:lang w:val="en-US"/>
    </w:rPr>
  </w:style>
  <w:style w:type="paragraph" w:customStyle="1" w:styleId="JCH">
    <w:name w:val="J_C_H"/>
    <w:basedOn w:val="JSingleTxt"/>
    <w:qFormat/>
    <w:rsid w:val="00D005FA"/>
    <w:pPr>
      <w:spacing w:after="120" w:line="440" w:lineRule="exact"/>
      <w:jc w:val="center"/>
    </w:pPr>
    <w:rPr>
      <w:b/>
      <w:bCs/>
      <w:sz w:val="25"/>
      <w:szCs w:val="38"/>
    </w:rPr>
  </w:style>
  <w:style w:type="paragraph" w:customStyle="1" w:styleId="JH1">
    <w:name w:val="J_H_1"/>
    <w:basedOn w:val="JCH"/>
    <w:qFormat/>
    <w:rsid w:val="00D005FA"/>
    <w:pPr>
      <w:spacing w:line="420" w:lineRule="exact"/>
    </w:pPr>
    <w:rPr>
      <w:sz w:val="23"/>
      <w:szCs w:val="34"/>
    </w:rPr>
  </w:style>
  <w:style w:type="paragraph" w:customStyle="1" w:styleId="JH2">
    <w:name w:val="J_H_2"/>
    <w:basedOn w:val="JH1"/>
    <w:qFormat/>
    <w:rsid w:val="00D005FA"/>
    <w:pPr>
      <w:spacing w:line="400" w:lineRule="exact"/>
    </w:pPr>
    <w:rPr>
      <w:sz w:val="20"/>
      <w:szCs w:val="30"/>
    </w:rPr>
  </w:style>
  <w:style w:type="paragraph" w:customStyle="1" w:styleId="JSmall">
    <w:name w:val="J_Small"/>
    <w:basedOn w:val="JSingleTxt"/>
    <w:next w:val="JSingleTxt"/>
    <w:qFormat/>
    <w:rsid w:val="00D005F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005FA"/>
    <w:pPr>
      <w:tabs>
        <w:tab w:val="right" w:leader="dot" w:pos="360"/>
      </w:tabs>
      <w:suppressAutoHyphens w:val="0"/>
      <w:kinsoku/>
      <w:overflowPunct/>
      <w:autoSpaceDE/>
      <w:autoSpaceDN/>
      <w:bidi/>
      <w:adjustRightInd/>
      <w:snapToGrid/>
      <w:spacing w:line="310" w:lineRule="exact"/>
      <w:jc w:val="right"/>
    </w:pPr>
    <w:rPr>
      <w:rFonts w:eastAsia="PMingLiU" w:cs="Simplified Arabic"/>
      <w:spacing w:val="5"/>
      <w:w w:val="104"/>
      <w:kern w:val="14"/>
      <w:sz w:val="17"/>
      <w:szCs w:val="25"/>
      <w:lang w:val="en-US"/>
    </w:rPr>
  </w:style>
  <w:style w:type="character" w:styleId="Numrodeligne">
    <w:name w:val="line number"/>
    <w:qFormat/>
    <w:rsid w:val="00D005FA"/>
    <w:rPr>
      <w:sz w:val="14"/>
      <w:szCs w:val="16"/>
    </w:rPr>
  </w:style>
  <w:style w:type="paragraph" w:customStyle="1" w:styleId="SmallX">
    <w:name w:val="SmallX"/>
    <w:basedOn w:val="Small"/>
    <w:next w:val="Normal"/>
    <w:qFormat/>
    <w:rsid w:val="00D005FA"/>
    <w:pPr>
      <w:spacing w:line="240" w:lineRule="exact"/>
    </w:pPr>
    <w:rPr>
      <w:spacing w:val="6"/>
      <w:w w:val="106"/>
      <w:sz w:val="14"/>
      <w:szCs w:val="21"/>
    </w:rPr>
  </w:style>
  <w:style w:type="paragraph" w:customStyle="1" w:styleId="XLarge">
    <w:name w:val="XLarge"/>
    <w:basedOn w:val="HM"/>
    <w:qFormat/>
    <w:rsid w:val="00D005F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005FA"/>
    <w:pPr>
      <w:spacing w:line="820" w:lineRule="exact"/>
    </w:pPr>
    <w:rPr>
      <w:spacing w:val="-8"/>
      <w:w w:val="96"/>
      <w:sz w:val="57"/>
      <w:szCs w:val="86"/>
    </w:rPr>
  </w:style>
  <w:style w:type="paragraph" w:customStyle="1" w:styleId="Distribution">
    <w:name w:val="Distribution"/>
    <w:basedOn w:val="Normal"/>
    <w:next w:val="Normal"/>
    <w:qFormat/>
    <w:rsid w:val="00D005FA"/>
    <w:pPr>
      <w:tabs>
        <w:tab w:val="left" w:pos="662"/>
        <w:tab w:val="left" w:pos="1267"/>
        <w:tab w:val="left" w:pos="1987"/>
        <w:tab w:val="left" w:pos="2650"/>
      </w:tabs>
      <w:suppressAutoHyphens w:val="0"/>
      <w:kinsoku/>
      <w:overflowPunct/>
      <w:autoSpaceDE/>
      <w:autoSpaceDN/>
      <w:bidi/>
      <w:adjustRightInd/>
      <w:snapToGrid/>
      <w:spacing w:line="240" w:lineRule="exact"/>
      <w:jc w:val="lowKashida"/>
    </w:pPr>
    <w:rPr>
      <w:rFonts w:eastAsia="PMingLiU" w:cs="Simplified Arabic"/>
      <w:kern w:val="14"/>
      <w:szCs w:val="28"/>
      <w:lang w:val="en-US"/>
    </w:rPr>
  </w:style>
  <w:style w:type="paragraph" w:customStyle="1" w:styleId="Publication">
    <w:name w:val="Publication"/>
    <w:basedOn w:val="Normal"/>
    <w:next w:val="Normal"/>
    <w:qFormat/>
    <w:rsid w:val="00D005FA"/>
    <w:pPr>
      <w:tabs>
        <w:tab w:val="left" w:pos="662"/>
        <w:tab w:val="left" w:pos="1267"/>
        <w:tab w:val="left" w:pos="1987"/>
        <w:tab w:val="left" w:pos="2650"/>
      </w:tabs>
      <w:suppressAutoHyphens w:val="0"/>
      <w:kinsoku/>
      <w:overflowPunct/>
      <w:autoSpaceDE/>
      <w:autoSpaceDN/>
      <w:bidi/>
      <w:adjustRightInd/>
      <w:snapToGrid/>
      <w:spacing w:line="240" w:lineRule="exact"/>
      <w:jc w:val="lowKashida"/>
    </w:pPr>
    <w:rPr>
      <w:rFonts w:eastAsia="PMingLiU" w:cs="Simplified Arabic"/>
      <w:kern w:val="14"/>
      <w:szCs w:val="28"/>
      <w:lang w:val="en-US"/>
    </w:rPr>
  </w:style>
  <w:style w:type="paragraph" w:customStyle="1" w:styleId="Original">
    <w:name w:val="Original"/>
    <w:basedOn w:val="Normal"/>
    <w:next w:val="Normal"/>
    <w:qFormat/>
    <w:rsid w:val="00D005FA"/>
    <w:pPr>
      <w:tabs>
        <w:tab w:val="left" w:pos="662"/>
        <w:tab w:val="left" w:pos="1267"/>
        <w:tab w:val="left" w:pos="1987"/>
        <w:tab w:val="left" w:pos="2650"/>
      </w:tabs>
      <w:suppressAutoHyphens w:val="0"/>
      <w:kinsoku/>
      <w:overflowPunct/>
      <w:autoSpaceDE/>
      <w:autoSpaceDN/>
      <w:bidi/>
      <w:adjustRightInd/>
      <w:snapToGrid/>
      <w:spacing w:line="240" w:lineRule="exact"/>
      <w:jc w:val="lowKashida"/>
    </w:pPr>
    <w:rPr>
      <w:rFonts w:eastAsia="PMingLiU" w:cs="Simplified Arabic"/>
      <w:kern w:val="14"/>
      <w:szCs w:val="28"/>
      <w:lang w:val="en-US"/>
    </w:rPr>
  </w:style>
  <w:style w:type="paragraph" w:customStyle="1" w:styleId="ReleaseDate">
    <w:name w:val="Release Date"/>
    <w:next w:val="Pieddepage"/>
    <w:qFormat/>
    <w:rsid w:val="00D005FA"/>
    <w:pPr>
      <w:tabs>
        <w:tab w:val="center" w:pos="4320"/>
        <w:tab w:val="right" w:pos="8640"/>
      </w:tabs>
      <w:spacing w:after="0" w:line="210" w:lineRule="exact"/>
      <w:jc w:val="right"/>
    </w:pPr>
    <w:rPr>
      <w:rFonts w:ascii="Times New Roman" w:eastAsia="PMingLiU" w:hAnsi="Times New Roman" w:cs="Simplified Arabic"/>
      <w:w w:val="103"/>
      <w:kern w:val="14"/>
      <w:sz w:val="20"/>
      <w:szCs w:val="30"/>
      <w:lang w:val="en-US" w:eastAsia="en-US"/>
    </w:rPr>
  </w:style>
  <w:style w:type="paragraph" w:customStyle="1" w:styleId="Session">
    <w:name w:val="Session"/>
    <w:basedOn w:val="H23"/>
    <w:qFormat/>
    <w:rsid w:val="00D005FA"/>
    <w:pPr>
      <w:tabs>
        <w:tab w:val="left" w:pos="662"/>
        <w:tab w:val="left" w:pos="1267"/>
        <w:tab w:val="left" w:pos="1987"/>
        <w:tab w:val="left" w:pos="2650"/>
      </w:tabs>
      <w:spacing w:after="0"/>
      <w:ind w:left="662" w:hanging="662"/>
    </w:pPr>
  </w:style>
  <w:style w:type="paragraph" w:customStyle="1" w:styleId="Committee">
    <w:name w:val="Committee"/>
    <w:basedOn w:val="H1"/>
    <w:qFormat/>
    <w:rsid w:val="00D005FA"/>
    <w:pPr>
      <w:tabs>
        <w:tab w:val="left" w:pos="662"/>
        <w:tab w:val="left" w:pos="1267"/>
        <w:tab w:val="left" w:pos="1987"/>
        <w:tab w:val="left" w:pos="2650"/>
      </w:tabs>
      <w:ind w:right="1264"/>
    </w:pPr>
  </w:style>
  <w:style w:type="paragraph" w:customStyle="1" w:styleId="AgendaItemNormal">
    <w:name w:val="Agenda_Item_Normal"/>
    <w:next w:val="Normal"/>
    <w:qFormat/>
    <w:rsid w:val="00D005FA"/>
    <w:pPr>
      <w:spacing w:after="0" w:line="360" w:lineRule="exact"/>
      <w:jc w:val="both"/>
    </w:pPr>
    <w:rPr>
      <w:rFonts w:ascii="Times New Roman" w:eastAsia="PMingLiU" w:hAnsi="Times New Roman" w:cs="Simplified Arabic"/>
      <w:w w:val="103"/>
      <w:kern w:val="14"/>
      <w:sz w:val="20"/>
      <w:szCs w:val="28"/>
      <w:lang w:val="en-US" w:eastAsia="en-US"/>
    </w:rPr>
  </w:style>
  <w:style w:type="paragraph" w:customStyle="1" w:styleId="Sponsors">
    <w:name w:val="Sponsors"/>
    <w:basedOn w:val="H23"/>
    <w:next w:val="Normal"/>
    <w:qFormat/>
    <w:rsid w:val="00D005F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005F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005FA"/>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val="0"/>
      <w:kinsoku/>
      <w:overflowPunct/>
      <w:autoSpaceDE/>
      <w:autoSpaceDN/>
      <w:bidi/>
      <w:adjustRightInd/>
      <w:snapToGrid/>
      <w:spacing w:after="120" w:line="400" w:lineRule="exact"/>
      <w:ind w:left="1267" w:right="1267" w:hanging="1267"/>
      <w:jc w:val="lowKashida"/>
      <w:outlineLvl w:val="0"/>
    </w:pPr>
    <w:rPr>
      <w:rFonts w:eastAsia="PMingLiU" w:cs="Simplified Arabic"/>
      <w:bCs/>
      <w:kern w:val="14"/>
      <w:sz w:val="24"/>
      <w:szCs w:val="32"/>
      <w:lang w:val="en-US"/>
    </w:rPr>
  </w:style>
  <w:style w:type="paragraph" w:customStyle="1" w:styleId="TitleH2">
    <w:name w:val="Title_H2"/>
    <w:basedOn w:val="H1"/>
    <w:next w:val="Normal"/>
    <w:qFormat/>
    <w:rsid w:val="00D005F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Normal"/>
    <w:qFormat/>
    <w:rsid w:val="00D005FA"/>
    <w:pPr>
      <w:numPr>
        <w:numId w:val="9"/>
      </w:numPr>
      <w:tabs>
        <w:tab w:val="num" w:pos="1292"/>
      </w:tabs>
      <w:suppressAutoHyphens w:val="0"/>
      <w:kinsoku/>
      <w:overflowPunct/>
      <w:autoSpaceDE/>
      <w:autoSpaceDN/>
      <w:bidi/>
      <w:adjustRightInd/>
      <w:snapToGrid/>
      <w:spacing w:after="120" w:line="360" w:lineRule="exact"/>
      <w:ind w:left="1292" w:right="1264" w:hanging="227"/>
      <w:jc w:val="lowKashida"/>
    </w:pPr>
    <w:rPr>
      <w:rFonts w:eastAsia="PMingLiU" w:cs="Simplified Arabic"/>
      <w:kern w:val="14"/>
      <w:szCs w:val="28"/>
      <w:lang w:val="en-US"/>
    </w:rPr>
  </w:style>
  <w:style w:type="paragraph" w:customStyle="1" w:styleId="Bullet2">
    <w:name w:val="Bullet 2"/>
    <w:basedOn w:val="Normal"/>
    <w:qFormat/>
    <w:rsid w:val="00D005FA"/>
    <w:pPr>
      <w:numPr>
        <w:numId w:val="10"/>
      </w:numPr>
      <w:suppressAutoHyphens w:val="0"/>
      <w:kinsoku/>
      <w:overflowPunct/>
      <w:autoSpaceDE/>
      <w:autoSpaceDN/>
      <w:bidi/>
      <w:adjustRightInd/>
      <w:snapToGrid/>
      <w:spacing w:after="120" w:line="360" w:lineRule="exact"/>
      <w:ind w:right="1264"/>
      <w:jc w:val="lowKashida"/>
    </w:pPr>
    <w:rPr>
      <w:rFonts w:eastAsia="PMingLiU" w:cs="Simplified Arabic"/>
      <w:kern w:val="14"/>
      <w:szCs w:val="28"/>
      <w:lang w:val="en-US"/>
    </w:rPr>
  </w:style>
  <w:style w:type="paragraph" w:customStyle="1" w:styleId="Bullet3">
    <w:name w:val="Bullet 3"/>
    <w:basedOn w:val="SingleTxt"/>
    <w:qFormat/>
    <w:rsid w:val="00D005FA"/>
    <w:pPr>
      <w:numPr>
        <w:numId w:val="11"/>
      </w:numPr>
      <w:tabs>
        <w:tab w:val="left" w:pos="1701"/>
        <w:tab w:val="num" w:pos="2495"/>
      </w:tabs>
      <w:ind w:left="2495" w:hanging="545"/>
    </w:pPr>
  </w:style>
  <w:style w:type="paragraph" w:customStyle="1" w:styleId="AgendaTitleH2">
    <w:name w:val="Agenda_Title_H2"/>
    <w:basedOn w:val="H1"/>
    <w:next w:val="Normal"/>
    <w:qFormat/>
    <w:rsid w:val="00D005FA"/>
    <w:pPr>
      <w:ind w:right="5760"/>
      <w:outlineLvl w:val="1"/>
    </w:pPr>
    <w:rPr>
      <w:spacing w:val="2"/>
      <w:sz w:val="20"/>
      <w:szCs w:val="28"/>
    </w:rPr>
  </w:style>
  <w:style w:type="paragraph" w:customStyle="1" w:styleId="STitleM">
    <w:name w:val="S_Title_M"/>
    <w:basedOn w:val="Normal"/>
    <w:next w:val="Normal"/>
    <w:qFormat/>
    <w:rsid w:val="00D005FA"/>
    <w:pPr>
      <w:keepNext/>
      <w:keepLines/>
      <w:tabs>
        <w:tab w:val="left" w:leader="dot" w:pos="360"/>
      </w:tabs>
      <w:suppressAutoHyphens w:val="0"/>
      <w:kinsoku/>
      <w:overflowPunct/>
      <w:autoSpaceDE/>
      <w:autoSpaceDN/>
      <w:bidi/>
      <w:adjustRightInd/>
      <w:snapToGrid/>
      <w:spacing w:line="600" w:lineRule="exact"/>
      <w:ind w:left="1267" w:right="1267"/>
      <w:jc w:val="lowKashida"/>
      <w:outlineLvl w:val="0"/>
    </w:pPr>
    <w:rPr>
      <w:rFonts w:eastAsia="PMingLiU" w:cs="Simplified Arabic"/>
      <w:b/>
      <w:bCs/>
      <w:spacing w:val="-4"/>
      <w:w w:val="98"/>
      <w:kern w:val="14"/>
      <w:sz w:val="60"/>
      <w:szCs w:val="60"/>
      <w:lang w:val="en-US"/>
    </w:rPr>
  </w:style>
  <w:style w:type="paragraph" w:customStyle="1" w:styleId="STitleS">
    <w:name w:val="S_Title_S"/>
    <w:basedOn w:val="HCh"/>
    <w:next w:val="Normal"/>
    <w:qFormat/>
    <w:rsid w:val="00D005FA"/>
    <w:pPr>
      <w:spacing w:line="600" w:lineRule="exact"/>
      <w:ind w:left="1267" w:right="1267"/>
    </w:pPr>
    <w:rPr>
      <w:w w:val="103"/>
      <w:sz w:val="60"/>
      <w:szCs w:val="60"/>
    </w:rPr>
  </w:style>
  <w:style w:type="paragraph" w:customStyle="1" w:styleId="STitleL">
    <w:name w:val="S_Title_L"/>
    <w:basedOn w:val="XLarge"/>
    <w:next w:val="Normal"/>
    <w:qFormat/>
    <w:rsid w:val="00D005FA"/>
    <w:rPr>
      <w:spacing w:val="-8"/>
      <w:w w:val="96"/>
      <w:sz w:val="57"/>
    </w:rPr>
  </w:style>
  <w:style w:type="paragraph" w:styleId="Commentaire">
    <w:name w:val="annotation text"/>
    <w:basedOn w:val="Normal"/>
    <w:link w:val="CommentaireCar"/>
    <w:uiPriority w:val="99"/>
    <w:unhideWhenUsed/>
    <w:rsid w:val="00D005FA"/>
    <w:pPr>
      <w:suppressAutoHyphens w:val="0"/>
      <w:kinsoku/>
      <w:overflowPunct/>
      <w:autoSpaceDE/>
      <w:autoSpaceDN/>
      <w:bidi/>
      <w:adjustRightInd/>
      <w:snapToGrid/>
      <w:spacing w:line="240" w:lineRule="auto"/>
      <w:jc w:val="lowKashida"/>
    </w:pPr>
    <w:rPr>
      <w:rFonts w:eastAsia="PMingLiU" w:cs="Simplified Arabic"/>
      <w:kern w:val="14"/>
      <w:szCs w:val="22"/>
      <w:lang w:val="en-US"/>
    </w:rPr>
  </w:style>
  <w:style w:type="character" w:customStyle="1" w:styleId="CommentaireCar">
    <w:name w:val="Commentaire Car"/>
    <w:basedOn w:val="Policepardfaut"/>
    <w:link w:val="Commentaire"/>
    <w:uiPriority w:val="99"/>
    <w:rsid w:val="00D005FA"/>
    <w:rPr>
      <w:rFonts w:ascii="Times New Roman" w:eastAsia="PMingLiU" w:hAnsi="Times New Roman" w:cs="Simplified Arabic"/>
      <w:kern w:val="14"/>
      <w:sz w:val="20"/>
      <w:lang w:val="en-US" w:eastAsia="en-US"/>
    </w:rPr>
  </w:style>
  <w:style w:type="paragraph" w:styleId="Objetducommentaire">
    <w:name w:val="annotation subject"/>
    <w:basedOn w:val="Commentaire"/>
    <w:next w:val="Commentaire"/>
    <w:link w:val="ObjetducommentaireCar"/>
    <w:uiPriority w:val="99"/>
    <w:semiHidden/>
    <w:unhideWhenUsed/>
    <w:rsid w:val="00D005FA"/>
    <w:rPr>
      <w:b/>
      <w:bCs/>
    </w:rPr>
  </w:style>
  <w:style w:type="character" w:customStyle="1" w:styleId="ObjetducommentaireCar">
    <w:name w:val="Objet du commentaire Car"/>
    <w:basedOn w:val="CommentaireCar"/>
    <w:link w:val="Objetducommentaire"/>
    <w:uiPriority w:val="99"/>
    <w:semiHidden/>
    <w:rsid w:val="00D005FA"/>
    <w:rPr>
      <w:rFonts w:ascii="Times New Roman" w:eastAsia="PMingLiU" w:hAnsi="Times New Roman" w:cs="Simplified Arabic"/>
      <w:b/>
      <w:bCs/>
      <w:kern w:val="14"/>
      <w:sz w:val="20"/>
      <w:lang w:val="en-US" w:eastAsia="en-US"/>
    </w:rPr>
  </w:style>
  <w:style w:type="paragraph" w:customStyle="1" w:styleId="Preparedby">
    <w:name w:val="Prepared by:"/>
    <w:basedOn w:val="H23GA"/>
    <w:qFormat/>
    <w:rsid w:val="00D005FA"/>
    <w:rPr>
      <w:sz w:val="32"/>
      <w:szCs w:val="32"/>
    </w:rPr>
  </w:style>
  <w:style w:type="paragraph" w:customStyle="1" w:styleId="ParaNoG">
    <w:name w:val="_ParaNo._G"/>
    <w:basedOn w:val="SingleTxtG"/>
    <w:rsid w:val="00D005FA"/>
    <w:pPr>
      <w:numPr>
        <w:numId w:val="12"/>
      </w:numPr>
      <w:tabs>
        <w:tab w:val="left" w:pos="1134"/>
      </w:tabs>
      <w:suppressAutoHyphens w:val="0"/>
      <w:kinsoku/>
      <w:overflowPunct/>
      <w:autoSpaceDE/>
      <w:autoSpaceDN/>
      <w:adjustRightInd/>
      <w:snapToGrid/>
    </w:pPr>
    <w:rPr>
      <w:rFonts w:eastAsia="PMingLiU" w:cs="Simplified Arabic" w:hint="cs"/>
      <w:szCs w:val="30"/>
      <w:lang w:val="fr-FR" w:eastAsia="fr-FR"/>
    </w:rPr>
  </w:style>
  <w:style w:type="paragraph" w:styleId="Rvision">
    <w:name w:val="Revision"/>
    <w:hidden/>
    <w:uiPriority w:val="99"/>
    <w:semiHidden/>
    <w:rsid w:val="00D005FA"/>
    <w:pPr>
      <w:spacing w:after="0" w:line="240" w:lineRule="auto"/>
    </w:pPr>
    <w:rPr>
      <w:rFonts w:eastAsiaTheme="minorEastAsia"/>
      <w:sz w:val="24"/>
      <w:szCs w:val="24"/>
      <w:lang w:val="fr-FR" w:eastAsia="fr-FR"/>
    </w:rPr>
  </w:style>
  <w:style w:type="paragraph" w:customStyle="1" w:styleId="Default">
    <w:name w:val="Default"/>
    <w:semiHidden/>
    <w:rsid w:val="00D005F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Policepardfaut"/>
    <w:rsid w:val="00D005FA"/>
  </w:style>
  <w:style w:type="character" w:customStyle="1" w:styleId="preferred">
    <w:name w:val="preferred"/>
    <w:basedOn w:val="Policepardfaut"/>
    <w:rsid w:val="00D005FA"/>
  </w:style>
  <w:style w:type="character" w:customStyle="1" w:styleId="admitted">
    <w:name w:val="admitted"/>
    <w:basedOn w:val="Policepardfaut"/>
    <w:rsid w:val="00D005FA"/>
  </w:style>
  <w:style w:type="paragraph" w:styleId="TM7">
    <w:name w:val="toc 7"/>
    <w:basedOn w:val="Normal"/>
    <w:next w:val="Normal"/>
    <w:autoRedefine/>
    <w:uiPriority w:val="39"/>
    <w:unhideWhenUsed/>
    <w:rsid w:val="00D005FA"/>
    <w:pPr>
      <w:suppressAutoHyphens w:val="0"/>
      <w:kinsoku/>
      <w:overflowPunct/>
      <w:autoSpaceDE/>
      <w:autoSpaceDN/>
      <w:bidi/>
      <w:adjustRightInd/>
      <w:snapToGrid/>
      <w:spacing w:after="100" w:line="259" w:lineRule="auto"/>
      <w:ind w:left="1320"/>
    </w:pPr>
    <w:rPr>
      <w:rFonts w:asciiTheme="minorHAnsi" w:eastAsiaTheme="minorEastAsia" w:hAnsiTheme="minorHAnsi" w:cstheme="minorBidi"/>
      <w:sz w:val="22"/>
      <w:szCs w:val="22"/>
      <w:lang w:val="en-US" w:eastAsia="zh-CN"/>
    </w:rPr>
  </w:style>
  <w:style w:type="paragraph" w:styleId="TM8">
    <w:name w:val="toc 8"/>
    <w:basedOn w:val="Normal"/>
    <w:next w:val="Normal"/>
    <w:autoRedefine/>
    <w:uiPriority w:val="39"/>
    <w:unhideWhenUsed/>
    <w:rsid w:val="00D005FA"/>
    <w:pPr>
      <w:suppressAutoHyphens w:val="0"/>
      <w:kinsoku/>
      <w:overflowPunct/>
      <w:autoSpaceDE/>
      <w:autoSpaceDN/>
      <w:bidi/>
      <w:adjustRightInd/>
      <w:snapToGrid/>
      <w:spacing w:after="100" w:line="259" w:lineRule="auto"/>
      <w:ind w:left="1540"/>
    </w:pPr>
    <w:rPr>
      <w:rFonts w:asciiTheme="minorHAnsi" w:eastAsiaTheme="minorEastAsia" w:hAnsiTheme="minorHAnsi" w:cstheme="minorBidi"/>
      <w:sz w:val="22"/>
      <w:szCs w:val="22"/>
      <w:lang w:val="en-US" w:eastAsia="zh-CN"/>
    </w:rPr>
  </w:style>
  <w:style w:type="paragraph" w:styleId="TM9">
    <w:name w:val="toc 9"/>
    <w:basedOn w:val="Normal"/>
    <w:next w:val="Normal"/>
    <w:autoRedefine/>
    <w:uiPriority w:val="39"/>
    <w:unhideWhenUsed/>
    <w:rsid w:val="00D005FA"/>
    <w:pPr>
      <w:suppressAutoHyphens w:val="0"/>
      <w:kinsoku/>
      <w:overflowPunct/>
      <w:autoSpaceDE/>
      <w:autoSpaceDN/>
      <w:bidi/>
      <w:adjustRightInd/>
      <w:snapToGrid/>
      <w:spacing w:after="100" w:line="259" w:lineRule="auto"/>
      <w:ind w:left="1760"/>
    </w:pPr>
    <w:rPr>
      <w:rFonts w:asciiTheme="minorHAnsi" w:eastAsiaTheme="minorEastAsia" w:hAnsiTheme="minorHAnsi" w:cstheme="minorBidi"/>
      <w:sz w:val="22"/>
      <w:szCs w:val="22"/>
      <w:lang w:val="en-US" w:eastAsia="zh-CN"/>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D005FA"/>
    <w:pPr>
      <w:suppressAutoHyphens w:val="0"/>
      <w:kinsoku/>
      <w:overflowPunct/>
      <w:autoSpaceDE/>
      <w:autoSpaceDN/>
      <w:adjustRightInd/>
      <w:snapToGrid/>
      <w:spacing w:after="160" w:line="240" w:lineRule="exact"/>
    </w:pPr>
    <w:rPr>
      <w:rFonts w:ascii="Calibri" w:eastAsia="Calibri" w:hAnsi="Calibri" w:cs="Arial"/>
      <w:vertAlign w:val="superscript"/>
      <w:lang w:val="en-US"/>
    </w:rPr>
  </w:style>
  <w:style w:type="paragraph" w:customStyle="1" w:styleId="EndNote">
    <w:name w:val="EndNote"/>
    <w:basedOn w:val="Normal"/>
    <w:qFormat/>
    <w:rsid w:val="00D005FA"/>
    <w:pPr>
      <w:tabs>
        <w:tab w:val="right" w:pos="1218"/>
      </w:tabs>
      <w:suppressAutoHyphens w:val="0"/>
      <w:kinsoku/>
      <w:overflowPunct/>
      <w:autoSpaceDE/>
      <w:autoSpaceDN/>
      <w:adjustRightInd/>
      <w:snapToGrid/>
      <w:spacing w:line="215" w:lineRule="exact"/>
      <w:ind w:left="1288" w:right="1247" w:hanging="1288"/>
    </w:pPr>
    <w:rPr>
      <w:rFonts w:eastAsia="PMingLiU"/>
      <w:sz w:val="18"/>
      <w:lang w:val="en-US"/>
    </w:rPr>
  </w:style>
  <w:style w:type="paragraph" w:styleId="Sansinterligne">
    <w:name w:val="No Spacing"/>
    <w:basedOn w:val="Normal"/>
    <w:link w:val="SansinterligneCar"/>
    <w:uiPriority w:val="1"/>
    <w:qFormat/>
    <w:rsid w:val="00D005FA"/>
    <w:pPr>
      <w:suppressAutoHyphens w:val="0"/>
      <w:kinsoku/>
      <w:overflowPunct/>
      <w:autoSpaceDE/>
      <w:autoSpaceDN/>
      <w:bidi/>
      <w:adjustRightInd/>
      <w:snapToGrid/>
      <w:spacing w:line="240" w:lineRule="auto"/>
      <w:jc w:val="both"/>
    </w:pPr>
    <w:rPr>
      <w:rFonts w:ascii="Century Gothic" w:eastAsia="Century Gothic" w:hAnsi="Century Gothic" w:cs="Tahoma"/>
      <w:lang w:val="x-none" w:eastAsia="x-none" w:bidi="en-US"/>
    </w:rPr>
  </w:style>
  <w:style w:type="character" w:customStyle="1" w:styleId="SansinterligneCar">
    <w:name w:val="Sans interligne Car"/>
    <w:link w:val="Sansinterligne"/>
    <w:uiPriority w:val="1"/>
    <w:rsid w:val="00D005FA"/>
    <w:rPr>
      <w:rFonts w:ascii="Century Gothic" w:eastAsia="Century Gothic" w:hAnsi="Century Gothic" w:cs="Tahoma"/>
      <w:sz w:val="20"/>
      <w:szCs w:val="20"/>
      <w:lang w:val="x-none" w:eastAsia="x-none" w:bidi="en-US"/>
    </w:rPr>
  </w:style>
  <w:style w:type="paragraph" w:styleId="NormalWeb">
    <w:name w:val="Normal (Web)"/>
    <w:basedOn w:val="Normal"/>
    <w:uiPriority w:val="99"/>
    <w:unhideWhenUsed/>
    <w:rsid w:val="00D005FA"/>
    <w:pPr>
      <w:suppressAutoHyphens w:val="0"/>
      <w:kinsoku/>
      <w:overflowPunct/>
      <w:autoSpaceDE/>
      <w:autoSpaceDN/>
      <w:bidi/>
      <w:adjustRightInd/>
      <w:snapToGrid/>
      <w:spacing w:before="100" w:beforeAutospacing="1" w:after="100" w:afterAutospacing="1" w:line="240" w:lineRule="auto"/>
      <w:jc w:val="lowKashida"/>
    </w:pPr>
    <w:rPr>
      <w:rFonts w:eastAsia="Times New Roman"/>
      <w:sz w:val="24"/>
      <w:szCs w:val="24"/>
      <w:lang w:val="en-US"/>
    </w:rPr>
  </w:style>
  <w:style w:type="character" w:customStyle="1" w:styleId="apple-converted-space">
    <w:name w:val="apple-converted-space"/>
    <w:basedOn w:val="Policepardfaut"/>
    <w:rsid w:val="00D005FA"/>
  </w:style>
  <w:style w:type="character" w:customStyle="1" w:styleId="CorpsdetexteCar">
    <w:name w:val="Corps de texte Car"/>
    <w:basedOn w:val="Policepardfaut"/>
    <w:link w:val="Corpsdetexte"/>
    <w:semiHidden/>
    <w:rsid w:val="00D005FA"/>
    <w:rPr>
      <w:rFonts w:ascii="Times New Roman" w:hAnsi="Times New Roman" w:cs="Times New Roman"/>
      <w:lang w:val="x-none" w:eastAsia="x-none"/>
    </w:rPr>
  </w:style>
  <w:style w:type="paragraph" w:styleId="Corpsdetexte">
    <w:name w:val="Body Text"/>
    <w:basedOn w:val="Normal"/>
    <w:link w:val="CorpsdetexteCar"/>
    <w:semiHidden/>
    <w:rsid w:val="00D005FA"/>
    <w:pPr>
      <w:suppressAutoHyphens w:val="0"/>
      <w:kinsoku/>
      <w:overflowPunct/>
      <w:autoSpaceDE/>
      <w:autoSpaceDN/>
      <w:bidi/>
      <w:adjustRightInd/>
      <w:snapToGrid/>
      <w:spacing w:line="240" w:lineRule="auto"/>
      <w:jc w:val="lowKashida"/>
    </w:pPr>
    <w:rPr>
      <w:rFonts w:eastAsia="Times New Roman"/>
      <w:sz w:val="22"/>
      <w:szCs w:val="22"/>
      <w:lang w:val="x-none" w:eastAsia="x-none"/>
    </w:rPr>
  </w:style>
  <w:style w:type="character" w:customStyle="1" w:styleId="CorpsdetexteCar1">
    <w:name w:val="Corps de texte Car1"/>
    <w:basedOn w:val="Policepardfaut"/>
    <w:uiPriority w:val="99"/>
    <w:semiHidden/>
    <w:rsid w:val="00D005FA"/>
    <w:rPr>
      <w:rFonts w:ascii="Times New Roman" w:eastAsiaTheme="minorHAnsi" w:hAnsi="Times New Roman" w:cs="Times New Roman"/>
      <w:sz w:val="20"/>
      <w:szCs w:val="20"/>
      <w:lang w:eastAsia="en-US"/>
    </w:rPr>
  </w:style>
  <w:style w:type="paragraph" w:customStyle="1" w:styleId="gmail-msolistparagraph">
    <w:name w:val="gmail-msolistparagraph"/>
    <w:basedOn w:val="Normal"/>
    <w:rsid w:val="00D005FA"/>
    <w:pPr>
      <w:suppressAutoHyphens w:val="0"/>
      <w:kinsoku/>
      <w:overflowPunct/>
      <w:autoSpaceDE/>
      <w:autoSpaceDN/>
      <w:bidi/>
      <w:adjustRightInd/>
      <w:snapToGrid/>
      <w:spacing w:before="100" w:beforeAutospacing="1" w:after="100" w:afterAutospacing="1" w:line="240" w:lineRule="auto"/>
      <w:jc w:val="lowKashida"/>
    </w:pPr>
    <w:rPr>
      <w:rFonts w:eastAsia="PMingLiU"/>
      <w:sz w:val="24"/>
      <w:szCs w:val="24"/>
      <w:lang w:val="en-US"/>
    </w:rPr>
  </w:style>
  <w:style w:type="paragraph" w:customStyle="1" w:styleId="gmail-msonormal">
    <w:name w:val="gmail-msonormal"/>
    <w:basedOn w:val="Normal"/>
    <w:rsid w:val="00D005FA"/>
    <w:pPr>
      <w:suppressAutoHyphens w:val="0"/>
      <w:kinsoku/>
      <w:overflowPunct/>
      <w:autoSpaceDE/>
      <w:autoSpaceDN/>
      <w:bidi/>
      <w:adjustRightInd/>
      <w:snapToGrid/>
      <w:spacing w:before="100" w:beforeAutospacing="1" w:after="100" w:afterAutospacing="1" w:line="240" w:lineRule="auto"/>
      <w:jc w:val="lowKashida"/>
    </w:pPr>
    <w:rPr>
      <w:rFonts w:eastAsia="PMingLiU"/>
      <w:sz w:val="24"/>
      <w:szCs w:val="24"/>
      <w:lang w:val="en-US"/>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uiPriority w:val="99"/>
    <w:rsid w:val="00D005FA"/>
    <w:pPr>
      <w:tabs>
        <w:tab w:val="left" w:pos="900"/>
      </w:tabs>
      <w:suppressAutoHyphens w:val="0"/>
      <w:kinsoku/>
      <w:overflowPunct/>
      <w:autoSpaceDE/>
      <w:autoSpaceDN/>
      <w:bidi/>
      <w:adjustRightInd/>
      <w:snapToGrid/>
      <w:spacing w:after="160" w:line="240" w:lineRule="exact"/>
      <w:jc w:val="both"/>
    </w:pPr>
    <w:rPr>
      <w:rFonts w:eastAsia="Times New Roman"/>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78</Pages>
  <Words>45143</Words>
  <Characters>257317</Characters>
  <Application>Microsoft Office Word</Application>
  <DocSecurity>0</DocSecurity>
  <Lines>2144</Lines>
  <Paragraphs>603</Paragraphs>
  <ScaleCrop>false</ScaleCrop>
  <HeadingPairs>
    <vt:vector size="2" baseType="variant">
      <vt:variant>
        <vt:lpstr>Titre</vt:lpstr>
      </vt:variant>
      <vt:variant>
        <vt:i4>1</vt:i4>
      </vt:variant>
    </vt:vector>
  </HeadingPairs>
  <TitlesOfParts>
    <vt:vector size="1" baseType="lpstr">
      <vt:lpstr>CCPR/C/PSE/1</vt:lpstr>
    </vt:vector>
  </TitlesOfParts>
  <Company>DCM</Company>
  <LinksUpToDate>false</LinksUpToDate>
  <CharactersWithSpaces>301857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CCPR/C/PSE/1</dc:title>
  <dc:subject/>
  <dc:creator>Julien OKRZESIK</dc:creator>
  <cp:keywords/>
  <cp:lastModifiedBy>Julien Okrzesik</cp:lastModifiedBy>
  <cp:revision>3</cp:revision>
  <cp:lastPrinted>2021-12-07T09:35:00Z</cp:lastPrinted>
  <dcterms:created xsi:type="dcterms:W3CDTF">2021-12-07T09:35:00Z</dcterms:created>
  <dcterms:modified xsi:type="dcterms:W3CDTF">2021-12-07T09:36:00Z</dcterms:modified>
</cp:coreProperties>
</file>