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15EE1DF" w14:textId="77777777" w:rsidTr="005B51C4">
        <w:trPr>
          <w:trHeight w:hRule="exact" w:val="851"/>
        </w:trPr>
        <w:tc>
          <w:tcPr>
            <w:tcW w:w="1274" w:type="dxa"/>
            <w:tcBorders>
              <w:bottom w:val="single" w:sz="4" w:space="0" w:color="auto"/>
            </w:tcBorders>
            <w:shd w:val="clear" w:color="auto" w:fill="auto"/>
          </w:tcPr>
          <w:p w14:paraId="2B472A62" w14:textId="77777777" w:rsidR="006B3E27" w:rsidRPr="00C175A6" w:rsidRDefault="006B3E27" w:rsidP="00C504FA">
            <w:pPr>
              <w:kinsoku w:val="0"/>
              <w:overflowPunct w:val="0"/>
              <w:autoSpaceDE w:val="0"/>
              <w:autoSpaceDN w:val="0"/>
              <w:adjustRightInd w:val="0"/>
              <w:snapToGrid w:val="0"/>
              <w:jc w:val="center"/>
              <w:rPr>
                <w:sz w:val="56"/>
                <w:szCs w:val="56"/>
                <w:rtl/>
              </w:rPr>
            </w:pPr>
          </w:p>
        </w:tc>
        <w:tc>
          <w:tcPr>
            <w:tcW w:w="4537" w:type="dxa"/>
            <w:tcBorders>
              <w:bottom w:val="single" w:sz="4" w:space="0" w:color="auto"/>
            </w:tcBorders>
            <w:shd w:val="clear" w:color="auto" w:fill="auto"/>
            <w:vAlign w:val="bottom"/>
          </w:tcPr>
          <w:p w14:paraId="6431BACE"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62D85C6E" w14:textId="61E06DBB" w:rsidR="006B3E27" w:rsidRPr="00030DB4" w:rsidRDefault="00030DB4" w:rsidP="00030DB4">
            <w:pPr>
              <w:bidi w:val="0"/>
              <w:rPr>
                <w:szCs w:val="20"/>
              </w:rPr>
            </w:pPr>
            <w:r w:rsidRPr="00BA42F6">
              <w:rPr>
                <w:sz w:val="40"/>
                <w:szCs w:val="20"/>
              </w:rPr>
              <w:t>CCPR</w:t>
            </w:r>
            <w:r w:rsidRPr="00BA42F6">
              <w:rPr>
                <w:szCs w:val="20"/>
              </w:rPr>
              <w:t>/C/QAT/CO/</w:t>
            </w:r>
            <w:r w:rsidRPr="00FC57D5">
              <w:rPr>
                <w:szCs w:val="20"/>
              </w:rPr>
              <w:t>1</w:t>
            </w:r>
          </w:p>
        </w:tc>
      </w:tr>
      <w:tr w:rsidR="006B3E27" w:rsidRPr="00C175A6" w14:paraId="6BB213FD" w14:textId="77777777" w:rsidTr="005B51C4">
        <w:trPr>
          <w:trHeight w:hRule="exact" w:val="2835"/>
        </w:trPr>
        <w:tc>
          <w:tcPr>
            <w:tcW w:w="1274" w:type="dxa"/>
            <w:tcBorders>
              <w:top w:val="single" w:sz="4" w:space="0" w:color="auto"/>
              <w:bottom w:val="single" w:sz="12" w:space="0" w:color="auto"/>
            </w:tcBorders>
            <w:shd w:val="clear" w:color="auto" w:fill="auto"/>
          </w:tcPr>
          <w:p w14:paraId="500BEFCB"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DBCC786" wp14:editId="0E3F310E">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4FB1908" w14:textId="77777777" w:rsidR="006B3E27" w:rsidRPr="00FC57D5" w:rsidRDefault="00ED7442" w:rsidP="00730446">
            <w:pPr>
              <w:spacing w:before="120" w:after="40" w:line="640" w:lineRule="exact"/>
              <w:ind w:left="57"/>
              <w:rPr>
                <w:b/>
                <w:bCs/>
                <w:sz w:val="46"/>
                <w:szCs w:val="46"/>
              </w:rPr>
            </w:pPr>
            <w:r w:rsidRPr="00FC57D5">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016784F" w14:textId="77777777" w:rsidR="005E157B" w:rsidRPr="005E157B" w:rsidRDefault="005E157B" w:rsidP="005E157B">
            <w:pPr>
              <w:bidi w:val="0"/>
              <w:spacing w:before="240"/>
              <w:jc w:val="left"/>
              <w:rPr>
                <w:rFonts w:eastAsia="Times New Roman" w:cs="Times New Roman"/>
                <w:szCs w:val="20"/>
                <w:lang w:val="en-GB"/>
              </w:rPr>
            </w:pPr>
            <w:r w:rsidRPr="005E157B">
              <w:rPr>
                <w:rFonts w:eastAsia="Times New Roman" w:cs="Times New Roman"/>
                <w:szCs w:val="20"/>
                <w:lang w:val="en-GB"/>
              </w:rPr>
              <w:t>Distr.: General</w:t>
            </w:r>
          </w:p>
          <w:p w14:paraId="59125B7E" w14:textId="77777777" w:rsidR="005E157B" w:rsidRPr="005E157B" w:rsidRDefault="005E157B" w:rsidP="005E157B">
            <w:pPr>
              <w:bidi w:val="0"/>
              <w:jc w:val="left"/>
              <w:rPr>
                <w:rFonts w:eastAsia="Times New Roman" w:cs="Times New Roman"/>
                <w:szCs w:val="20"/>
                <w:lang w:val="en-GB"/>
              </w:rPr>
            </w:pPr>
            <w:r w:rsidRPr="00FC57D5">
              <w:rPr>
                <w:rFonts w:eastAsia="Times New Roman" w:cs="Times New Roman"/>
                <w:szCs w:val="20"/>
                <w:lang w:val="en-GB"/>
              </w:rPr>
              <w:t>25</w:t>
            </w:r>
            <w:r w:rsidRPr="005E157B">
              <w:rPr>
                <w:rFonts w:eastAsia="Times New Roman" w:cs="Times New Roman"/>
                <w:szCs w:val="20"/>
                <w:lang w:val="en-GB"/>
              </w:rPr>
              <w:t xml:space="preserve"> April </w:t>
            </w:r>
            <w:r w:rsidRPr="00FC57D5">
              <w:rPr>
                <w:rFonts w:eastAsia="Times New Roman" w:cs="Times New Roman"/>
                <w:szCs w:val="20"/>
                <w:lang w:val="en-GB"/>
              </w:rPr>
              <w:t>2022</w:t>
            </w:r>
          </w:p>
          <w:p w14:paraId="304CE716" w14:textId="35ACFFFE" w:rsidR="005E157B" w:rsidRPr="005E157B" w:rsidRDefault="005E157B" w:rsidP="005E157B">
            <w:pPr>
              <w:bidi w:val="0"/>
              <w:jc w:val="left"/>
              <w:rPr>
                <w:rFonts w:eastAsia="Times New Roman" w:cs="Times New Roman"/>
                <w:szCs w:val="20"/>
                <w:lang w:val="en-GB"/>
              </w:rPr>
            </w:pPr>
            <w:r>
              <w:rPr>
                <w:rFonts w:eastAsia="Times New Roman" w:cs="Times New Roman"/>
                <w:szCs w:val="20"/>
                <w:lang w:val="en-GB"/>
              </w:rPr>
              <w:t>Arabic</w:t>
            </w:r>
          </w:p>
          <w:p w14:paraId="5FFC4363" w14:textId="114A0991" w:rsidR="00030DB4" w:rsidRPr="005E157B" w:rsidRDefault="005E157B" w:rsidP="005E157B">
            <w:pPr>
              <w:bidi w:val="0"/>
              <w:spacing w:line="240" w:lineRule="exact"/>
              <w:jc w:val="left"/>
              <w:rPr>
                <w:szCs w:val="20"/>
                <w:lang w:val="en-GB"/>
              </w:rPr>
            </w:pPr>
            <w:r w:rsidRPr="005E157B">
              <w:rPr>
                <w:rFonts w:eastAsia="Times New Roman" w:cs="Times New Roman"/>
                <w:szCs w:val="20"/>
                <w:lang w:val="en-GB"/>
              </w:rPr>
              <w:t>Original: English</w:t>
            </w:r>
          </w:p>
        </w:tc>
      </w:tr>
    </w:tbl>
    <w:p w14:paraId="39C6B5B5" w14:textId="77777777" w:rsidR="005E157B" w:rsidRPr="00FC57D5" w:rsidRDefault="005E157B" w:rsidP="005E157B">
      <w:pPr>
        <w:pStyle w:val="SingleTxtGA"/>
        <w:spacing w:before="120"/>
        <w:ind w:left="0"/>
        <w:rPr>
          <w:b/>
          <w:bCs/>
          <w:sz w:val="26"/>
          <w:szCs w:val="26"/>
          <w:lang w:val="fr-CH"/>
        </w:rPr>
      </w:pPr>
      <w:r w:rsidRPr="00FC57D5">
        <w:rPr>
          <w:b/>
          <w:bCs/>
          <w:sz w:val="26"/>
          <w:szCs w:val="26"/>
          <w:rtl/>
          <w:lang w:val="fr-CH"/>
        </w:rPr>
        <w:t>اللجنة المعنية بحقوق الإنسان</w:t>
      </w:r>
    </w:p>
    <w:p w14:paraId="1735B87F" w14:textId="57F650F6" w:rsidR="005E157B" w:rsidRPr="00FC57D5" w:rsidRDefault="005E157B" w:rsidP="005E157B">
      <w:pPr>
        <w:pStyle w:val="HChGA"/>
      </w:pPr>
      <w:r w:rsidRPr="00FC57D5">
        <w:rPr>
          <w:rtl/>
        </w:rPr>
        <w:tab/>
      </w:r>
      <w:r w:rsidRPr="00FC57D5">
        <w:rPr>
          <w:rtl/>
        </w:rPr>
        <w:tab/>
        <w:t>الملاحظات الختامية بشأن التقرير الأولي لقطر</w:t>
      </w:r>
      <w:r w:rsidRPr="00FC57D5">
        <w:rPr>
          <w:rStyle w:val="FootnoteReference"/>
          <w:sz w:val="22"/>
          <w:szCs w:val="22"/>
          <w:vertAlign w:val="baseline"/>
          <w:rtl/>
        </w:rPr>
        <w:footnoteReference w:customMarkFollows="1" w:id="1"/>
        <w:t>*</w:t>
      </w:r>
    </w:p>
    <w:p w14:paraId="02F3AE84" w14:textId="77108055" w:rsidR="005E157B" w:rsidRPr="005E157B" w:rsidRDefault="005E157B" w:rsidP="00BA42F6">
      <w:pPr>
        <w:pStyle w:val="SingleTxtGA"/>
        <w:spacing w:line="340" w:lineRule="exact"/>
        <w:rPr>
          <w:lang w:val="fr-CH"/>
        </w:rPr>
      </w:pPr>
      <w:r w:rsidRPr="00FC57D5">
        <w:rPr>
          <w:rtl/>
          <w:lang w:val="fr-CH"/>
        </w:rPr>
        <w:t>1</w:t>
      </w:r>
      <w:r w:rsidRPr="005E157B">
        <w:rPr>
          <w:rtl/>
          <w:lang w:val="fr-CH"/>
        </w:rPr>
        <w:t>-</w:t>
      </w:r>
      <w:r w:rsidRPr="005E157B">
        <w:rPr>
          <w:rtl/>
          <w:lang w:val="fr-CH"/>
        </w:rPr>
        <w:tab/>
        <w:t xml:space="preserve">نظرت اللجنة في التقرير الأولي </w:t>
      </w:r>
      <w:proofErr w:type="gramStart"/>
      <w:r w:rsidRPr="005E157B">
        <w:rPr>
          <w:rtl/>
          <w:lang w:val="fr-CH"/>
        </w:rPr>
        <w:t>لقطر</w:t>
      </w:r>
      <w:r w:rsidRPr="005E157B">
        <w:rPr>
          <w:vertAlign w:val="superscript"/>
          <w:rtl/>
          <w:lang w:val="fr-CH"/>
        </w:rPr>
        <w:t>(</w:t>
      </w:r>
      <w:proofErr w:type="gramEnd"/>
      <w:r w:rsidRPr="00FC57D5">
        <w:rPr>
          <w:rStyle w:val="FootnoteReference"/>
          <w:szCs w:val="22"/>
          <w:lang w:val="en-US"/>
        </w:rPr>
        <w:footnoteReference w:id="2"/>
      </w:r>
      <w:r w:rsidRPr="005E157B">
        <w:rPr>
          <w:vertAlign w:val="superscript"/>
          <w:rtl/>
          <w:lang w:val="fr-CH"/>
        </w:rPr>
        <w:t>)</w:t>
      </w:r>
      <w:r w:rsidR="00BA42F6">
        <w:rPr>
          <w:rtl/>
          <w:lang w:val="fr-CH"/>
        </w:rPr>
        <w:t>،</w:t>
      </w:r>
      <w:r w:rsidRPr="005E157B">
        <w:rPr>
          <w:rtl/>
          <w:lang w:val="fr-CH"/>
        </w:rPr>
        <w:t xml:space="preserve"> في جلستيها </w:t>
      </w:r>
      <w:r w:rsidRPr="00FC57D5">
        <w:rPr>
          <w:rtl/>
          <w:lang w:val="fr-CH"/>
        </w:rPr>
        <w:t>3837</w:t>
      </w:r>
      <w:r w:rsidRPr="005E157B">
        <w:rPr>
          <w:rtl/>
          <w:lang w:val="fr-CH"/>
        </w:rPr>
        <w:t xml:space="preserve"> و</w:t>
      </w:r>
      <w:r w:rsidRPr="00FC57D5">
        <w:rPr>
          <w:rtl/>
          <w:lang w:val="fr-CH"/>
        </w:rPr>
        <w:t>3838</w:t>
      </w:r>
      <w:r w:rsidR="00C52B6C" w:rsidRPr="005E157B">
        <w:rPr>
          <w:vertAlign w:val="superscript"/>
          <w:rtl/>
          <w:lang w:val="fr-CH"/>
        </w:rPr>
        <w:t>(</w:t>
      </w:r>
      <w:r w:rsidR="00C52B6C" w:rsidRPr="00FC57D5">
        <w:rPr>
          <w:rStyle w:val="FootnoteReference"/>
          <w:szCs w:val="22"/>
          <w:lang w:val="en-US"/>
        </w:rPr>
        <w:footnoteReference w:id="3"/>
      </w:r>
      <w:r w:rsidR="00C52B6C" w:rsidRPr="005E157B">
        <w:rPr>
          <w:vertAlign w:val="superscript"/>
          <w:rtl/>
          <w:lang w:val="fr-CH"/>
        </w:rPr>
        <w:t>)</w:t>
      </w:r>
      <w:r w:rsidR="00BA42F6">
        <w:rPr>
          <w:rtl/>
          <w:lang w:val="fr-CH"/>
        </w:rPr>
        <w:t>،</w:t>
      </w:r>
      <w:r w:rsidRPr="005E157B">
        <w:rPr>
          <w:rtl/>
          <w:lang w:val="fr-CH"/>
        </w:rPr>
        <w:t xml:space="preserve"> المعقودتين يومي </w:t>
      </w:r>
      <w:r w:rsidRPr="00FC57D5">
        <w:rPr>
          <w:rtl/>
          <w:lang w:val="fr-CH"/>
        </w:rPr>
        <w:t>28</w:t>
      </w:r>
      <w:r w:rsidRPr="005E157B">
        <w:rPr>
          <w:rtl/>
          <w:lang w:val="fr-CH"/>
        </w:rPr>
        <w:t xml:space="preserve"> شباط/فبراير و</w:t>
      </w:r>
      <w:r w:rsidRPr="00FC57D5">
        <w:rPr>
          <w:rtl/>
          <w:lang w:val="fr-CH"/>
        </w:rPr>
        <w:t>1</w:t>
      </w:r>
      <w:r w:rsidRPr="005E157B">
        <w:rPr>
          <w:rtl/>
          <w:lang w:val="fr-CH"/>
        </w:rPr>
        <w:t xml:space="preserve"> آذار/مارس </w:t>
      </w:r>
      <w:r w:rsidRPr="00FC57D5">
        <w:rPr>
          <w:rtl/>
          <w:lang w:val="fr-CH"/>
        </w:rPr>
        <w:t>2022</w:t>
      </w:r>
      <w:r w:rsidRPr="005E157B">
        <w:rPr>
          <w:rtl/>
          <w:lang w:val="fr-CH"/>
        </w:rPr>
        <w:t xml:space="preserve">. واعتمدت هذه الملاحظات الختامية في جلستها </w:t>
      </w:r>
      <w:r w:rsidRPr="00FC57D5">
        <w:rPr>
          <w:rtl/>
          <w:lang w:val="fr-CH"/>
        </w:rPr>
        <w:t>3866</w:t>
      </w:r>
      <w:r w:rsidR="00BA42F6">
        <w:rPr>
          <w:rtl/>
          <w:lang w:val="fr-CH"/>
        </w:rPr>
        <w:t>،</w:t>
      </w:r>
      <w:r w:rsidRPr="005E157B">
        <w:rPr>
          <w:rtl/>
          <w:lang w:val="fr-CH"/>
        </w:rPr>
        <w:t xml:space="preserve"> المعقودة في</w:t>
      </w:r>
      <w:r w:rsidR="00C52B6C">
        <w:rPr>
          <w:rFonts w:hint="cs"/>
          <w:rtl/>
          <w:lang w:val="fr-CH"/>
        </w:rPr>
        <w:t> </w:t>
      </w:r>
      <w:r w:rsidRPr="00FC57D5">
        <w:rPr>
          <w:rtl/>
          <w:lang w:val="fr-CH"/>
        </w:rPr>
        <w:t>21</w:t>
      </w:r>
      <w:r w:rsidRPr="005E157B">
        <w:rPr>
          <w:rtl/>
          <w:lang w:val="fr-CH"/>
        </w:rPr>
        <w:t xml:space="preserve"> آذار/مارس </w:t>
      </w:r>
      <w:r w:rsidRPr="00FC57D5">
        <w:rPr>
          <w:rtl/>
          <w:lang w:val="fr-CH"/>
        </w:rPr>
        <w:t>2022</w:t>
      </w:r>
      <w:r w:rsidRPr="005E157B">
        <w:rPr>
          <w:rtl/>
          <w:lang w:val="fr-CH"/>
        </w:rPr>
        <w:t>.</w:t>
      </w:r>
    </w:p>
    <w:p w14:paraId="597AB147" w14:textId="46E8E68D" w:rsidR="005E157B" w:rsidRPr="00FC57D5" w:rsidRDefault="005E157B" w:rsidP="005E157B">
      <w:pPr>
        <w:pStyle w:val="H1GA"/>
      </w:pPr>
      <w:r w:rsidRPr="00FC57D5">
        <w:rPr>
          <w:rtl/>
        </w:rPr>
        <w:tab/>
        <w:t>ألف-</w:t>
      </w:r>
      <w:r w:rsidRPr="00FC57D5">
        <w:rPr>
          <w:rtl/>
        </w:rPr>
        <w:tab/>
        <w:t>مقدمة</w:t>
      </w:r>
    </w:p>
    <w:p w14:paraId="52EFDAE5" w14:textId="4D0CD8AC" w:rsidR="005E157B" w:rsidRPr="005E157B" w:rsidRDefault="005E157B" w:rsidP="00BA42F6">
      <w:pPr>
        <w:pStyle w:val="SingleTxtGA"/>
        <w:spacing w:line="340" w:lineRule="exact"/>
        <w:rPr>
          <w:lang w:val="fr-CH"/>
        </w:rPr>
      </w:pPr>
      <w:r w:rsidRPr="00FC57D5">
        <w:rPr>
          <w:rtl/>
          <w:lang w:val="fr-CH"/>
        </w:rPr>
        <w:t>2</w:t>
      </w:r>
      <w:r w:rsidRPr="005E157B">
        <w:rPr>
          <w:rtl/>
          <w:lang w:val="fr-CH"/>
        </w:rPr>
        <w:t>-</w:t>
      </w:r>
      <w:r w:rsidRPr="005E157B">
        <w:rPr>
          <w:rtl/>
          <w:lang w:val="fr-CH"/>
        </w:rPr>
        <w:tab/>
        <w:t xml:space="preserve">ترحب اللجنة بتقديم قطر تقريرها الأولي وبالمعلومات الواردة فيه. وتعرب اللجنة عن تقديرها لفرصة إجراء حوار بناء مع وفد الدولة الطرف الرفيع المستوى بشأن التدابير التي اتخذتها الدولة الطرف من أجل تنفيذ أحكام العهد. وتعرب اللجنة عن امتنانها للدولة الطرف لما قدمته من ردود </w:t>
      </w:r>
      <w:proofErr w:type="gramStart"/>
      <w:r w:rsidRPr="005E157B">
        <w:rPr>
          <w:rtl/>
          <w:lang w:val="fr-CH"/>
        </w:rPr>
        <w:t>مكتوبة</w:t>
      </w:r>
      <w:r w:rsidR="00424F14" w:rsidRPr="005E157B">
        <w:rPr>
          <w:vertAlign w:val="superscript"/>
          <w:rtl/>
          <w:lang w:val="fr-CH"/>
        </w:rPr>
        <w:t>(</w:t>
      </w:r>
      <w:proofErr w:type="gramEnd"/>
      <w:r w:rsidR="00424F14" w:rsidRPr="00FC57D5">
        <w:rPr>
          <w:rStyle w:val="FootnoteReference"/>
          <w:szCs w:val="22"/>
          <w:lang w:val="en-US"/>
        </w:rPr>
        <w:footnoteReference w:id="4"/>
      </w:r>
      <w:r w:rsidR="00424F14" w:rsidRPr="005E157B">
        <w:rPr>
          <w:vertAlign w:val="superscript"/>
          <w:rtl/>
          <w:lang w:val="fr-CH"/>
        </w:rPr>
        <w:t>)</w:t>
      </w:r>
      <w:r w:rsidRPr="005E157B">
        <w:rPr>
          <w:rtl/>
          <w:lang w:val="fr-CH"/>
        </w:rPr>
        <w:t xml:space="preserve"> على قائمة المسائل</w:t>
      </w:r>
      <w:r w:rsidR="00424F14" w:rsidRPr="005E157B">
        <w:rPr>
          <w:vertAlign w:val="superscript"/>
          <w:rtl/>
          <w:lang w:val="fr-CH"/>
        </w:rPr>
        <w:t>(</w:t>
      </w:r>
      <w:r w:rsidR="00424F14" w:rsidRPr="00FC57D5">
        <w:rPr>
          <w:rStyle w:val="FootnoteReference"/>
          <w:szCs w:val="22"/>
          <w:lang w:val="en-US"/>
        </w:rPr>
        <w:footnoteReference w:id="5"/>
      </w:r>
      <w:r w:rsidR="00424F14" w:rsidRPr="005E157B">
        <w:rPr>
          <w:vertAlign w:val="superscript"/>
          <w:rtl/>
          <w:lang w:val="fr-CH"/>
        </w:rPr>
        <w:t>)</w:t>
      </w:r>
      <w:r w:rsidR="00BA42F6">
        <w:rPr>
          <w:rtl/>
          <w:lang w:val="fr-CH"/>
        </w:rPr>
        <w:t>،</w:t>
      </w:r>
      <w:r w:rsidRPr="005E157B">
        <w:rPr>
          <w:rtl/>
          <w:lang w:val="fr-CH"/>
        </w:rPr>
        <w:t xml:space="preserve"> وهي ردودٌ استُكمِلت بالردود الشفوية التي قدمها الوفد.</w:t>
      </w:r>
    </w:p>
    <w:p w14:paraId="56AD5576" w14:textId="6FE17906" w:rsidR="005E157B" w:rsidRPr="00FC57D5" w:rsidRDefault="005E157B" w:rsidP="005E157B">
      <w:pPr>
        <w:pStyle w:val="H1GA"/>
      </w:pPr>
      <w:r w:rsidRPr="00FC57D5">
        <w:rPr>
          <w:rtl/>
        </w:rPr>
        <w:tab/>
        <w:t>باء-</w:t>
      </w:r>
      <w:r w:rsidRPr="00FC57D5">
        <w:rPr>
          <w:rtl/>
        </w:rPr>
        <w:tab/>
        <w:t>الجوانب الإيجابية</w:t>
      </w:r>
    </w:p>
    <w:p w14:paraId="52B47AA4" w14:textId="5A83765F" w:rsidR="005E157B" w:rsidRPr="005E157B" w:rsidRDefault="005E157B" w:rsidP="00BA42F6">
      <w:pPr>
        <w:pStyle w:val="SingleTxtGA"/>
        <w:spacing w:line="340" w:lineRule="exact"/>
        <w:rPr>
          <w:lang w:val="fr-CH"/>
        </w:rPr>
      </w:pPr>
      <w:r w:rsidRPr="00FC57D5">
        <w:rPr>
          <w:rtl/>
          <w:lang w:val="fr-CH"/>
        </w:rPr>
        <w:t>3</w:t>
      </w:r>
      <w:r w:rsidRPr="005E157B">
        <w:rPr>
          <w:rtl/>
          <w:lang w:val="fr-CH"/>
        </w:rPr>
        <w:t>-</w:t>
      </w:r>
      <w:r w:rsidRPr="005E157B">
        <w:rPr>
          <w:rtl/>
          <w:lang w:val="fr-CH"/>
        </w:rPr>
        <w:tab/>
        <w:t>ترحّب اللجنة باعتماد الدولة الطرف التدابير التشريعية التالية:</w:t>
      </w:r>
    </w:p>
    <w:p w14:paraId="55269BCB" w14:textId="79EB7F66" w:rsidR="005E157B" w:rsidRDefault="005E157B" w:rsidP="00BA42F6">
      <w:pPr>
        <w:pStyle w:val="SingleTxtGA"/>
        <w:spacing w:line="340" w:lineRule="exact"/>
        <w:rPr>
          <w:lang w:val="fr-CH"/>
        </w:rPr>
      </w:pPr>
      <w:r>
        <w:rPr>
          <w:rtl/>
          <w:lang w:val="fr-CH"/>
        </w:rPr>
        <w:tab/>
      </w:r>
      <w:r w:rsidRPr="005E157B">
        <w:rPr>
          <w:rtl/>
          <w:lang w:val="fr-CH"/>
        </w:rPr>
        <w:t>(أ)</w:t>
      </w:r>
      <w:r w:rsidRPr="005E157B">
        <w:rPr>
          <w:rtl/>
          <w:lang w:val="fr-CH"/>
        </w:rPr>
        <w:tab/>
      </w:r>
      <w:r w:rsidRPr="00646316">
        <w:rPr>
          <w:spacing w:val="-4"/>
          <w:rtl/>
          <w:lang w:val="fr-CH"/>
        </w:rPr>
        <w:t>المرسوم بقانون رقم (</w:t>
      </w:r>
      <w:r w:rsidRPr="00FC57D5">
        <w:rPr>
          <w:spacing w:val="-4"/>
          <w:rtl/>
          <w:lang w:val="fr-CH"/>
        </w:rPr>
        <w:t>19</w:t>
      </w:r>
      <w:r w:rsidRPr="00646316">
        <w:rPr>
          <w:spacing w:val="-4"/>
          <w:rtl/>
          <w:lang w:val="fr-CH"/>
        </w:rPr>
        <w:t xml:space="preserve">) لسنة </w:t>
      </w:r>
      <w:r w:rsidRPr="00FC57D5">
        <w:rPr>
          <w:spacing w:val="-4"/>
          <w:rtl/>
          <w:lang w:val="fr-CH"/>
        </w:rPr>
        <w:t>2020</w:t>
      </w:r>
      <w:r w:rsidRPr="00646316">
        <w:rPr>
          <w:spacing w:val="-4"/>
          <w:rtl/>
          <w:lang w:val="fr-CH"/>
        </w:rPr>
        <w:t xml:space="preserve"> بتعديل بعض أحكام القانون رقم (</w:t>
      </w:r>
      <w:r w:rsidRPr="00FC57D5">
        <w:rPr>
          <w:spacing w:val="-4"/>
          <w:rtl/>
          <w:lang w:val="fr-CH"/>
        </w:rPr>
        <w:t>21</w:t>
      </w:r>
      <w:r w:rsidRPr="00646316">
        <w:rPr>
          <w:spacing w:val="-4"/>
          <w:rtl/>
          <w:lang w:val="fr-CH"/>
        </w:rPr>
        <w:t xml:space="preserve">) لسنة </w:t>
      </w:r>
      <w:r w:rsidRPr="00FC57D5">
        <w:rPr>
          <w:spacing w:val="-4"/>
          <w:rtl/>
          <w:lang w:val="fr-CH"/>
        </w:rPr>
        <w:t>2015</w:t>
      </w:r>
      <w:r w:rsidRPr="005E157B">
        <w:rPr>
          <w:rtl/>
          <w:lang w:val="fr-CH"/>
        </w:rPr>
        <w:t xml:space="preserve"> بتنظيم دخول وخروج الوافدين وإقامتهم؛</w:t>
      </w:r>
    </w:p>
    <w:p w14:paraId="79A1CE2C" w14:textId="378B6697" w:rsidR="005E157B" w:rsidRDefault="005E157B" w:rsidP="00BA42F6">
      <w:pPr>
        <w:pStyle w:val="SingleTxtGA"/>
        <w:spacing w:line="340" w:lineRule="exact"/>
        <w:rPr>
          <w:lang w:val="fr-CH"/>
        </w:rPr>
      </w:pPr>
      <w:r>
        <w:rPr>
          <w:rtl/>
          <w:lang w:val="fr-CH"/>
        </w:rPr>
        <w:tab/>
        <w:t>(</w:t>
      </w:r>
      <w:r w:rsidRPr="005E157B">
        <w:rPr>
          <w:rtl/>
          <w:lang w:val="fr-CH"/>
        </w:rPr>
        <w:t>ب)</w:t>
      </w:r>
      <w:r w:rsidRPr="00646316">
        <w:rPr>
          <w:spacing w:val="-4"/>
          <w:rtl/>
          <w:lang w:val="fr-CH"/>
        </w:rPr>
        <w:tab/>
        <w:t>مرسوم بقانون رقم (</w:t>
      </w:r>
      <w:r w:rsidRPr="00FC57D5">
        <w:rPr>
          <w:spacing w:val="-4"/>
          <w:rtl/>
          <w:lang w:val="fr-CH"/>
        </w:rPr>
        <w:t>18</w:t>
      </w:r>
      <w:r w:rsidRPr="00646316">
        <w:rPr>
          <w:spacing w:val="-4"/>
          <w:rtl/>
          <w:lang w:val="fr-CH"/>
        </w:rPr>
        <w:t xml:space="preserve">) لسنة </w:t>
      </w:r>
      <w:r w:rsidRPr="00FC57D5">
        <w:rPr>
          <w:spacing w:val="-4"/>
          <w:rtl/>
          <w:lang w:val="fr-CH"/>
        </w:rPr>
        <w:t>2020</w:t>
      </w:r>
      <w:r w:rsidRPr="00646316">
        <w:rPr>
          <w:spacing w:val="-4"/>
          <w:rtl/>
          <w:lang w:val="fr-CH"/>
        </w:rPr>
        <w:t xml:space="preserve"> بتعديل بعض أحكام قانون العمل الصادر بالقانون</w:t>
      </w:r>
      <w:r w:rsidRPr="005E157B">
        <w:rPr>
          <w:rtl/>
          <w:lang w:val="fr-CH"/>
        </w:rPr>
        <w:t xml:space="preserve"> رقم (</w:t>
      </w:r>
      <w:r w:rsidRPr="00FC57D5">
        <w:rPr>
          <w:rtl/>
          <w:lang w:val="fr-CH"/>
        </w:rPr>
        <w:t>14</w:t>
      </w:r>
      <w:r w:rsidRPr="005E157B">
        <w:rPr>
          <w:rtl/>
          <w:lang w:val="fr-CH"/>
        </w:rPr>
        <w:t xml:space="preserve">) لسنة </w:t>
      </w:r>
      <w:r w:rsidRPr="00FC57D5">
        <w:rPr>
          <w:rtl/>
          <w:lang w:val="fr-CH"/>
        </w:rPr>
        <w:t>2004</w:t>
      </w:r>
      <w:r w:rsidRPr="005E157B">
        <w:rPr>
          <w:rtl/>
          <w:lang w:val="fr-CH"/>
        </w:rPr>
        <w:t>) بتشديد العقوبة على مخالفات نظام حماية الأجور؛</w:t>
      </w:r>
    </w:p>
    <w:p w14:paraId="61D52AF4" w14:textId="11C5BCD1" w:rsidR="005E157B" w:rsidRDefault="005E157B" w:rsidP="00BA42F6">
      <w:pPr>
        <w:pStyle w:val="SingleTxtGA"/>
        <w:spacing w:line="340" w:lineRule="exact"/>
        <w:rPr>
          <w:lang w:val="fr-CH"/>
        </w:rPr>
      </w:pPr>
      <w:r>
        <w:rPr>
          <w:rtl/>
          <w:lang w:val="fr-CH"/>
        </w:rPr>
        <w:tab/>
        <w:t>(</w:t>
      </w:r>
      <w:r w:rsidRPr="005E157B">
        <w:rPr>
          <w:rtl/>
          <w:lang w:val="fr-CH"/>
        </w:rPr>
        <w:t>ج)</w:t>
      </w:r>
      <w:r w:rsidRPr="005E157B">
        <w:rPr>
          <w:rtl/>
          <w:lang w:val="fr-CH"/>
        </w:rPr>
        <w:tab/>
        <w:t>القانون رقم (</w:t>
      </w:r>
      <w:r w:rsidRPr="00FC57D5">
        <w:rPr>
          <w:rtl/>
          <w:lang w:val="fr-CH"/>
        </w:rPr>
        <w:t>17</w:t>
      </w:r>
      <w:r w:rsidRPr="005E157B">
        <w:rPr>
          <w:rtl/>
          <w:lang w:val="fr-CH"/>
        </w:rPr>
        <w:t xml:space="preserve">) لسنة </w:t>
      </w:r>
      <w:r w:rsidRPr="00FC57D5">
        <w:rPr>
          <w:rtl/>
          <w:lang w:val="fr-CH"/>
        </w:rPr>
        <w:t>2020</w:t>
      </w:r>
      <w:r w:rsidRPr="005E157B">
        <w:rPr>
          <w:rtl/>
          <w:lang w:val="fr-CH"/>
        </w:rPr>
        <w:t xml:space="preserve"> بشأن تحديد الحد الأدنى للأجور</w:t>
      </w:r>
      <w:r w:rsidR="00BA42F6">
        <w:rPr>
          <w:rtl/>
          <w:lang w:val="fr-CH"/>
        </w:rPr>
        <w:t>،</w:t>
      </w:r>
    </w:p>
    <w:p w14:paraId="15673816" w14:textId="69E955BF" w:rsidR="005E157B" w:rsidRDefault="005E157B" w:rsidP="00BA42F6">
      <w:pPr>
        <w:pStyle w:val="SingleTxtGA"/>
        <w:spacing w:line="340" w:lineRule="exact"/>
        <w:rPr>
          <w:lang w:val="fr-CH"/>
        </w:rPr>
      </w:pPr>
      <w:r>
        <w:rPr>
          <w:rtl/>
          <w:lang w:val="fr-CH"/>
        </w:rPr>
        <w:tab/>
        <w:t>(</w:t>
      </w:r>
      <w:r w:rsidRPr="005E157B">
        <w:rPr>
          <w:rtl/>
          <w:lang w:val="fr-CH"/>
        </w:rPr>
        <w:t>د)</w:t>
      </w:r>
      <w:r w:rsidRPr="005E157B">
        <w:rPr>
          <w:rtl/>
          <w:lang w:val="fr-CH"/>
        </w:rPr>
        <w:tab/>
      </w:r>
      <w:r w:rsidRPr="00646316">
        <w:rPr>
          <w:spacing w:val="2"/>
          <w:rtl/>
          <w:lang w:val="fr-CH"/>
        </w:rPr>
        <w:t xml:space="preserve">القرار الوزاري رقم </w:t>
      </w:r>
      <w:r w:rsidRPr="00FC57D5">
        <w:rPr>
          <w:spacing w:val="2"/>
          <w:rtl/>
          <w:lang w:val="fr-CH"/>
        </w:rPr>
        <w:t>95</w:t>
      </w:r>
      <w:r w:rsidRPr="00646316">
        <w:rPr>
          <w:spacing w:val="2"/>
          <w:rtl/>
          <w:lang w:val="fr-CH"/>
        </w:rPr>
        <w:t xml:space="preserve"> لسنة </w:t>
      </w:r>
      <w:r w:rsidRPr="00FC57D5">
        <w:rPr>
          <w:spacing w:val="2"/>
          <w:rtl/>
          <w:lang w:val="fr-CH"/>
        </w:rPr>
        <w:t>2019</w:t>
      </w:r>
      <w:r w:rsidRPr="00646316">
        <w:rPr>
          <w:spacing w:val="2"/>
          <w:rtl/>
          <w:lang w:val="fr-CH"/>
        </w:rPr>
        <w:t xml:space="preserve"> الذي يسمح لفئات عدة من العمال</w:t>
      </w:r>
      <w:r w:rsidR="00BA42F6" w:rsidRPr="00646316">
        <w:rPr>
          <w:spacing w:val="2"/>
          <w:rtl/>
          <w:lang w:val="fr-CH"/>
        </w:rPr>
        <w:t>،</w:t>
      </w:r>
      <w:r w:rsidRPr="00646316">
        <w:rPr>
          <w:spacing w:val="2"/>
          <w:rtl/>
          <w:lang w:val="fr-CH"/>
        </w:rPr>
        <w:t xml:space="preserve"> بمن فيهم المستخدمون</w:t>
      </w:r>
      <w:r w:rsidRPr="005E157B">
        <w:rPr>
          <w:rtl/>
          <w:lang w:val="fr-CH"/>
        </w:rPr>
        <w:t xml:space="preserve"> في المنازل</w:t>
      </w:r>
      <w:r w:rsidR="00BA42F6">
        <w:rPr>
          <w:rtl/>
          <w:lang w:val="fr-CH"/>
        </w:rPr>
        <w:t>،</w:t>
      </w:r>
      <w:r w:rsidRPr="005E157B">
        <w:rPr>
          <w:rtl/>
          <w:lang w:val="fr-CH"/>
        </w:rPr>
        <w:t xml:space="preserve"> بمغادرة البلد من دون تصريح خروج؛</w:t>
      </w:r>
    </w:p>
    <w:p w14:paraId="12963878" w14:textId="33DF6E06" w:rsidR="005E157B" w:rsidRPr="005E157B" w:rsidRDefault="005E157B" w:rsidP="00BA42F6">
      <w:pPr>
        <w:pStyle w:val="SingleTxtGA"/>
        <w:spacing w:line="340" w:lineRule="exact"/>
        <w:rPr>
          <w:lang w:val="fr-CH"/>
        </w:rPr>
      </w:pPr>
      <w:r>
        <w:rPr>
          <w:rtl/>
          <w:lang w:val="fr-CH"/>
        </w:rPr>
        <w:tab/>
        <w:t>(</w:t>
      </w:r>
      <w:r w:rsidRPr="005E157B">
        <w:rPr>
          <w:rtl/>
          <w:lang w:val="fr-CH"/>
        </w:rPr>
        <w:t>هـ)</w:t>
      </w:r>
      <w:r w:rsidRPr="005E157B">
        <w:rPr>
          <w:rtl/>
          <w:lang w:val="fr-CH"/>
        </w:rPr>
        <w:tab/>
        <w:t>القانون رقم (</w:t>
      </w:r>
      <w:r w:rsidRPr="00FC57D5">
        <w:rPr>
          <w:rtl/>
          <w:lang w:val="fr-CH"/>
        </w:rPr>
        <w:t>11</w:t>
      </w:r>
      <w:r w:rsidRPr="005E157B">
        <w:rPr>
          <w:rtl/>
          <w:lang w:val="fr-CH"/>
        </w:rPr>
        <w:t xml:space="preserve">) لسنة </w:t>
      </w:r>
      <w:r w:rsidRPr="00FC57D5">
        <w:rPr>
          <w:rtl/>
          <w:lang w:val="fr-CH"/>
        </w:rPr>
        <w:t>2018</w:t>
      </w:r>
      <w:r w:rsidRPr="005E157B">
        <w:rPr>
          <w:rtl/>
          <w:lang w:val="fr-CH"/>
        </w:rPr>
        <w:t xml:space="preserve"> بتنظيم اللجوء السياسي.</w:t>
      </w:r>
    </w:p>
    <w:p w14:paraId="28011DC6" w14:textId="3253762A" w:rsidR="005E157B" w:rsidRPr="00FC57D5" w:rsidRDefault="005E157B" w:rsidP="005E157B">
      <w:pPr>
        <w:pStyle w:val="H1GA"/>
      </w:pPr>
      <w:r w:rsidRPr="00FC57D5">
        <w:rPr>
          <w:rtl/>
        </w:rPr>
        <w:lastRenderedPageBreak/>
        <w:tab/>
        <w:t>جيم-</w:t>
      </w:r>
      <w:r w:rsidRPr="00FC57D5">
        <w:rPr>
          <w:rtl/>
        </w:rPr>
        <w:tab/>
        <w:t>دواعي القلق الرئيسية والتوصيات</w:t>
      </w:r>
    </w:p>
    <w:p w14:paraId="4DE00806" w14:textId="77777777" w:rsidR="005E157B" w:rsidRPr="00FC57D5" w:rsidRDefault="005E157B" w:rsidP="00436209">
      <w:pPr>
        <w:pStyle w:val="H23GA"/>
      </w:pPr>
      <w:r w:rsidRPr="00FC57D5">
        <w:rPr>
          <w:rtl/>
        </w:rPr>
        <w:tab/>
      </w:r>
      <w:r w:rsidRPr="00FC57D5">
        <w:rPr>
          <w:rtl/>
        </w:rPr>
        <w:tab/>
        <w:t>إنفاذ أحكام العهد على الصعيد المحلي</w:t>
      </w:r>
    </w:p>
    <w:p w14:paraId="26A0B8E1" w14:textId="64A8C3F4" w:rsidR="005E157B" w:rsidRPr="005E157B" w:rsidRDefault="005E157B" w:rsidP="00436209">
      <w:pPr>
        <w:pStyle w:val="SingleTxtGA"/>
        <w:rPr>
          <w:lang w:val="fr-CH"/>
        </w:rPr>
      </w:pPr>
      <w:r w:rsidRPr="00FC57D5">
        <w:rPr>
          <w:rtl/>
          <w:lang w:val="fr-CH"/>
        </w:rPr>
        <w:t>4</w:t>
      </w:r>
      <w:r w:rsidRPr="005E157B">
        <w:rPr>
          <w:rtl/>
          <w:lang w:val="fr-CH"/>
        </w:rPr>
        <w:t>-</w:t>
      </w:r>
      <w:r w:rsidRPr="005E157B">
        <w:rPr>
          <w:rtl/>
          <w:lang w:val="fr-CH"/>
        </w:rPr>
        <w:tab/>
        <w:t>تحيط اللجنة علماً بما قدمته الدولة الطرف من معلومات تفيد بأن العهد جزء لا يتجزأ من النظام القانوني المحلي</w:t>
      </w:r>
      <w:r w:rsidR="00BA42F6">
        <w:rPr>
          <w:rtl/>
          <w:lang w:val="fr-CH"/>
        </w:rPr>
        <w:t>،</w:t>
      </w:r>
      <w:r w:rsidRPr="005E157B">
        <w:rPr>
          <w:rtl/>
          <w:lang w:val="fr-CH"/>
        </w:rPr>
        <w:t xml:space="preserve"> وأنه يحتل المكانة نفسها في التسلسل الهرمي للقوانين الوطنية ويلي الدستور</w:t>
      </w:r>
      <w:r w:rsidR="00BA42F6">
        <w:rPr>
          <w:rtl/>
          <w:lang w:val="fr-CH"/>
        </w:rPr>
        <w:t>،</w:t>
      </w:r>
      <w:r w:rsidRPr="005E157B">
        <w:rPr>
          <w:rtl/>
          <w:lang w:val="fr-CH"/>
        </w:rPr>
        <w:t xml:space="preserve"> كما تحيط علماً بالمعلومات التي تفيد بأنه تم الاحتجاج مباشرة بالعهد أمام المحاكم الوطنية في قضية واحدة. ومع ذلك</w:t>
      </w:r>
      <w:r w:rsidR="00BA42F6">
        <w:rPr>
          <w:rtl/>
          <w:lang w:val="fr-CH"/>
        </w:rPr>
        <w:t>،</w:t>
      </w:r>
      <w:r w:rsidRPr="005E157B">
        <w:rPr>
          <w:rtl/>
          <w:lang w:val="fr-CH"/>
        </w:rPr>
        <w:t xml:space="preserve"> يساور اللجنة قلق إزاء أسبقية الشريعة الإسلامية على الصكوك الدولية</w:t>
      </w:r>
      <w:r w:rsidR="00BA42F6">
        <w:rPr>
          <w:rtl/>
          <w:lang w:val="fr-CH"/>
        </w:rPr>
        <w:t>،</w:t>
      </w:r>
      <w:r w:rsidRPr="005E157B">
        <w:rPr>
          <w:rtl/>
          <w:lang w:val="fr-CH"/>
        </w:rPr>
        <w:t xml:space="preserve"> بما فيها العهد</w:t>
      </w:r>
      <w:r w:rsidR="00BA42F6">
        <w:rPr>
          <w:rtl/>
          <w:lang w:val="fr-CH"/>
        </w:rPr>
        <w:t>،</w:t>
      </w:r>
      <w:r w:rsidRPr="005E157B">
        <w:rPr>
          <w:rtl/>
          <w:lang w:val="fr-CH"/>
        </w:rPr>
        <w:t xml:space="preserve"> وإزاء السبل التي يمكن بها معالجة أي تعارض ينشأ بين الشريعة الإسلامية والنظم الأساسية المحلية والضمانات المنصوص عليها في العهد. وتأسف اللجنة لعدم تقديم معلومات محددة عن السبل التي يمكن بها للأفراد أن يحتجوا بأحكام العهد أمام المحاكم المحلية وفي الإجراءات الإدارية</w:t>
      </w:r>
      <w:r w:rsidR="00BA42F6">
        <w:rPr>
          <w:rtl/>
          <w:lang w:val="fr-CH"/>
        </w:rPr>
        <w:t>،</w:t>
      </w:r>
      <w:r w:rsidRPr="005E157B">
        <w:rPr>
          <w:rtl/>
          <w:lang w:val="fr-CH"/>
        </w:rPr>
        <w:t xml:space="preserve"> ولعدم تقديم أمثلة على تطبيق المحاكم المحلية لأحكام العهد (المادة </w:t>
      </w:r>
      <w:r w:rsidRPr="00FC57D5">
        <w:rPr>
          <w:rtl/>
          <w:lang w:val="fr-CH"/>
        </w:rPr>
        <w:t>2</w:t>
      </w:r>
      <w:r w:rsidRPr="005E157B">
        <w:rPr>
          <w:rtl/>
          <w:lang w:val="fr-CH"/>
        </w:rPr>
        <w:t>).</w:t>
      </w:r>
    </w:p>
    <w:p w14:paraId="7EE15C63" w14:textId="60A745E8" w:rsidR="005E157B" w:rsidRPr="00FC57D5" w:rsidRDefault="005E157B" w:rsidP="00436209">
      <w:pPr>
        <w:pStyle w:val="SingleTxtGA"/>
        <w:rPr>
          <w:rFonts w:ascii="Times New Roman Bold" w:hAnsi="Times New Roman Bold" w:hint="eastAsia"/>
          <w:b/>
          <w:bCs/>
          <w:lang w:val="fr-CH"/>
        </w:rPr>
      </w:pPr>
      <w:r w:rsidRPr="00FC57D5">
        <w:rPr>
          <w:spacing w:val="-2"/>
          <w:rtl/>
          <w:lang w:val="fr-CH"/>
        </w:rPr>
        <w:t>5</w:t>
      </w:r>
      <w:r w:rsidRPr="00BA42F6">
        <w:rPr>
          <w:spacing w:val="-2"/>
          <w:rtl/>
          <w:lang w:val="fr-CH"/>
        </w:rPr>
        <w:t>-</w:t>
      </w:r>
      <w:r w:rsidRPr="00BA42F6">
        <w:rPr>
          <w:spacing w:val="-2"/>
          <w:rtl/>
          <w:lang w:val="fr-CH"/>
        </w:rPr>
        <w:tab/>
      </w:r>
      <w:r w:rsidRPr="00FC57D5">
        <w:rPr>
          <w:rFonts w:ascii="Times New Roman Bold" w:hAnsi="Times New Roman Bold"/>
          <w:b/>
          <w:bCs/>
          <w:rtl/>
          <w:lang w:val="fr-CH"/>
        </w:rPr>
        <w:t>ينبغي للدولة الطرف أن تنفذ أحكام العهد إنفاذاً تاماً في النظام القانوني المحلي وأن تكفل تفسير وتطبيق القوانين المحلية</w:t>
      </w:r>
      <w:r w:rsidR="00BA42F6" w:rsidRPr="00FC57D5">
        <w:rPr>
          <w:rFonts w:ascii="Times New Roman Bold" w:hAnsi="Times New Roman Bold"/>
          <w:b/>
          <w:bCs/>
          <w:rtl/>
          <w:lang w:val="fr-CH"/>
        </w:rPr>
        <w:t>،</w:t>
      </w:r>
      <w:r w:rsidRPr="00FC57D5">
        <w:rPr>
          <w:rFonts w:ascii="Times New Roman Bold" w:hAnsi="Times New Roman Bold"/>
          <w:b/>
          <w:bCs/>
          <w:rtl/>
          <w:lang w:val="fr-CH"/>
        </w:rPr>
        <w:t xml:space="preserve"> بما فيها القوانين المستندة إلى الشريعة الإسلامية</w:t>
      </w:r>
      <w:r w:rsidR="00BA42F6" w:rsidRPr="00FC57D5">
        <w:rPr>
          <w:rFonts w:ascii="Times New Roman Bold" w:hAnsi="Times New Roman Bold"/>
          <w:b/>
          <w:bCs/>
          <w:rtl/>
          <w:lang w:val="fr-CH"/>
        </w:rPr>
        <w:t>،</w:t>
      </w:r>
      <w:r w:rsidRPr="00FC57D5">
        <w:rPr>
          <w:rFonts w:ascii="Times New Roman Bold" w:hAnsi="Times New Roman Bold"/>
          <w:b/>
          <w:bCs/>
          <w:rtl/>
          <w:lang w:val="fr-CH"/>
        </w:rPr>
        <w:t xml:space="preserve"> بما يتوافق مع الالتزامات الواقعة على عاتقها بموجب العهد. وبالإضافة إلى ذلك</w:t>
      </w:r>
      <w:r w:rsidR="00BA42F6" w:rsidRPr="00FC57D5">
        <w:rPr>
          <w:rFonts w:ascii="Times New Roman Bold" w:hAnsi="Times New Roman Bold"/>
          <w:b/>
          <w:bCs/>
          <w:rtl/>
          <w:lang w:val="fr-CH"/>
        </w:rPr>
        <w:t>،</w:t>
      </w:r>
      <w:r w:rsidRPr="00FC57D5">
        <w:rPr>
          <w:rFonts w:ascii="Times New Roman Bold" w:hAnsi="Times New Roman Bold"/>
          <w:b/>
          <w:bCs/>
          <w:rtl/>
          <w:lang w:val="fr-CH"/>
        </w:rPr>
        <w:t xml:space="preserve"> ينبغي للدولة الطرف أن تبذل جهوداً لتوعية القضاة ووكلاء النيابة والمحامين بأحكام العهد وبانطباقه محلياً ضماناً لمراعاة المحاكم لأحكامه. وينبغي لها أيضاً أن تنظر في الانضمام إلى البروتوكول الاختياري الأول الملحق بالعهد والمنشئ لآلية تقديم الشكاوى الفردية. </w:t>
      </w:r>
    </w:p>
    <w:p w14:paraId="26A23B33" w14:textId="77777777" w:rsidR="005E157B" w:rsidRPr="00FC57D5" w:rsidRDefault="005E157B" w:rsidP="00436209">
      <w:pPr>
        <w:pStyle w:val="H23GA"/>
      </w:pPr>
      <w:r w:rsidRPr="00FC57D5">
        <w:rPr>
          <w:rtl/>
        </w:rPr>
        <w:tab/>
      </w:r>
      <w:r w:rsidRPr="00FC57D5">
        <w:rPr>
          <w:rtl/>
        </w:rPr>
        <w:tab/>
        <w:t>التحفظات والإعلانات</w:t>
      </w:r>
    </w:p>
    <w:p w14:paraId="38C5E979" w14:textId="7BCD1B56" w:rsidR="005E157B" w:rsidRPr="005E157B" w:rsidRDefault="005E157B" w:rsidP="00436209">
      <w:pPr>
        <w:pStyle w:val="SingleTxtGA"/>
        <w:rPr>
          <w:lang w:val="fr-CH"/>
        </w:rPr>
      </w:pPr>
      <w:r w:rsidRPr="00FC57D5">
        <w:rPr>
          <w:rtl/>
          <w:lang w:val="fr-CH"/>
        </w:rPr>
        <w:t>6</w:t>
      </w:r>
      <w:r w:rsidRPr="005E157B">
        <w:rPr>
          <w:rtl/>
          <w:lang w:val="fr-CH"/>
        </w:rPr>
        <w:t>-</w:t>
      </w:r>
      <w:r w:rsidRPr="005E157B">
        <w:rPr>
          <w:rtl/>
          <w:lang w:val="fr-CH"/>
        </w:rPr>
        <w:tab/>
        <w:t xml:space="preserve">يساور اللجنة القلق إزاء إبقاء الدولة الطرف على تحفظاتها على المادتين </w:t>
      </w:r>
      <w:r w:rsidRPr="00FC57D5">
        <w:rPr>
          <w:rtl/>
          <w:lang w:val="fr-CH"/>
        </w:rPr>
        <w:t>3</w:t>
      </w:r>
      <w:r w:rsidRPr="005E157B">
        <w:rPr>
          <w:rtl/>
          <w:lang w:val="fr-CH"/>
        </w:rPr>
        <w:t xml:space="preserve"> و</w:t>
      </w:r>
      <w:r w:rsidRPr="00FC57D5">
        <w:rPr>
          <w:rtl/>
          <w:lang w:val="fr-CH"/>
        </w:rPr>
        <w:t>23</w:t>
      </w:r>
      <w:r w:rsidRPr="005E157B">
        <w:rPr>
          <w:rtl/>
          <w:lang w:val="fr-CH"/>
        </w:rPr>
        <w:t>(</w:t>
      </w:r>
      <w:r w:rsidRPr="00FC57D5">
        <w:rPr>
          <w:rtl/>
          <w:lang w:val="fr-CH"/>
        </w:rPr>
        <w:t>4</w:t>
      </w:r>
      <w:r w:rsidRPr="005E157B">
        <w:rPr>
          <w:rtl/>
          <w:lang w:val="fr-CH"/>
        </w:rPr>
        <w:t xml:space="preserve">) وعلى إعلاناتها بشأن المواد </w:t>
      </w:r>
      <w:r w:rsidRPr="00FC57D5">
        <w:rPr>
          <w:rtl/>
          <w:lang w:val="fr-CH"/>
        </w:rPr>
        <w:t>7</w:t>
      </w:r>
      <w:r w:rsidRPr="005E157B">
        <w:rPr>
          <w:rtl/>
          <w:lang w:val="fr-CH"/>
        </w:rPr>
        <w:t xml:space="preserve"> و</w:t>
      </w:r>
      <w:r w:rsidRPr="00FC57D5">
        <w:rPr>
          <w:rtl/>
          <w:lang w:val="fr-CH"/>
        </w:rPr>
        <w:t>18</w:t>
      </w:r>
      <w:r w:rsidRPr="005E157B">
        <w:rPr>
          <w:rtl/>
          <w:lang w:val="fr-CH"/>
        </w:rPr>
        <w:t>(</w:t>
      </w:r>
      <w:r w:rsidRPr="00FC57D5">
        <w:rPr>
          <w:rtl/>
          <w:lang w:val="fr-CH"/>
        </w:rPr>
        <w:t>2</w:t>
      </w:r>
      <w:r w:rsidRPr="005E157B">
        <w:rPr>
          <w:rtl/>
          <w:lang w:val="fr-CH"/>
        </w:rPr>
        <w:t>) و</w:t>
      </w:r>
      <w:r w:rsidRPr="00FC57D5">
        <w:rPr>
          <w:rtl/>
          <w:lang w:val="fr-CH"/>
        </w:rPr>
        <w:t>22</w:t>
      </w:r>
      <w:r w:rsidRPr="005E157B">
        <w:rPr>
          <w:rtl/>
          <w:lang w:val="fr-CH"/>
        </w:rPr>
        <w:t xml:space="preserve"> و</w:t>
      </w:r>
      <w:r w:rsidRPr="00FC57D5">
        <w:rPr>
          <w:rtl/>
          <w:lang w:val="fr-CH"/>
        </w:rPr>
        <w:t>23</w:t>
      </w:r>
      <w:r w:rsidRPr="005E157B">
        <w:rPr>
          <w:rtl/>
          <w:lang w:val="fr-CH"/>
        </w:rPr>
        <w:t>(</w:t>
      </w:r>
      <w:r w:rsidRPr="00FC57D5">
        <w:rPr>
          <w:rtl/>
          <w:lang w:val="fr-CH"/>
        </w:rPr>
        <w:t>2</w:t>
      </w:r>
      <w:r w:rsidRPr="005E157B">
        <w:rPr>
          <w:rtl/>
          <w:lang w:val="fr-CH"/>
        </w:rPr>
        <w:t>) و</w:t>
      </w:r>
      <w:r w:rsidRPr="00FC57D5">
        <w:rPr>
          <w:rtl/>
          <w:lang w:val="fr-CH"/>
        </w:rPr>
        <w:t>27</w:t>
      </w:r>
      <w:r w:rsidRPr="005E157B">
        <w:rPr>
          <w:rtl/>
          <w:lang w:val="fr-CH"/>
        </w:rPr>
        <w:t xml:space="preserve"> من العهد. وتحيط اللجنة علماً بما قدمته الدولة </w:t>
      </w:r>
      <w:r w:rsidRPr="00085A1B">
        <w:rPr>
          <w:spacing w:val="-2"/>
          <w:rtl/>
          <w:lang w:val="fr-CH"/>
        </w:rPr>
        <w:t>الطرف من معلومات تفيد بأنها ستعيد النظر دورياً في تحفظاتها</w:t>
      </w:r>
      <w:r w:rsidR="00BA42F6" w:rsidRPr="00085A1B">
        <w:rPr>
          <w:spacing w:val="-2"/>
          <w:rtl/>
          <w:lang w:val="fr-CH"/>
        </w:rPr>
        <w:t>،</w:t>
      </w:r>
      <w:r w:rsidRPr="00085A1B">
        <w:rPr>
          <w:spacing w:val="-2"/>
          <w:rtl/>
          <w:lang w:val="fr-CH"/>
        </w:rPr>
        <w:t xml:space="preserve"> غير أنها تعرب عن قلقها إزاء عدم تحديد الموعد</w:t>
      </w:r>
      <w:r w:rsidRPr="005E157B">
        <w:rPr>
          <w:rtl/>
          <w:lang w:val="fr-CH"/>
        </w:rPr>
        <w:t xml:space="preserve"> الذي ستُجرى فيه هذه المراجعات والتغييرات بوضوح وما إذا كانت جميع التحفظات والإعلانات ستُسحب أم لا. وعلى وجه الخصوص</w:t>
      </w:r>
      <w:r w:rsidR="00BA42F6">
        <w:rPr>
          <w:rtl/>
          <w:lang w:val="fr-CH"/>
        </w:rPr>
        <w:t>،</w:t>
      </w:r>
      <w:r w:rsidRPr="005E157B">
        <w:rPr>
          <w:rtl/>
          <w:lang w:val="fr-CH"/>
        </w:rPr>
        <w:t xml:space="preserve"> تلاحظ اللجنة بقلق تحفظ الدولة الطرف على المادة </w:t>
      </w:r>
      <w:r w:rsidRPr="00FC57D5">
        <w:rPr>
          <w:rtl/>
          <w:lang w:val="fr-CH"/>
        </w:rPr>
        <w:t>23</w:t>
      </w:r>
      <w:r w:rsidRPr="005E157B">
        <w:rPr>
          <w:rtl/>
          <w:lang w:val="fr-CH"/>
        </w:rPr>
        <w:t>(</w:t>
      </w:r>
      <w:r w:rsidRPr="00FC57D5">
        <w:rPr>
          <w:rtl/>
          <w:lang w:val="fr-CH"/>
        </w:rPr>
        <w:t>4</w:t>
      </w:r>
      <w:r w:rsidRPr="005E157B">
        <w:rPr>
          <w:rtl/>
          <w:lang w:val="fr-CH"/>
        </w:rPr>
        <w:t>) التي تفيد الدولة الطرف بأنها تتعارض مع الشريعة الإسلامية</w:t>
      </w:r>
      <w:r w:rsidR="00BA42F6">
        <w:rPr>
          <w:rtl/>
          <w:lang w:val="fr-CH"/>
        </w:rPr>
        <w:t>،</w:t>
      </w:r>
      <w:r w:rsidRPr="005E157B">
        <w:rPr>
          <w:rtl/>
          <w:lang w:val="fr-CH"/>
        </w:rPr>
        <w:t xml:space="preserve"> وإعلاناتها بشأن المواد </w:t>
      </w:r>
      <w:r w:rsidRPr="00FC57D5">
        <w:rPr>
          <w:rtl/>
          <w:lang w:val="fr-CH"/>
        </w:rPr>
        <w:t>7</w:t>
      </w:r>
      <w:r w:rsidRPr="005E157B">
        <w:rPr>
          <w:rtl/>
          <w:lang w:val="fr-CH"/>
        </w:rPr>
        <w:t xml:space="preserve"> و</w:t>
      </w:r>
      <w:r w:rsidRPr="00FC57D5">
        <w:rPr>
          <w:rtl/>
          <w:lang w:val="fr-CH"/>
        </w:rPr>
        <w:t>18</w:t>
      </w:r>
      <w:r w:rsidRPr="005E157B">
        <w:rPr>
          <w:rtl/>
          <w:lang w:val="fr-CH"/>
        </w:rPr>
        <w:t>(</w:t>
      </w:r>
      <w:r w:rsidRPr="00FC57D5">
        <w:rPr>
          <w:rtl/>
          <w:lang w:val="fr-CH"/>
        </w:rPr>
        <w:t>2</w:t>
      </w:r>
      <w:r w:rsidRPr="005E157B">
        <w:rPr>
          <w:rtl/>
          <w:lang w:val="fr-CH"/>
        </w:rPr>
        <w:t>) و</w:t>
      </w:r>
      <w:r w:rsidRPr="00FC57D5">
        <w:rPr>
          <w:rtl/>
          <w:lang w:val="fr-CH"/>
        </w:rPr>
        <w:t>23</w:t>
      </w:r>
      <w:r w:rsidRPr="005E157B">
        <w:rPr>
          <w:rtl/>
          <w:lang w:val="fr-CH"/>
        </w:rPr>
        <w:t>(</w:t>
      </w:r>
      <w:r w:rsidRPr="00FC57D5">
        <w:rPr>
          <w:rtl/>
          <w:lang w:val="fr-CH"/>
        </w:rPr>
        <w:t>2</w:t>
      </w:r>
      <w:r w:rsidRPr="005E157B">
        <w:rPr>
          <w:rtl/>
          <w:lang w:val="fr-CH"/>
        </w:rPr>
        <w:t>)</w:t>
      </w:r>
      <w:r w:rsidR="00BA42F6">
        <w:rPr>
          <w:rtl/>
          <w:lang w:val="fr-CH"/>
        </w:rPr>
        <w:t>،</w:t>
      </w:r>
      <w:r w:rsidRPr="005E157B">
        <w:rPr>
          <w:rtl/>
          <w:lang w:val="fr-CH"/>
        </w:rPr>
        <w:t xml:space="preserve"> التي تقضي أحكامها بتفسير هذه المواد وتنفيذها وفقاً للشريعة الإسلامية (المادة </w:t>
      </w:r>
      <w:r w:rsidRPr="00FC57D5">
        <w:rPr>
          <w:rtl/>
          <w:lang w:val="fr-CH"/>
        </w:rPr>
        <w:t>2</w:t>
      </w:r>
      <w:r w:rsidRPr="005E157B">
        <w:rPr>
          <w:rtl/>
          <w:lang w:val="fr-CH"/>
        </w:rPr>
        <w:t xml:space="preserve">). </w:t>
      </w:r>
    </w:p>
    <w:p w14:paraId="1B9A878C" w14:textId="0D95F1AE" w:rsidR="005E157B" w:rsidRPr="00FC57D5" w:rsidRDefault="005E157B" w:rsidP="00436209">
      <w:pPr>
        <w:pStyle w:val="SingleTxtGA"/>
        <w:rPr>
          <w:b/>
          <w:bCs/>
          <w:lang w:val="fr-CH"/>
        </w:rPr>
      </w:pPr>
      <w:r w:rsidRPr="00FC57D5">
        <w:rPr>
          <w:rtl/>
          <w:lang w:val="fr-CH"/>
        </w:rPr>
        <w:t>7</w:t>
      </w:r>
      <w:r w:rsidRPr="005E157B">
        <w:rPr>
          <w:rtl/>
          <w:lang w:val="fr-CH"/>
        </w:rPr>
        <w:t>-</w:t>
      </w:r>
      <w:r w:rsidRPr="005E157B">
        <w:rPr>
          <w:rtl/>
          <w:lang w:val="fr-CH"/>
        </w:rPr>
        <w:tab/>
      </w:r>
      <w:r w:rsidRPr="00FC57D5">
        <w:rPr>
          <w:b/>
          <w:bCs/>
          <w:rtl/>
          <w:lang w:val="fr-CH"/>
        </w:rPr>
        <w:t>ينبغي للدولة الطرف أن تتخذ خطوات ملموسة تهدف إلى سحب تحفظاتها على مواد العهد وما أصدرته من إعلانات بشأنها</w:t>
      </w:r>
      <w:r w:rsidR="00BA42F6" w:rsidRPr="00FC57D5">
        <w:rPr>
          <w:b/>
          <w:bCs/>
          <w:rtl/>
          <w:lang w:val="fr-CH"/>
        </w:rPr>
        <w:t>،</w:t>
      </w:r>
      <w:r w:rsidRPr="00FC57D5">
        <w:rPr>
          <w:b/>
          <w:bCs/>
          <w:rtl/>
          <w:lang w:val="fr-CH"/>
        </w:rPr>
        <w:t xml:space="preserve"> بما يضمن تطبيق العهد تطبيقاً كاملاً وفعالاً. </w:t>
      </w:r>
    </w:p>
    <w:p w14:paraId="124ECF5E" w14:textId="77777777" w:rsidR="005E157B" w:rsidRPr="00FC57D5" w:rsidRDefault="005E157B" w:rsidP="00436209">
      <w:pPr>
        <w:pStyle w:val="H23GA"/>
      </w:pPr>
      <w:r w:rsidRPr="00FC57D5">
        <w:rPr>
          <w:rtl/>
        </w:rPr>
        <w:tab/>
      </w:r>
      <w:r w:rsidRPr="00FC57D5">
        <w:rPr>
          <w:rtl/>
        </w:rPr>
        <w:tab/>
        <w:t xml:space="preserve">المؤسّسة الوطنية لحقوق الإنسان </w:t>
      </w:r>
    </w:p>
    <w:p w14:paraId="747603E4" w14:textId="4C2F8E8C" w:rsidR="005E157B" w:rsidRPr="00BA42F6" w:rsidRDefault="005E157B" w:rsidP="00436209">
      <w:pPr>
        <w:pStyle w:val="SingleTxtGA"/>
        <w:rPr>
          <w:spacing w:val="-4"/>
          <w:lang w:val="fr-CH"/>
        </w:rPr>
      </w:pPr>
      <w:r w:rsidRPr="00FC57D5">
        <w:rPr>
          <w:spacing w:val="-4"/>
          <w:rtl/>
          <w:lang w:val="fr-CH"/>
        </w:rPr>
        <w:t>8</w:t>
      </w:r>
      <w:r w:rsidRPr="00BA42F6">
        <w:rPr>
          <w:spacing w:val="-4"/>
          <w:rtl/>
          <w:lang w:val="fr-CH"/>
        </w:rPr>
        <w:t>-</w:t>
      </w:r>
      <w:r w:rsidRPr="00BA42F6">
        <w:rPr>
          <w:spacing w:val="-4"/>
          <w:rtl/>
          <w:lang w:val="fr-CH"/>
        </w:rPr>
        <w:tab/>
        <w:t>ترحب اللجنة بإعادة اعتماد اللجنة الوطنية لحقوق الإنسان</w:t>
      </w:r>
      <w:r w:rsidR="00BA42F6" w:rsidRPr="00BA42F6">
        <w:rPr>
          <w:spacing w:val="-4"/>
          <w:rtl/>
          <w:lang w:val="fr-CH"/>
        </w:rPr>
        <w:t>،</w:t>
      </w:r>
      <w:r w:rsidRPr="00BA42F6">
        <w:rPr>
          <w:spacing w:val="-4"/>
          <w:rtl/>
          <w:lang w:val="fr-CH"/>
        </w:rPr>
        <w:t xml:space="preserve"> في عام </w:t>
      </w:r>
      <w:r w:rsidRPr="00FC57D5">
        <w:rPr>
          <w:spacing w:val="-4"/>
          <w:rtl/>
          <w:lang w:val="fr-CH"/>
        </w:rPr>
        <w:t>2021</w:t>
      </w:r>
      <w:r w:rsidR="00BA42F6" w:rsidRPr="00BA42F6">
        <w:rPr>
          <w:spacing w:val="-4"/>
          <w:rtl/>
          <w:lang w:val="fr-CH"/>
        </w:rPr>
        <w:t>،</w:t>
      </w:r>
      <w:r w:rsidRPr="00BA42F6">
        <w:rPr>
          <w:spacing w:val="-4"/>
          <w:rtl/>
          <w:lang w:val="fr-CH"/>
        </w:rPr>
        <w:t xml:space="preserve"> ومنحها المركز </w:t>
      </w:r>
      <w:r w:rsidR="00BA42F6">
        <w:rPr>
          <w:rFonts w:hint="cs"/>
          <w:spacing w:val="-4"/>
          <w:rtl/>
          <w:lang w:val="fr-CH"/>
        </w:rPr>
        <w:t>"</w:t>
      </w:r>
      <w:r w:rsidRPr="00BA42F6">
        <w:rPr>
          <w:spacing w:val="-4"/>
          <w:rtl/>
          <w:lang w:val="fr-CH"/>
        </w:rPr>
        <w:t>ألف</w:t>
      </w:r>
      <w:r w:rsidR="00BA42F6">
        <w:rPr>
          <w:rFonts w:hint="cs"/>
          <w:spacing w:val="-4"/>
          <w:rtl/>
          <w:lang w:val="fr-CH"/>
        </w:rPr>
        <w:t>"</w:t>
      </w:r>
      <w:r w:rsidRPr="00BA42F6">
        <w:rPr>
          <w:spacing w:val="-4"/>
          <w:rtl/>
          <w:lang w:val="fr-CH"/>
        </w:rPr>
        <w:t xml:space="preserve"> من جانب التحالف العالمي للمؤسسات الوطنية لحقوق الإنسان. بيد أنها تلاحظ أيض</w:t>
      </w:r>
      <w:r w:rsidR="00CA46B9">
        <w:rPr>
          <w:spacing w:val="-4"/>
          <w:rtl/>
          <w:lang w:val="fr-CH"/>
        </w:rPr>
        <w:t xml:space="preserve">اً </w:t>
      </w:r>
      <w:r w:rsidRPr="00BA42F6">
        <w:rPr>
          <w:spacing w:val="-4"/>
          <w:rtl/>
          <w:lang w:val="fr-CH"/>
        </w:rPr>
        <w:t>بقلق التقارير</w:t>
      </w:r>
      <w:r w:rsidR="00BA42F6" w:rsidRPr="00BA42F6">
        <w:rPr>
          <w:spacing w:val="-4"/>
          <w:rtl/>
          <w:lang w:val="fr-CH"/>
        </w:rPr>
        <w:t>،</w:t>
      </w:r>
      <w:r w:rsidRPr="00BA42F6">
        <w:rPr>
          <w:spacing w:val="-4"/>
          <w:rtl/>
          <w:lang w:val="fr-CH"/>
        </w:rPr>
        <w:t xml:space="preserve"> بما فيها التقارير الواردة من التحالف العالمي للمؤسسات الوطنية لحقوق الإنسان</w:t>
      </w:r>
      <w:r w:rsidR="00BA42F6" w:rsidRPr="00BA42F6">
        <w:rPr>
          <w:spacing w:val="-4"/>
          <w:rtl/>
          <w:lang w:val="fr-CH"/>
        </w:rPr>
        <w:t>،</w:t>
      </w:r>
      <w:r w:rsidRPr="00BA42F6">
        <w:rPr>
          <w:spacing w:val="-4"/>
          <w:rtl/>
          <w:lang w:val="fr-CH"/>
        </w:rPr>
        <w:t xml:space="preserve"> التي تفيد بخضوع ترشيح أعضاء اللجنة وتعيينهم وإعفائهم لموافقةِ الأمير</w:t>
      </w:r>
      <w:r w:rsidR="00BA42F6" w:rsidRPr="00BA42F6">
        <w:rPr>
          <w:spacing w:val="-4"/>
          <w:rtl/>
          <w:lang w:val="fr-CH"/>
        </w:rPr>
        <w:t>،</w:t>
      </w:r>
      <w:r w:rsidRPr="00BA42F6">
        <w:rPr>
          <w:spacing w:val="-4"/>
          <w:rtl/>
          <w:lang w:val="fr-CH"/>
        </w:rPr>
        <w:t xml:space="preserve"> وبعدم وجود أحكام قانونية كافية فيما يتعلق بإجراءات ومعايير تعيين أعضاء اللجنة وإعفائهم</w:t>
      </w:r>
      <w:r w:rsidR="00BA42F6" w:rsidRPr="00BA42F6">
        <w:rPr>
          <w:spacing w:val="-4"/>
          <w:rtl/>
          <w:lang w:val="fr-CH"/>
        </w:rPr>
        <w:t>،</w:t>
      </w:r>
      <w:r w:rsidRPr="00BA42F6">
        <w:rPr>
          <w:spacing w:val="-4"/>
          <w:rtl/>
          <w:lang w:val="fr-CH"/>
        </w:rPr>
        <w:t xml:space="preserve"> وذلك رغم التدابير التي اتخذتها الدولة الطرف في هذا الصدد</w:t>
      </w:r>
      <w:r w:rsidR="00BA42F6" w:rsidRPr="00BA42F6">
        <w:rPr>
          <w:spacing w:val="-4"/>
          <w:rtl/>
          <w:lang w:val="fr-CH"/>
        </w:rPr>
        <w:t>،</w:t>
      </w:r>
      <w:r w:rsidRPr="00BA42F6">
        <w:rPr>
          <w:spacing w:val="-4"/>
          <w:rtl/>
          <w:lang w:val="fr-CH"/>
        </w:rPr>
        <w:t xml:space="preserve"> مثل القانون رقم (</w:t>
      </w:r>
      <w:r w:rsidRPr="00FC57D5">
        <w:rPr>
          <w:spacing w:val="-4"/>
          <w:rtl/>
          <w:lang w:val="fr-CH"/>
        </w:rPr>
        <w:t>12</w:t>
      </w:r>
      <w:r w:rsidRPr="00BA42F6">
        <w:rPr>
          <w:spacing w:val="-4"/>
          <w:rtl/>
          <w:lang w:val="fr-CH"/>
        </w:rPr>
        <w:t xml:space="preserve">) لسنة </w:t>
      </w:r>
      <w:r w:rsidRPr="00FC57D5">
        <w:rPr>
          <w:spacing w:val="-4"/>
          <w:rtl/>
          <w:lang w:val="fr-CH"/>
        </w:rPr>
        <w:t>2015</w:t>
      </w:r>
      <w:r w:rsidRPr="00BA42F6">
        <w:rPr>
          <w:spacing w:val="-4"/>
          <w:rtl/>
          <w:lang w:val="fr-CH"/>
        </w:rPr>
        <w:t xml:space="preserve"> الذي يضمن استقلالية اللجنة الوطنية لحقوق الإنسان وتمتع أعضائها بالحصانة في أداء مهامهم (المادة </w:t>
      </w:r>
      <w:r w:rsidRPr="00FC57D5">
        <w:rPr>
          <w:spacing w:val="-4"/>
          <w:rtl/>
          <w:lang w:val="fr-CH"/>
        </w:rPr>
        <w:t>2</w:t>
      </w:r>
      <w:r w:rsidRPr="00BA42F6">
        <w:rPr>
          <w:spacing w:val="-4"/>
          <w:rtl/>
          <w:lang w:val="fr-CH"/>
        </w:rPr>
        <w:t xml:space="preserve">). </w:t>
      </w:r>
    </w:p>
    <w:p w14:paraId="6E802B40" w14:textId="2456DDAD" w:rsidR="005E157B" w:rsidRPr="00FC57D5" w:rsidRDefault="005E157B" w:rsidP="00436209">
      <w:pPr>
        <w:pStyle w:val="SingleTxtGA"/>
        <w:rPr>
          <w:b/>
          <w:bCs/>
          <w:lang w:val="fr-CH"/>
        </w:rPr>
      </w:pPr>
      <w:r w:rsidRPr="00FC57D5">
        <w:rPr>
          <w:rtl/>
          <w:lang w:val="fr-CH"/>
        </w:rPr>
        <w:lastRenderedPageBreak/>
        <w:t>9</w:t>
      </w:r>
      <w:r w:rsidRPr="005E157B">
        <w:rPr>
          <w:rtl/>
          <w:lang w:val="fr-CH"/>
        </w:rPr>
        <w:t>-</w:t>
      </w:r>
      <w:r w:rsidRPr="005E157B">
        <w:rPr>
          <w:rtl/>
          <w:lang w:val="fr-CH"/>
        </w:rPr>
        <w:tab/>
      </w:r>
      <w:r w:rsidRPr="00FC57D5">
        <w:rPr>
          <w:rFonts w:ascii="Times New Roman Bold" w:hAnsi="Times New Roman Bold"/>
          <w:b/>
          <w:bCs/>
          <w:spacing w:val="2"/>
          <w:rtl/>
          <w:lang w:val="fr-CH"/>
        </w:rPr>
        <w:t>ينبغي للدولة الطرف أن تواصل جهودها الرامية إلى ضمان امتثال اللجنة الوطنية لحقوق الإنسان امتثالاً تاماً للمبادئ المتعلقة بمركز المؤسسات الوطنية لتعزيز وحماية حقوق الإنسان</w:t>
      </w:r>
      <w:r w:rsidRPr="00FC57D5">
        <w:rPr>
          <w:b/>
          <w:bCs/>
          <w:rtl/>
          <w:lang w:val="fr-CH"/>
        </w:rPr>
        <w:t xml:space="preserve"> (مبادئ</w:t>
      </w:r>
      <w:r w:rsidR="00646316" w:rsidRPr="00FC57D5">
        <w:rPr>
          <w:rFonts w:hint="cs"/>
          <w:b/>
          <w:bCs/>
          <w:rtl/>
          <w:lang w:val="fr-CH"/>
        </w:rPr>
        <w:t> </w:t>
      </w:r>
      <w:r w:rsidRPr="00FC57D5">
        <w:rPr>
          <w:b/>
          <w:bCs/>
          <w:rtl/>
          <w:lang w:val="fr-CH"/>
        </w:rPr>
        <w:t>باريس) وتمكينها من الاضطلاع بولايتها على نحو كامل وفعال ومستقل</w:t>
      </w:r>
      <w:r w:rsidR="00BA42F6" w:rsidRPr="00FC57D5">
        <w:rPr>
          <w:b/>
          <w:bCs/>
          <w:rtl/>
          <w:lang w:val="fr-CH"/>
        </w:rPr>
        <w:t>،</w:t>
      </w:r>
      <w:r w:rsidRPr="00FC57D5">
        <w:rPr>
          <w:b/>
          <w:bCs/>
          <w:rtl/>
          <w:lang w:val="fr-CH"/>
        </w:rPr>
        <w:t xml:space="preserve"> بما في ذلك عن طريق تعزيز تعددية أعضائها وموظفيها وتنوعهم. </w:t>
      </w:r>
    </w:p>
    <w:p w14:paraId="460825F8" w14:textId="77777777" w:rsidR="005E157B" w:rsidRPr="00FC57D5" w:rsidRDefault="005E157B" w:rsidP="00436209">
      <w:pPr>
        <w:pStyle w:val="H23GA"/>
      </w:pPr>
      <w:r w:rsidRPr="00FC57D5">
        <w:rPr>
          <w:rtl/>
        </w:rPr>
        <w:tab/>
      </w:r>
      <w:r w:rsidRPr="00FC57D5">
        <w:rPr>
          <w:rtl/>
        </w:rPr>
        <w:tab/>
        <w:t>تدابير مكافحة الإرهاب</w:t>
      </w:r>
    </w:p>
    <w:p w14:paraId="41A56E57" w14:textId="5B5B2398" w:rsidR="005E157B" w:rsidRPr="005E157B" w:rsidRDefault="005E157B" w:rsidP="005E157B">
      <w:pPr>
        <w:pStyle w:val="SingleTxtGA"/>
        <w:rPr>
          <w:lang w:val="fr-CH"/>
        </w:rPr>
      </w:pPr>
      <w:r w:rsidRPr="00FC57D5">
        <w:rPr>
          <w:rtl/>
          <w:lang w:val="fr-CH"/>
        </w:rPr>
        <w:t>10</w:t>
      </w:r>
      <w:r w:rsidRPr="005E157B">
        <w:rPr>
          <w:rtl/>
          <w:lang w:val="fr-CH"/>
        </w:rPr>
        <w:t>-</w:t>
      </w:r>
      <w:r w:rsidRPr="005E157B">
        <w:rPr>
          <w:rtl/>
          <w:lang w:val="fr-CH"/>
        </w:rPr>
        <w:tab/>
        <w:t>يساور اللجنة القلق إزاء تشريعات الدولة الطرف المتعلقة بمكافحة الإرهاب</w:t>
      </w:r>
      <w:r w:rsidR="00BA42F6">
        <w:rPr>
          <w:rtl/>
          <w:lang w:val="fr-CH"/>
        </w:rPr>
        <w:t>،</w:t>
      </w:r>
      <w:r w:rsidRPr="005E157B">
        <w:rPr>
          <w:rtl/>
          <w:lang w:val="fr-CH"/>
        </w:rPr>
        <w:t xml:space="preserve"> ولا سيما المادة </w:t>
      </w:r>
      <w:r w:rsidRPr="00FC57D5">
        <w:rPr>
          <w:rtl/>
          <w:lang w:val="fr-CH"/>
        </w:rPr>
        <w:t>23</w:t>
      </w:r>
      <w:r w:rsidRPr="005E157B">
        <w:rPr>
          <w:rtl/>
          <w:lang w:val="fr-CH"/>
        </w:rPr>
        <w:t xml:space="preserve"> </w:t>
      </w:r>
      <w:r w:rsidRPr="00085A1B">
        <w:rPr>
          <w:spacing w:val="-4"/>
          <w:rtl/>
          <w:lang w:val="fr-CH"/>
        </w:rPr>
        <w:t>من قانون مكافحة الإرهاب (القانون رقم (</w:t>
      </w:r>
      <w:r w:rsidRPr="00FC57D5">
        <w:rPr>
          <w:spacing w:val="-4"/>
          <w:rtl/>
          <w:lang w:val="fr-CH"/>
        </w:rPr>
        <w:t>3</w:t>
      </w:r>
      <w:r w:rsidRPr="00085A1B">
        <w:rPr>
          <w:spacing w:val="-4"/>
          <w:rtl/>
          <w:lang w:val="fr-CH"/>
        </w:rPr>
        <w:t xml:space="preserve">) لسنة </w:t>
      </w:r>
      <w:r w:rsidRPr="00FC57D5">
        <w:rPr>
          <w:spacing w:val="-4"/>
          <w:rtl/>
          <w:lang w:val="fr-CH"/>
        </w:rPr>
        <w:t>2004</w:t>
      </w:r>
      <w:r w:rsidRPr="00085A1B">
        <w:rPr>
          <w:spacing w:val="-4"/>
          <w:rtl/>
          <w:lang w:val="fr-CH"/>
        </w:rPr>
        <w:t xml:space="preserve"> المعدل بالقانون رقم (</w:t>
      </w:r>
      <w:r w:rsidRPr="00FC57D5">
        <w:rPr>
          <w:spacing w:val="-4"/>
          <w:rtl/>
          <w:lang w:val="fr-CH"/>
        </w:rPr>
        <w:t>27</w:t>
      </w:r>
      <w:r w:rsidRPr="00085A1B">
        <w:rPr>
          <w:spacing w:val="-4"/>
          <w:rtl/>
          <w:lang w:val="fr-CH"/>
        </w:rPr>
        <w:t xml:space="preserve">) لسنة </w:t>
      </w:r>
      <w:r w:rsidRPr="00FC57D5">
        <w:rPr>
          <w:spacing w:val="-4"/>
          <w:rtl/>
          <w:lang w:val="fr-CH"/>
        </w:rPr>
        <w:t>2019</w:t>
      </w:r>
      <w:r w:rsidRPr="00085A1B">
        <w:rPr>
          <w:spacing w:val="-4"/>
          <w:rtl/>
          <w:lang w:val="fr-CH"/>
        </w:rPr>
        <w:t>)</w:t>
      </w:r>
      <w:r w:rsidR="00BA42F6" w:rsidRPr="00085A1B">
        <w:rPr>
          <w:spacing w:val="-4"/>
          <w:rtl/>
          <w:lang w:val="fr-CH"/>
        </w:rPr>
        <w:t>،</w:t>
      </w:r>
      <w:r w:rsidRPr="00085A1B">
        <w:rPr>
          <w:spacing w:val="-4"/>
          <w:rtl/>
          <w:lang w:val="fr-CH"/>
        </w:rPr>
        <w:t xml:space="preserve"> والمادة </w:t>
      </w:r>
      <w:r w:rsidRPr="00FC57D5">
        <w:rPr>
          <w:spacing w:val="-4"/>
          <w:rtl/>
          <w:lang w:val="fr-CH"/>
        </w:rPr>
        <w:t>7</w:t>
      </w:r>
      <w:r w:rsidRPr="005E157B">
        <w:rPr>
          <w:rtl/>
          <w:lang w:val="fr-CH"/>
        </w:rPr>
        <w:t xml:space="preserve"> من قانون إنشاء جهاز أمن الدولة (القانون رقم (</w:t>
      </w:r>
      <w:r w:rsidRPr="00FC57D5">
        <w:rPr>
          <w:rtl/>
          <w:lang w:val="fr-CH"/>
        </w:rPr>
        <w:t>5</w:t>
      </w:r>
      <w:r w:rsidRPr="005E157B">
        <w:rPr>
          <w:rtl/>
          <w:lang w:val="fr-CH"/>
        </w:rPr>
        <w:t xml:space="preserve">) لسنة </w:t>
      </w:r>
      <w:r w:rsidRPr="00FC57D5">
        <w:rPr>
          <w:rtl/>
          <w:lang w:val="fr-CH"/>
        </w:rPr>
        <w:t>2003</w:t>
      </w:r>
      <w:r w:rsidRPr="005E157B">
        <w:rPr>
          <w:rtl/>
          <w:lang w:val="fr-CH"/>
        </w:rPr>
        <w:t xml:space="preserve"> المعدل بالقانون رقم (</w:t>
      </w:r>
      <w:r w:rsidRPr="00FC57D5">
        <w:rPr>
          <w:rtl/>
          <w:lang w:val="fr-CH"/>
        </w:rPr>
        <w:t>10</w:t>
      </w:r>
      <w:r w:rsidRPr="005E157B">
        <w:rPr>
          <w:rtl/>
          <w:lang w:val="fr-CH"/>
        </w:rPr>
        <w:t xml:space="preserve">) لسنة </w:t>
      </w:r>
      <w:r w:rsidRPr="00FC57D5">
        <w:rPr>
          <w:rtl/>
          <w:lang w:val="fr-CH"/>
        </w:rPr>
        <w:t>2008</w:t>
      </w:r>
      <w:r w:rsidRPr="005E157B">
        <w:rPr>
          <w:rtl/>
          <w:lang w:val="fr-CH"/>
        </w:rPr>
        <w:t>)</w:t>
      </w:r>
      <w:r w:rsidR="00BA42F6">
        <w:rPr>
          <w:rtl/>
          <w:lang w:val="fr-CH"/>
        </w:rPr>
        <w:t>،</w:t>
      </w:r>
      <w:r w:rsidRPr="005E157B">
        <w:rPr>
          <w:rtl/>
          <w:lang w:val="fr-CH"/>
        </w:rPr>
        <w:t xml:space="preserve"> والمادة </w:t>
      </w:r>
      <w:r w:rsidRPr="00FC57D5">
        <w:rPr>
          <w:rtl/>
          <w:lang w:val="fr-CH"/>
        </w:rPr>
        <w:t>2</w:t>
      </w:r>
      <w:r w:rsidRPr="005E157B">
        <w:rPr>
          <w:rtl/>
          <w:lang w:val="fr-CH"/>
        </w:rPr>
        <w:t xml:space="preserve"> من قانون حماية المجتمع (القانون رقم (</w:t>
      </w:r>
      <w:r w:rsidRPr="00FC57D5">
        <w:rPr>
          <w:rtl/>
          <w:lang w:val="fr-CH"/>
        </w:rPr>
        <w:t>17</w:t>
      </w:r>
      <w:r w:rsidRPr="005E157B">
        <w:rPr>
          <w:rtl/>
          <w:lang w:val="fr-CH"/>
        </w:rPr>
        <w:t xml:space="preserve">) لسنة </w:t>
      </w:r>
      <w:r w:rsidRPr="00FC57D5">
        <w:rPr>
          <w:rtl/>
          <w:lang w:val="fr-CH"/>
        </w:rPr>
        <w:t>2002</w:t>
      </w:r>
      <w:r w:rsidRPr="005E157B">
        <w:rPr>
          <w:rtl/>
          <w:lang w:val="fr-CH"/>
        </w:rPr>
        <w:t>)</w:t>
      </w:r>
      <w:r w:rsidR="00BA42F6">
        <w:rPr>
          <w:rtl/>
          <w:lang w:val="fr-CH"/>
        </w:rPr>
        <w:t>،</w:t>
      </w:r>
      <w:r w:rsidRPr="005E157B">
        <w:rPr>
          <w:rtl/>
          <w:lang w:val="fr-CH"/>
        </w:rPr>
        <w:t xml:space="preserve"> التي تجيز التحفظ على المتهمين لفترات طويلة من دون مراجعة قضائية كافية. وتحيط اللجنة علم</w:t>
      </w:r>
      <w:r w:rsidR="00CA46B9">
        <w:rPr>
          <w:rtl/>
          <w:lang w:val="fr-CH"/>
        </w:rPr>
        <w:t xml:space="preserve">اً </w:t>
      </w:r>
      <w:r w:rsidRPr="005E157B">
        <w:rPr>
          <w:rtl/>
          <w:lang w:val="fr-CH"/>
        </w:rPr>
        <w:t>بما قدمته الدولة الطرف من معلومات عن عدد الأفراد الذين ألقي القبض عليهم بموجب قانون حماية المجتمع</w:t>
      </w:r>
      <w:r w:rsidR="00BA42F6">
        <w:rPr>
          <w:rtl/>
          <w:lang w:val="fr-CH"/>
        </w:rPr>
        <w:t>،</w:t>
      </w:r>
      <w:r w:rsidRPr="005E157B">
        <w:rPr>
          <w:rtl/>
          <w:lang w:val="fr-CH"/>
        </w:rPr>
        <w:t xml:space="preserve"> غير أنها تأسف لعدم تقديم </w:t>
      </w:r>
      <w:r w:rsidRPr="00085A1B">
        <w:rPr>
          <w:spacing w:val="-4"/>
          <w:rtl/>
          <w:lang w:val="fr-CH"/>
        </w:rPr>
        <w:t>معلومات عن عدد الأشخاص الذين ألقي القبض عليهم للاشتباه في انتهاكهم قانون مكافحة الإرهاب وقانون</w:t>
      </w:r>
      <w:r w:rsidRPr="005E157B">
        <w:rPr>
          <w:rtl/>
          <w:lang w:val="fr-CH"/>
        </w:rPr>
        <w:t xml:space="preserve"> إنشاء جهاز أمن الدولة. وتأسف اللجنة أيضاً لعدم تقديم معلومات عن متوسط مدة الاحتجاز التحفُّظي بموجب هذه القوانين الثلاثة (المواد </w:t>
      </w:r>
      <w:r w:rsidRPr="00FC57D5">
        <w:rPr>
          <w:rtl/>
          <w:lang w:val="fr-CH"/>
        </w:rPr>
        <w:t>2</w:t>
      </w:r>
      <w:r w:rsidRPr="005E157B">
        <w:rPr>
          <w:rtl/>
          <w:lang w:val="fr-CH"/>
        </w:rPr>
        <w:t xml:space="preserve"> و</w:t>
      </w:r>
      <w:r w:rsidRPr="00FC57D5">
        <w:rPr>
          <w:rtl/>
          <w:lang w:val="fr-CH"/>
        </w:rPr>
        <w:t>9</w:t>
      </w:r>
      <w:r w:rsidRPr="005E157B">
        <w:rPr>
          <w:rtl/>
          <w:lang w:val="fr-CH"/>
        </w:rPr>
        <w:t xml:space="preserve"> و</w:t>
      </w:r>
      <w:r w:rsidRPr="00FC57D5">
        <w:rPr>
          <w:rtl/>
          <w:lang w:val="fr-CH"/>
        </w:rPr>
        <w:t>14</w:t>
      </w:r>
      <w:r w:rsidRPr="005E157B">
        <w:rPr>
          <w:rtl/>
          <w:lang w:val="fr-CH"/>
        </w:rPr>
        <w:t xml:space="preserve">). </w:t>
      </w:r>
    </w:p>
    <w:p w14:paraId="0286D1E1" w14:textId="2BCB53FD" w:rsidR="005E157B" w:rsidRPr="00FC57D5" w:rsidRDefault="005E157B" w:rsidP="005E157B">
      <w:pPr>
        <w:pStyle w:val="SingleTxtGA"/>
        <w:rPr>
          <w:b/>
          <w:bCs/>
          <w:lang w:val="fr-CH"/>
        </w:rPr>
      </w:pPr>
      <w:r w:rsidRPr="00FC57D5">
        <w:rPr>
          <w:rtl/>
          <w:lang w:val="fr-CH"/>
        </w:rPr>
        <w:t>11</w:t>
      </w:r>
      <w:r w:rsidRPr="005E157B">
        <w:rPr>
          <w:rtl/>
          <w:lang w:val="fr-CH"/>
        </w:rPr>
        <w:t>-</w:t>
      </w:r>
      <w:r w:rsidRPr="005E157B">
        <w:rPr>
          <w:rtl/>
          <w:lang w:val="fr-CH"/>
        </w:rPr>
        <w:tab/>
      </w:r>
      <w:r w:rsidRPr="00FC57D5">
        <w:rPr>
          <w:b/>
          <w:bCs/>
          <w:rtl/>
          <w:lang w:val="fr-CH"/>
        </w:rPr>
        <w:t xml:space="preserve">ينبغي للدولة الطرف أن تكفل امتثال أحكام تشريعها المتعلق بمكافحة الإرهاب امتثالاً تاماً للعهد </w:t>
      </w:r>
      <w:r w:rsidRPr="00FC57D5">
        <w:rPr>
          <w:b/>
          <w:bCs/>
          <w:spacing w:val="-4"/>
          <w:rtl/>
          <w:lang w:val="fr-CH"/>
        </w:rPr>
        <w:t>ولمبادئ اليقين القانوني والقدرة على التنبؤ والتناسب</w:t>
      </w:r>
      <w:r w:rsidR="00BA42F6" w:rsidRPr="00FC57D5">
        <w:rPr>
          <w:b/>
          <w:bCs/>
          <w:spacing w:val="-4"/>
          <w:rtl/>
          <w:lang w:val="fr-CH"/>
        </w:rPr>
        <w:t>،</w:t>
      </w:r>
      <w:r w:rsidRPr="00FC57D5">
        <w:rPr>
          <w:b/>
          <w:bCs/>
          <w:spacing w:val="-4"/>
          <w:rtl/>
          <w:lang w:val="fr-CH"/>
        </w:rPr>
        <w:t xml:space="preserve"> ولا سيما الأحكام التي تجيز الاحتجاز التحفُّظي لفترات</w:t>
      </w:r>
      <w:r w:rsidRPr="00FC57D5">
        <w:rPr>
          <w:b/>
          <w:bCs/>
          <w:rtl/>
          <w:lang w:val="fr-CH"/>
        </w:rPr>
        <w:t xml:space="preserve"> طويلة من دون مراجعة قضائية كافية. وينبغي لها أيضاً أن تكفل توفير ضمانات إجرائية مناسبة</w:t>
      </w:r>
      <w:r w:rsidR="00BA42F6" w:rsidRPr="00FC57D5">
        <w:rPr>
          <w:b/>
          <w:bCs/>
          <w:rtl/>
          <w:lang w:val="fr-CH"/>
        </w:rPr>
        <w:t>،</w:t>
      </w:r>
      <w:r w:rsidRPr="00FC57D5">
        <w:rPr>
          <w:b/>
          <w:bCs/>
          <w:rtl/>
          <w:lang w:val="fr-CH"/>
        </w:rPr>
        <w:t xml:space="preserve"> قانوناً وممارسةً</w:t>
      </w:r>
      <w:r w:rsidR="00BA42F6" w:rsidRPr="00FC57D5">
        <w:rPr>
          <w:b/>
          <w:bCs/>
          <w:rtl/>
          <w:lang w:val="fr-CH"/>
        </w:rPr>
        <w:t>،</w:t>
      </w:r>
      <w:r w:rsidRPr="00FC57D5">
        <w:rPr>
          <w:b/>
          <w:bCs/>
          <w:rtl/>
          <w:lang w:val="fr-CH"/>
        </w:rPr>
        <w:t xml:space="preserve"> للأشخاص المشتبه في ارتكابهم أعمالاً إرهابية أو جرائم ذات صلة</w:t>
      </w:r>
      <w:r w:rsidR="00BA42F6" w:rsidRPr="00FC57D5">
        <w:rPr>
          <w:b/>
          <w:bCs/>
          <w:rtl/>
          <w:lang w:val="fr-CH"/>
        </w:rPr>
        <w:t>،</w:t>
      </w:r>
      <w:r w:rsidRPr="00FC57D5">
        <w:rPr>
          <w:b/>
          <w:bCs/>
          <w:rtl/>
          <w:lang w:val="fr-CH"/>
        </w:rPr>
        <w:t xml:space="preserve"> أو المتهمين بارتكابها</w:t>
      </w:r>
      <w:r w:rsidR="00BA42F6" w:rsidRPr="00FC57D5">
        <w:rPr>
          <w:b/>
          <w:bCs/>
          <w:rtl/>
          <w:lang w:val="fr-CH"/>
        </w:rPr>
        <w:t>،</w:t>
      </w:r>
      <w:r w:rsidRPr="00FC57D5">
        <w:rPr>
          <w:b/>
          <w:bCs/>
          <w:rtl/>
          <w:lang w:val="fr-CH"/>
        </w:rPr>
        <w:t xml:space="preserve"> وذلك وفقاً لأحكام العهد. </w:t>
      </w:r>
    </w:p>
    <w:p w14:paraId="092E6927" w14:textId="77777777" w:rsidR="005E157B" w:rsidRPr="00FC57D5" w:rsidRDefault="005E157B" w:rsidP="005E157B">
      <w:pPr>
        <w:pStyle w:val="H23GA"/>
      </w:pPr>
      <w:r w:rsidRPr="00FC57D5">
        <w:rPr>
          <w:rtl/>
        </w:rPr>
        <w:tab/>
      </w:r>
      <w:r w:rsidRPr="00FC57D5">
        <w:rPr>
          <w:rtl/>
        </w:rPr>
        <w:tab/>
        <w:t>إطار عدم التمييز</w:t>
      </w:r>
    </w:p>
    <w:p w14:paraId="5484AA6D" w14:textId="44D88030" w:rsidR="005E157B" w:rsidRPr="00436209" w:rsidRDefault="005E157B" w:rsidP="005E157B">
      <w:pPr>
        <w:pStyle w:val="SingleTxtGA"/>
        <w:rPr>
          <w:lang w:val="fr-CH"/>
        </w:rPr>
      </w:pPr>
      <w:r w:rsidRPr="00FC57D5">
        <w:rPr>
          <w:rtl/>
          <w:lang w:val="fr-CH"/>
        </w:rPr>
        <w:t>12</w:t>
      </w:r>
      <w:r w:rsidRPr="00436209">
        <w:rPr>
          <w:rtl/>
          <w:lang w:val="fr-CH"/>
        </w:rPr>
        <w:t>-</w:t>
      </w:r>
      <w:r w:rsidRPr="00436209">
        <w:rPr>
          <w:rtl/>
          <w:lang w:val="fr-CH"/>
        </w:rPr>
        <w:tab/>
        <w:t>تحيط اللجنة علماً بأن دستور الدولة الطرف ينص على مبدأ المساواة</w:t>
      </w:r>
      <w:r w:rsidR="00BA42F6" w:rsidRPr="00436209">
        <w:rPr>
          <w:rtl/>
          <w:lang w:val="fr-CH"/>
        </w:rPr>
        <w:t>،</w:t>
      </w:r>
      <w:r w:rsidRPr="00436209">
        <w:rPr>
          <w:rtl/>
          <w:lang w:val="fr-CH"/>
        </w:rPr>
        <w:t xml:space="preserve"> في المادة </w:t>
      </w:r>
      <w:r w:rsidRPr="00FC57D5">
        <w:rPr>
          <w:rtl/>
          <w:lang w:val="fr-CH"/>
        </w:rPr>
        <w:t>18</w:t>
      </w:r>
      <w:r w:rsidRPr="00436209">
        <w:rPr>
          <w:rtl/>
          <w:lang w:val="fr-CH"/>
        </w:rPr>
        <w:t xml:space="preserve"> منه</w:t>
      </w:r>
      <w:r w:rsidR="00BA42F6" w:rsidRPr="00436209">
        <w:rPr>
          <w:rtl/>
          <w:lang w:val="fr-CH"/>
        </w:rPr>
        <w:t>،</w:t>
      </w:r>
      <w:r w:rsidRPr="00436209">
        <w:rPr>
          <w:rtl/>
          <w:lang w:val="fr-CH"/>
        </w:rPr>
        <w:t xml:space="preserve"> وعلى عدم التمييز على أساس </w:t>
      </w:r>
      <w:proofErr w:type="gramStart"/>
      <w:r w:rsidRPr="00436209">
        <w:rPr>
          <w:rtl/>
          <w:lang w:val="fr-CH"/>
        </w:rPr>
        <w:t>الجنس</w:t>
      </w:r>
      <w:proofErr w:type="gramEnd"/>
      <w:r w:rsidRPr="00436209">
        <w:rPr>
          <w:rtl/>
          <w:lang w:val="fr-CH"/>
        </w:rPr>
        <w:t xml:space="preserve"> أو الأصل أو اللغة أو الدين</w:t>
      </w:r>
      <w:r w:rsidR="00BA42F6" w:rsidRPr="00436209">
        <w:rPr>
          <w:rtl/>
          <w:lang w:val="fr-CH"/>
        </w:rPr>
        <w:t>،</w:t>
      </w:r>
      <w:r w:rsidRPr="00436209">
        <w:rPr>
          <w:rtl/>
          <w:lang w:val="fr-CH"/>
        </w:rPr>
        <w:t xml:space="preserve"> في المادة </w:t>
      </w:r>
      <w:r w:rsidRPr="00FC57D5">
        <w:rPr>
          <w:rtl/>
          <w:lang w:val="fr-CH"/>
        </w:rPr>
        <w:t>35</w:t>
      </w:r>
      <w:r w:rsidRPr="00436209">
        <w:rPr>
          <w:rtl/>
          <w:lang w:val="fr-CH"/>
        </w:rPr>
        <w:t xml:space="preserve"> منه</w:t>
      </w:r>
      <w:r w:rsidR="00BA42F6" w:rsidRPr="00436209">
        <w:rPr>
          <w:rtl/>
          <w:lang w:val="fr-CH"/>
        </w:rPr>
        <w:t>،</w:t>
      </w:r>
      <w:r w:rsidRPr="00436209">
        <w:rPr>
          <w:rtl/>
          <w:lang w:val="fr-CH"/>
        </w:rPr>
        <w:t xml:space="preserve"> غير أنها تعرب عن قلقها لأن الإطار القانوني الوطني القائم لا يوفر حماية شاملة من التمييز على جميع الأُسس المشمولة بالعهد</w:t>
      </w:r>
      <w:r w:rsidR="00BA42F6" w:rsidRPr="00436209">
        <w:rPr>
          <w:rtl/>
          <w:lang w:val="fr-CH"/>
        </w:rPr>
        <w:t>،</w:t>
      </w:r>
      <w:r w:rsidRPr="00436209">
        <w:rPr>
          <w:rtl/>
          <w:lang w:val="fr-CH"/>
        </w:rPr>
        <w:t xml:space="preserve"> بما فيها الميلُ الجنسي والهوية الجنسانية. وتعرب اللجنة عن قلقها أيضاً لأن القطريين بالتجنُّس </w:t>
      </w:r>
      <w:r w:rsidRPr="00CA46B9">
        <w:rPr>
          <w:spacing w:val="-2"/>
          <w:rtl/>
          <w:lang w:val="fr-CH"/>
        </w:rPr>
        <w:t>لا</w:t>
      </w:r>
      <w:r w:rsidR="00646316" w:rsidRPr="00CA46B9">
        <w:rPr>
          <w:rFonts w:hint="cs"/>
          <w:spacing w:val="-2"/>
          <w:rtl/>
          <w:lang w:val="fr-CH"/>
        </w:rPr>
        <w:t> </w:t>
      </w:r>
      <w:r w:rsidRPr="00CA46B9">
        <w:rPr>
          <w:spacing w:val="-2"/>
          <w:rtl/>
          <w:lang w:val="fr-CH"/>
        </w:rPr>
        <w:t>يتمتعون</w:t>
      </w:r>
      <w:r w:rsidR="00BA42F6" w:rsidRPr="00CA46B9">
        <w:rPr>
          <w:spacing w:val="-2"/>
          <w:rtl/>
          <w:lang w:val="fr-CH"/>
        </w:rPr>
        <w:t>،</w:t>
      </w:r>
      <w:r w:rsidRPr="00CA46B9">
        <w:rPr>
          <w:spacing w:val="-2"/>
          <w:rtl/>
          <w:lang w:val="fr-CH"/>
        </w:rPr>
        <w:t xml:space="preserve"> بموجب القانون</w:t>
      </w:r>
      <w:r w:rsidR="00BA42F6" w:rsidRPr="00CA46B9">
        <w:rPr>
          <w:spacing w:val="-2"/>
          <w:rtl/>
          <w:lang w:val="fr-CH"/>
        </w:rPr>
        <w:t>،</w:t>
      </w:r>
      <w:r w:rsidRPr="00CA46B9">
        <w:rPr>
          <w:spacing w:val="-2"/>
          <w:rtl/>
          <w:lang w:val="fr-CH"/>
        </w:rPr>
        <w:t xml:space="preserve"> بحقوق معيّنة</w:t>
      </w:r>
      <w:r w:rsidR="00BA42F6" w:rsidRPr="00CA46B9">
        <w:rPr>
          <w:spacing w:val="-2"/>
          <w:rtl/>
          <w:lang w:val="fr-CH"/>
        </w:rPr>
        <w:t>،</w:t>
      </w:r>
      <w:r w:rsidRPr="00CA46B9">
        <w:rPr>
          <w:spacing w:val="-2"/>
          <w:rtl/>
          <w:lang w:val="fr-CH"/>
        </w:rPr>
        <w:t xml:space="preserve"> منها الحقوق السياسية</w:t>
      </w:r>
      <w:r w:rsidR="00BA42F6" w:rsidRPr="00CA46B9">
        <w:rPr>
          <w:spacing w:val="-2"/>
          <w:rtl/>
          <w:lang w:val="fr-CH"/>
        </w:rPr>
        <w:t>،</w:t>
      </w:r>
      <w:r w:rsidRPr="00CA46B9">
        <w:rPr>
          <w:spacing w:val="-2"/>
          <w:rtl/>
          <w:lang w:val="fr-CH"/>
        </w:rPr>
        <w:t xml:space="preserve"> على قدم المساواة مع المواطنين القطريين</w:t>
      </w:r>
      <w:r w:rsidRPr="00436209">
        <w:rPr>
          <w:rtl/>
          <w:lang w:val="fr-CH"/>
        </w:rPr>
        <w:t xml:space="preserve"> (المادتان </w:t>
      </w:r>
      <w:r w:rsidRPr="00FC57D5">
        <w:rPr>
          <w:rtl/>
          <w:lang w:val="fr-CH"/>
        </w:rPr>
        <w:t>2</w:t>
      </w:r>
      <w:r w:rsidRPr="00436209">
        <w:rPr>
          <w:rtl/>
          <w:lang w:val="fr-CH"/>
        </w:rPr>
        <w:t xml:space="preserve"> و</w:t>
      </w:r>
      <w:r w:rsidRPr="00FC57D5">
        <w:rPr>
          <w:rtl/>
          <w:lang w:val="fr-CH"/>
        </w:rPr>
        <w:t>26</w:t>
      </w:r>
      <w:r w:rsidRPr="00436209">
        <w:rPr>
          <w:rtl/>
          <w:lang w:val="fr-CH"/>
        </w:rPr>
        <w:t xml:space="preserve">). </w:t>
      </w:r>
    </w:p>
    <w:p w14:paraId="008AFD58" w14:textId="53E3755C" w:rsidR="005E157B" w:rsidRPr="00FC57D5" w:rsidRDefault="005E157B" w:rsidP="005E157B">
      <w:pPr>
        <w:pStyle w:val="SingleTxtGA"/>
        <w:rPr>
          <w:b/>
          <w:bCs/>
          <w:lang w:val="fr-CH"/>
        </w:rPr>
      </w:pPr>
      <w:r w:rsidRPr="00FC57D5">
        <w:rPr>
          <w:rtl/>
          <w:lang w:val="fr-CH"/>
        </w:rPr>
        <w:t>13</w:t>
      </w:r>
      <w:r w:rsidRPr="00436209">
        <w:rPr>
          <w:rtl/>
          <w:lang w:val="fr-CH"/>
        </w:rPr>
        <w:t>-</w:t>
      </w:r>
      <w:r w:rsidRPr="00436209">
        <w:rPr>
          <w:rtl/>
          <w:lang w:val="fr-CH"/>
        </w:rPr>
        <w:tab/>
      </w:r>
      <w:r w:rsidRPr="00FC57D5">
        <w:rPr>
          <w:b/>
          <w:bCs/>
          <w:rtl/>
          <w:lang w:val="fr-CH"/>
        </w:rPr>
        <w:t>ينبغي للدولة الطرف أن تتخذ جميع التدابير اللازمة لضمان احتواء إطارها القانوني الوطني على قائمة شاملة بالأسباب التي يُحظَر التمييز على أساسها وفقاً للعهد</w:t>
      </w:r>
      <w:r w:rsidR="00BA42F6" w:rsidRPr="00FC57D5">
        <w:rPr>
          <w:b/>
          <w:bCs/>
          <w:rtl/>
          <w:lang w:val="fr-CH"/>
        </w:rPr>
        <w:t>،</w:t>
      </w:r>
      <w:r w:rsidRPr="00FC57D5">
        <w:rPr>
          <w:b/>
          <w:bCs/>
          <w:rtl/>
          <w:lang w:val="fr-CH"/>
        </w:rPr>
        <w:t xml:space="preserve"> بما فيها الميل الجنسي والهوية الجنسانية. وينبغي للدولة الطرف أيضاً أن تضمن تمتع القطريين بالتجنُّس بجميع الحقوق</w:t>
      </w:r>
      <w:r w:rsidR="00BA42F6" w:rsidRPr="00FC57D5">
        <w:rPr>
          <w:b/>
          <w:bCs/>
          <w:rtl/>
          <w:lang w:val="fr-CH"/>
        </w:rPr>
        <w:t>،</w:t>
      </w:r>
      <w:r w:rsidRPr="00FC57D5">
        <w:rPr>
          <w:b/>
          <w:bCs/>
          <w:rtl/>
          <w:lang w:val="fr-CH"/>
        </w:rPr>
        <w:t xml:space="preserve"> على قدم المساواة مع المواطنين القطريين. </w:t>
      </w:r>
    </w:p>
    <w:p w14:paraId="6F25D6C8" w14:textId="77777777" w:rsidR="005E157B" w:rsidRPr="00FC57D5" w:rsidRDefault="005E157B" w:rsidP="005E157B">
      <w:pPr>
        <w:pStyle w:val="H23GA"/>
      </w:pPr>
      <w:r w:rsidRPr="00FC57D5">
        <w:rPr>
          <w:rtl/>
        </w:rPr>
        <w:tab/>
      </w:r>
      <w:r w:rsidRPr="00FC57D5">
        <w:rPr>
          <w:rtl/>
        </w:rPr>
        <w:tab/>
        <w:t>المساواة بين الجنسين</w:t>
      </w:r>
    </w:p>
    <w:p w14:paraId="19ADB13E" w14:textId="296D5BC0" w:rsidR="005E157B" w:rsidRPr="00436209" w:rsidRDefault="005E157B" w:rsidP="005E157B">
      <w:pPr>
        <w:pStyle w:val="SingleTxtGA"/>
        <w:rPr>
          <w:lang w:val="fr-CH"/>
        </w:rPr>
      </w:pPr>
      <w:r w:rsidRPr="00FC57D5">
        <w:rPr>
          <w:rtl/>
          <w:lang w:val="fr-CH"/>
        </w:rPr>
        <w:t>14</w:t>
      </w:r>
      <w:r w:rsidRPr="00436209">
        <w:rPr>
          <w:rtl/>
          <w:lang w:val="fr-CH"/>
        </w:rPr>
        <w:t>-</w:t>
      </w:r>
      <w:r w:rsidRPr="00436209">
        <w:rPr>
          <w:rtl/>
          <w:lang w:val="fr-CH"/>
        </w:rPr>
        <w:tab/>
      </w:r>
      <w:r w:rsidRPr="00436209">
        <w:rPr>
          <w:spacing w:val="-2"/>
          <w:rtl/>
          <w:lang w:val="fr-CH"/>
        </w:rPr>
        <w:t>ترحب اللجنة بالتدابير المتخذة لتعزيز المساواة بين الجنسين</w:t>
      </w:r>
      <w:r w:rsidR="00BA42F6" w:rsidRPr="00436209">
        <w:rPr>
          <w:spacing w:val="-2"/>
          <w:rtl/>
          <w:lang w:val="fr-CH"/>
        </w:rPr>
        <w:t>،</w:t>
      </w:r>
      <w:r w:rsidRPr="00436209">
        <w:rPr>
          <w:spacing w:val="-2"/>
          <w:rtl/>
          <w:lang w:val="fr-CH"/>
        </w:rPr>
        <w:t xml:space="preserve"> غير أنها تعرب عن قلقها إزاء استمرار التصورات النمطية الأبوية لدور المرأة والرجل في الأسرة وفي المجتمع. وتشعر اللجنة بالقلق</w:t>
      </w:r>
      <w:r w:rsidR="00BA42F6" w:rsidRPr="00436209">
        <w:rPr>
          <w:spacing w:val="-2"/>
          <w:rtl/>
          <w:lang w:val="fr-CH"/>
        </w:rPr>
        <w:t>،</w:t>
      </w:r>
      <w:r w:rsidRPr="00436209">
        <w:rPr>
          <w:spacing w:val="-2"/>
          <w:rtl/>
          <w:lang w:val="fr-CH"/>
        </w:rPr>
        <w:t xml:space="preserve"> على الرغم من المعلومات التي قدمتها الدولة الطرف</w:t>
      </w:r>
      <w:r w:rsidR="00BA42F6" w:rsidRPr="00436209">
        <w:rPr>
          <w:spacing w:val="-2"/>
          <w:rtl/>
          <w:lang w:val="fr-CH"/>
        </w:rPr>
        <w:t>،</w:t>
      </w:r>
      <w:r w:rsidRPr="00436209">
        <w:rPr>
          <w:spacing w:val="-2"/>
          <w:rtl/>
          <w:lang w:val="fr-CH"/>
        </w:rPr>
        <w:t xml:space="preserve"> إزاء نقص تمثيل المرأة في سوق العمل الرسمي</w:t>
      </w:r>
      <w:r w:rsidR="00BA42F6" w:rsidRPr="00436209">
        <w:rPr>
          <w:spacing w:val="-2"/>
          <w:rtl/>
          <w:lang w:val="fr-CH"/>
        </w:rPr>
        <w:t>،</w:t>
      </w:r>
      <w:r w:rsidRPr="00436209">
        <w:rPr>
          <w:spacing w:val="-2"/>
          <w:rtl/>
          <w:lang w:val="fr-CH"/>
        </w:rPr>
        <w:t xml:space="preserve"> وفي القطاعين الخاص والعام</w:t>
      </w:r>
      <w:r w:rsidR="00BA42F6" w:rsidRPr="00436209">
        <w:rPr>
          <w:spacing w:val="-2"/>
          <w:rtl/>
          <w:lang w:val="fr-CH"/>
        </w:rPr>
        <w:t>،</w:t>
      </w:r>
      <w:r w:rsidRPr="00436209">
        <w:rPr>
          <w:spacing w:val="-2"/>
          <w:rtl/>
          <w:lang w:val="fr-CH"/>
        </w:rPr>
        <w:t xml:space="preserve"> بما في ذلك في الهيئات التنفيذية والتشريعية</w:t>
      </w:r>
      <w:r w:rsidR="00BA42F6" w:rsidRPr="00436209">
        <w:rPr>
          <w:spacing w:val="-2"/>
          <w:rtl/>
          <w:lang w:val="fr-CH"/>
        </w:rPr>
        <w:t>،</w:t>
      </w:r>
      <w:r w:rsidRPr="00436209">
        <w:rPr>
          <w:spacing w:val="-2"/>
          <w:rtl/>
          <w:lang w:val="fr-CH"/>
        </w:rPr>
        <w:t xml:space="preserve"> ولا سيما في مناصب صنع القرار.</w:t>
      </w:r>
      <w:r w:rsidRPr="00436209">
        <w:rPr>
          <w:rtl/>
          <w:lang w:val="fr-CH"/>
        </w:rPr>
        <w:t xml:space="preserve"> </w:t>
      </w:r>
      <w:r w:rsidRPr="00436209">
        <w:rPr>
          <w:rtl/>
          <w:lang w:val="fr-CH"/>
        </w:rPr>
        <w:lastRenderedPageBreak/>
        <w:t>وتشعر بالقلق أيضاً لأن قانون الجنسية (القانون رقم (</w:t>
      </w:r>
      <w:r w:rsidRPr="00FC57D5">
        <w:rPr>
          <w:rtl/>
          <w:lang w:val="fr-CH"/>
        </w:rPr>
        <w:t>38</w:t>
      </w:r>
      <w:r w:rsidRPr="00436209">
        <w:rPr>
          <w:rtl/>
          <w:lang w:val="fr-CH"/>
        </w:rPr>
        <w:t xml:space="preserve">) لسنة </w:t>
      </w:r>
      <w:r w:rsidRPr="00FC57D5">
        <w:rPr>
          <w:rtl/>
          <w:lang w:val="fr-CH"/>
        </w:rPr>
        <w:t>2005</w:t>
      </w:r>
      <w:r w:rsidRPr="00436209">
        <w:rPr>
          <w:rtl/>
          <w:lang w:val="fr-CH"/>
        </w:rPr>
        <w:t>)</w:t>
      </w:r>
      <w:r w:rsidR="00BA42F6" w:rsidRPr="00436209">
        <w:rPr>
          <w:rtl/>
          <w:lang w:val="fr-CH"/>
        </w:rPr>
        <w:t>،</w:t>
      </w:r>
      <w:r w:rsidRPr="00436209">
        <w:rPr>
          <w:rtl/>
          <w:lang w:val="fr-CH"/>
        </w:rPr>
        <w:t xml:space="preserve"> لا يسمح للمرأة القطرية المتزوجة من أجنبي بنقل جنسيتها إلى أطفالها وزوجها الأجنبي على قدم المساواة مع الرجل القطري (المواد </w:t>
      </w:r>
      <w:r w:rsidRPr="00FC57D5">
        <w:rPr>
          <w:rtl/>
          <w:lang w:val="fr-CH"/>
        </w:rPr>
        <w:t>2</w:t>
      </w:r>
      <w:r w:rsidR="00BA42F6" w:rsidRPr="00436209">
        <w:rPr>
          <w:rtl/>
          <w:lang w:val="fr-CH"/>
        </w:rPr>
        <w:t xml:space="preserve"> و</w:t>
      </w:r>
      <w:r w:rsidRPr="00FC57D5">
        <w:rPr>
          <w:rtl/>
          <w:lang w:val="fr-CH"/>
        </w:rPr>
        <w:t>3</w:t>
      </w:r>
      <w:r w:rsidR="00BA42F6" w:rsidRPr="00436209">
        <w:rPr>
          <w:rtl/>
          <w:lang w:val="fr-CH"/>
        </w:rPr>
        <w:t xml:space="preserve"> و</w:t>
      </w:r>
      <w:r w:rsidRPr="00FC57D5">
        <w:rPr>
          <w:rtl/>
          <w:lang w:val="fr-CH"/>
        </w:rPr>
        <w:t>25</w:t>
      </w:r>
      <w:r w:rsidR="00BA42F6" w:rsidRPr="00436209">
        <w:rPr>
          <w:rtl/>
          <w:lang w:val="fr-CH"/>
        </w:rPr>
        <w:t xml:space="preserve"> و</w:t>
      </w:r>
      <w:r w:rsidRPr="00FC57D5">
        <w:rPr>
          <w:rtl/>
          <w:lang w:val="fr-CH"/>
        </w:rPr>
        <w:t>26</w:t>
      </w:r>
      <w:r w:rsidRPr="00436209">
        <w:rPr>
          <w:rtl/>
          <w:lang w:val="fr-CH"/>
        </w:rPr>
        <w:t xml:space="preserve">). </w:t>
      </w:r>
    </w:p>
    <w:p w14:paraId="3716532F" w14:textId="6EF8A88C" w:rsidR="005E157B" w:rsidRPr="00FC57D5" w:rsidRDefault="005E157B" w:rsidP="00436209">
      <w:pPr>
        <w:pStyle w:val="SingleTxtGA"/>
        <w:spacing w:line="342" w:lineRule="exact"/>
        <w:rPr>
          <w:b/>
          <w:bCs/>
          <w:lang w:val="fr-CH"/>
        </w:rPr>
      </w:pPr>
      <w:r w:rsidRPr="00FC57D5">
        <w:rPr>
          <w:rtl/>
          <w:lang w:val="fr-CH"/>
        </w:rPr>
        <w:t>15</w:t>
      </w:r>
      <w:r w:rsidRPr="00436209">
        <w:rPr>
          <w:rtl/>
          <w:lang w:val="fr-CH"/>
        </w:rPr>
        <w:t>-</w:t>
      </w:r>
      <w:r w:rsidRPr="00436209">
        <w:rPr>
          <w:rtl/>
          <w:lang w:val="fr-CH"/>
        </w:rPr>
        <w:tab/>
      </w:r>
      <w:r w:rsidRPr="00FC57D5">
        <w:rPr>
          <w:b/>
          <w:bCs/>
          <w:rtl/>
          <w:lang w:val="fr-CH"/>
        </w:rPr>
        <w:t>ينبغي للدولة الطرف أن تقوم بما يلي:</w:t>
      </w:r>
    </w:p>
    <w:p w14:paraId="7328B9EF" w14:textId="4E9CEBE4" w:rsidR="005E157B" w:rsidRPr="00FC57D5" w:rsidRDefault="005E157B" w:rsidP="00436209">
      <w:pPr>
        <w:pStyle w:val="SingleTxtGA"/>
        <w:spacing w:line="342" w:lineRule="exact"/>
        <w:rPr>
          <w:b/>
          <w:bCs/>
          <w:lang w:val="fr-CH"/>
        </w:rPr>
      </w:pPr>
      <w:r w:rsidRPr="00436209">
        <w:rPr>
          <w:rtl/>
          <w:lang w:val="fr-CH"/>
        </w:rPr>
        <w:tab/>
        <w:t>(أ)</w:t>
      </w:r>
      <w:r w:rsidRPr="00436209">
        <w:rPr>
          <w:rtl/>
          <w:lang w:val="fr-CH"/>
        </w:rPr>
        <w:tab/>
      </w:r>
      <w:r w:rsidRPr="00FC57D5">
        <w:rPr>
          <w:b/>
          <w:bCs/>
          <w:rtl/>
          <w:lang w:val="fr-CH"/>
        </w:rPr>
        <w:t xml:space="preserve">تعزيز التدابير المتخذة لضمان المساواة بين الجنسين ووضع استراتيجيات لمكافحة </w:t>
      </w:r>
      <w:r w:rsidRPr="00FC57D5">
        <w:rPr>
          <w:rFonts w:ascii="Times New Roman Bold" w:hAnsi="Times New Roman Bold"/>
          <w:b/>
          <w:bCs/>
          <w:spacing w:val="-4"/>
          <w:rtl/>
          <w:lang w:val="fr-CH"/>
        </w:rPr>
        <w:t>المواقف الأبوية من أدوار المرأة والرجل ومسؤولياتهما في الأسرة وفي المجتمع ككل</w:t>
      </w:r>
      <w:r w:rsidR="00BA42F6" w:rsidRPr="00FC57D5">
        <w:rPr>
          <w:rFonts w:ascii="Times New Roman Bold" w:hAnsi="Times New Roman Bold"/>
          <w:b/>
          <w:bCs/>
          <w:spacing w:val="-4"/>
          <w:rtl/>
          <w:lang w:val="fr-CH"/>
        </w:rPr>
        <w:t>،</w:t>
      </w:r>
      <w:r w:rsidRPr="00FC57D5">
        <w:rPr>
          <w:rFonts w:ascii="Times New Roman Bold" w:hAnsi="Times New Roman Bold"/>
          <w:b/>
          <w:bCs/>
          <w:spacing w:val="-4"/>
          <w:rtl/>
          <w:lang w:val="fr-CH"/>
        </w:rPr>
        <w:t xml:space="preserve"> والتصورات النمطية</w:t>
      </w:r>
      <w:r w:rsidRPr="00FC57D5">
        <w:rPr>
          <w:b/>
          <w:bCs/>
          <w:rtl/>
          <w:lang w:val="fr-CH"/>
        </w:rPr>
        <w:t xml:space="preserve"> لتلك الأدوار؛ </w:t>
      </w:r>
    </w:p>
    <w:p w14:paraId="1545F7DC" w14:textId="37FC417C" w:rsidR="005E157B" w:rsidRPr="00FC57D5" w:rsidRDefault="005E157B" w:rsidP="00436209">
      <w:pPr>
        <w:pStyle w:val="SingleTxtGA"/>
        <w:spacing w:line="342" w:lineRule="exact"/>
        <w:rPr>
          <w:b/>
          <w:bCs/>
          <w:lang w:val="fr-CH"/>
        </w:rPr>
      </w:pPr>
      <w:r w:rsidRPr="00436209">
        <w:rPr>
          <w:rtl/>
          <w:lang w:val="fr-CH"/>
        </w:rPr>
        <w:tab/>
        <w:t>(ب)</w:t>
      </w:r>
      <w:r w:rsidRPr="00436209">
        <w:rPr>
          <w:rtl/>
          <w:lang w:val="fr-CH"/>
        </w:rPr>
        <w:tab/>
      </w:r>
      <w:r w:rsidRPr="00FC57D5">
        <w:rPr>
          <w:rFonts w:ascii="Times New Roman Bold" w:hAnsi="Times New Roman Bold"/>
          <w:b/>
          <w:bCs/>
          <w:spacing w:val="-4"/>
          <w:rtl/>
          <w:lang w:val="fr-CH"/>
        </w:rPr>
        <w:t>تكثيف جهودها لتحقيق التمثيل العادل للمرأة في سوق العمل الرسمي</w:t>
      </w:r>
      <w:r w:rsidR="00BA42F6" w:rsidRPr="00FC57D5">
        <w:rPr>
          <w:rFonts w:ascii="Times New Roman Bold" w:hAnsi="Times New Roman Bold"/>
          <w:b/>
          <w:bCs/>
          <w:spacing w:val="-4"/>
          <w:rtl/>
          <w:lang w:val="fr-CH"/>
        </w:rPr>
        <w:t>،</w:t>
      </w:r>
      <w:r w:rsidRPr="00FC57D5">
        <w:rPr>
          <w:rFonts w:ascii="Times New Roman Bold" w:hAnsi="Times New Roman Bold"/>
          <w:b/>
          <w:bCs/>
          <w:spacing w:val="-4"/>
          <w:rtl/>
          <w:lang w:val="fr-CH"/>
        </w:rPr>
        <w:t xml:space="preserve"> وفي المجالين</w:t>
      </w:r>
      <w:r w:rsidRPr="00FC57D5">
        <w:rPr>
          <w:b/>
          <w:bCs/>
          <w:rtl/>
          <w:lang w:val="fr-CH"/>
        </w:rPr>
        <w:t xml:space="preserve"> العام والسياسي</w:t>
      </w:r>
      <w:r w:rsidR="00BA42F6" w:rsidRPr="00FC57D5">
        <w:rPr>
          <w:b/>
          <w:bCs/>
          <w:rtl/>
          <w:lang w:val="fr-CH"/>
        </w:rPr>
        <w:t>،</w:t>
      </w:r>
      <w:r w:rsidRPr="00FC57D5">
        <w:rPr>
          <w:b/>
          <w:bCs/>
          <w:rtl/>
          <w:lang w:val="fr-CH"/>
        </w:rPr>
        <w:t xml:space="preserve"> بما في ذلك في مجلس الشورى والهيئات التنفيذية</w:t>
      </w:r>
      <w:r w:rsidR="00BA42F6" w:rsidRPr="00FC57D5">
        <w:rPr>
          <w:b/>
          <w:bCs/>
          <w:rtl/>
          <w:lang w:val="fr-CH"/>
        </w:rPr>
        <w:t>،</w:t>
      </w:r>
      <w:r w:rsidRPr="00FC57D5">
        <w:rPr>
          <w:b/>
          <w:bCs/>
          <w:rtl/>
          <w:lang w:val="fr-CH"/>
        </w:rPr>
        <w:t xml:space="preserve"> ولا سيما في مناصب صنع القرار</w:t>
      </w:r>
      <w:r w:rsidR="00BA42F6" w:rsidRPr="00FC57D5">
        <w:rPr>
          <w:b/>
          <w:bCs/>
          <w:rtl/>
          <w:lang w:val="fr-CH"/>
        </w:rPr>
        <w:t>،</w:t>
      </w:r>
      <w:r w:rsidRPr="00FC57D5">
        <w:rPr>
          <w:b/>
          <w:bCs/>
          <w:rtl/>
          <w:lang w:val="fr-CH"/>
        </w:rPr>
        <w:t xml:space="preserve"> من خلال اتخاذ تدابير خاصة مؤقتة مناسبة</w:t>
      </w:r>
      <w:r w:rsidR="00BA42F6" w:rsidRPr="00FC57D5">
        <w:rPr>
          <w:b/>
          <w:bCs/>
          <w:rtl/>
          <w:lang w:val="fr-CH"/>
        </w:rPr>
        <w:t>،</w:t>
      </w:r>
      <w:r w:rsidRPr="00FC57D5">
        <w:rPr>
          <w:b/>
          <w:bCs/>
          <w:rtl/>
          <w:lang w:val="fr-CH"/>
        </w:rPr>
        <w:t xml:space="preserve"> إذا لزم الأمر</w:t>
      </w:r>
      <w:r w:rsidR="00BA42F6" w:rsidRPr="00FC57D5">
        <w:rPr>
          <w:b/>
          <w:bCs/>
          <w:rtl/>
          <w:lang w:val="fr-CH"/>
        </w:rPr>
        <w:t>،</w:t>
      </w:r>
      <w:r w:rsidRPr="00FC57D5">
        <w:rPr>
          <w:b/>
          <w:bCs/>
          <w:rtl/>
          <w:lang w:val="fr-CH"/>
        </w:rPr>
        <w:t xml:space="preserve"> لتنفيذ أحكام العهد؛</w:t>
      </w:r>
    </w:p>
    <w:p w14:paraId="700242DB" w14:textId="4CE63892" w:rsidR="005E157B" w:rsidRPr="00FC57D5" w:rsidRDefault="005E157B" w:rsidP="00436209">
      <w:pPr>
        <w:pStyle w:val="SingleTxtGA"/>
        <w:spacing w:line="342" w:lineRule="exact"/>
        <w:rPr>
          <w:b/>
          <w:bCs/>
          <w:lang w:val="fr-CH"/>
        </w:rPr>
      </w:pPr>
      <w:r w:rsidRPr="00436209">
        <w:rPr>
          <w:rtl/>
          <w:lang w:val="fr-CH"/>
        </w:rPr>
        <w:tab/>
        <w:t>(ج)</w:t>
      </w:r>
      <w:r w:rsidRPr="00436209">
        <w:rPr>
          <w:rtl/>
          <w:lang w:val="fr-CH"/>
        </w:rPr>
        <w:tab/>
      </w:r>
      <w:r w:rsidRPr="00FC57D5">
        <w:rPr>
          <w:b/>
          <w:bCs/>
          <w:rtl/>
          <w:lang w:val="fr-CH"/>
        </w:rPr>
        <w:t>النظر في تعديل قانون الجنسية لضمان تمتع المرأة القطرية بحق نقل جنسيتها إلى أطفالها وزوجها الأجنبي</w:t>
      </w:r>
      <w:r w:rsidR="00BA42F6" w:rsidRPr="00FC57D5">
        <w:rPr>
          <w:b/>
          <w:bCs/>
          <w:rtl/>
          <w:lang w:val="fr-CH"/>
        </w:rPr>
        <w:t>،</w:t>
      </w:r>
      <w:r w:rsidRPr="00FC57D5">
        <w:rPr>
          <w:b/>
          <w:bCs/>
          <w:rtl/>
          <w:lang w:val="fr-CH"/>
        </w:rPr>
        <w:t xml:space="preserve"> على قدم المساواة مع الرجل القطري.</w:t>
      </w:r>
    </w:p>
    <w:p w14:paraId="21CBC3AC" w14:textId="77777777" w:rsidR="005E157B" w:rsidRPr="00FC57D5" w:rsidRDefault="005E157B" w:rsidP="00436209">
      <w:pPr>
        <w:pStyle w:val="H23GA"/>
        <w:spacing w:line="342" w:lineRule="exact"/>
      </w:pPr>
      <w:r w:rsidRPr="00FC57D5">
        <w:rPr>
          <w:rtl/>
        </w:rPr>
        <w:tab/>
      </w:r>
      <w:r w:rsidRPr="00FC57D5">
        <w:rPr>
          <w:rtl/>
        </w:rPr>
        <w:tab/>
        <w:t>العنف ضد المرأة</w:t>
      </w:r>
    </w:p>
    <w:p w14:paraId="211E578E" w14:textId="61F21F18" w:rsidR="005E157B" w:rsidRPr="00436209" w:rsidRDefault="005E157B" w:rsidP="00436209">
      <w:pPr>
        <w:pStyle w:val="SingleTxtGA"/>
        <w:spacing w:line="342" w:lineRule="exact"/>
        <w:rPr>
          <w:lang w:val="fr-CH"/>
        </w:rPr>
      </w:pPr>
      <w:r w:rsidRPr="00FC57D5">
        <w:rPr>
          <w:rtl/>
          <w:lang w:val="fr-CH"/>
        </w:rPr>
        <w:t>16</w:t>
      </w:r>
      <w:r w:rsidRPr="00436209">
        <w:rPr>
          <w:rtl/>
          <w:lang w:val="fr-CH"/>
        </w:rPr>
        <w:t>-</w:t>
      </w:r>
      <w:r w:rsidRPr="00436209">
        <w:rPr>
          <w:rtl/>
          <w:lang w:val="fr-CH"/>
        </w:rPr>
        <w:tab/>
        <w:t>تحيط اللجنة علماً بالتدابير المتخذة للتصدي للعنف ضد المرأة</w:t>
      </w:r>
      <w:r w:rsidR="00BA42F6" w:rsidRPr="00436209">
        <w:rPr>
          <w:rtl/>
          <w:lang w:val="fr-CH"/>
        </w:rPr>
        <w:t>،</w:t>
      </w:r>
      <w:r w:rsidRPr="00436209">
        <w:rPr>
          <w:rtl/>
          <w:lang w:val="fr-CH"/>
        </w:rPr>
        <w:t xml:space="preserve"> مثل توفير المعونة القضائية وخدمات إعادة التأهيل النفسي المجانية للنساء ضحايا العنف الأسري</w:t>
      </w:r>
      <w:r w:rsidR="00BA42F6" w:rsidRPr="00436209">
        <w:rPr>
          <w:rtl/>
          <w:lang w:val="fr-CH"/>
        </w:rPr>
        <w:t>،</w:t>
      </w:r>
      <w:r w:rsidRPr="00436209">
        <w:rPr>
          <w:rtl/>
          <w:lang w:val="fr-CH"/>
        </w:rPr>
        <w:t xml:space="preserve"> غير أنها تعرب عن قلقها إزاء عدم وجود تشريع يجرِّم على وجه التحديد العنف الأُسري</w:t>
      </w:r>
      <w:r w:rsidR="00BA42F6" w:rsidRPr="00436209">
        <w:rPr>
          <w:rtl/>
          <w:lang w:val="fr-CH"/>
        </w:rPr>
        <w:t>،</w:t>
      </w:r>
      <w:r w:rsidRPr="00436209">
        <w:rPr>
          <w:rtl/>
          <w:lang w:val="fr-CH"/>
        </w:rPr>
        <w:t xml:space="preserve"> بما في ذلك الاغتصاب الزوجي. وتأسف اللجنة لعدم تلقيها معلومات عن عدد ما أُجري من تحقيقات ومحاكمات وما صدر من إدانات في قضايا العنف ضد المرأة (المواد </w:t>
      </w:r>
      <w:r w:rsidRPr="00FC57D5">
        <w:rPr>
          <w:rtl/>
          <w:lang w:val="fr-CH"/>
        </w:rPr>
        <w:t>2</w:t>
      </w:r>
      <w:r w:rsidRPr="00436209">
        <w:rPr>
          <w:rtl/>
          <w:lang w:val="fr-CH"/>
        </w:rPr>
        <w:t xml:space="preserve"> و</w:t>
      </w:r>
      <w:r w:rsidRPr="00FC57D5">
        <w:rPr>
          <w:rtl/>
          <w:lang w:val="fr-CH"/>
        </w:rPr>
        <w:t>3</w:t>
      </w:r>
      <w:r w:rsidRPr="00436209">
        <w:rPr>
          <w:rtl/>
          <w:lang w:val="fr-CH"/>
        </w:rPr>
        <w:t xml:space="preserve"> و</w:t>
      </w:r>
      <w:r w:rsidRPr="00FC57D5">
        <w:rPr>
          <w:rtl/>
          <w:lang w:val="fr-CH"/>
        </w:rPr>
        <w:t>7</w:t>
      </w:r>
      <w:r w:rsidRPr="00436209">
        <w:rPr>
          <w:rtl/>
          <w:lang w:val="fr-CH"/>
        </w:rPr>
        <w:t xml:space="preserve"> و</w:t>
      </w:r>
      <w:r w:rsidRPr="00FC57D5">
        <w:rPr>
          <w:rtl/>
          <w:lang w:val="fr-CH"/>
        </w:rPr>
        <w:t>24</w:t>
      </w:r>
      <w:r w:rsidRPr="00436209">
        <w:rPr>
          <w:rtl/>
          <w:lang w:val="fr-CH"/>
        </w:rPr>
        <w:t xml:space="preserve"> و</w:t>
      </w:r>
      <w:r w:rsidRPr="00FC57D5">
        <w:rPr>
          <w:rtl/>
          <w:lang w:val="fr-CH"/>
        </w:rPr>
        <w:t>26</w:t>
      </w:r>
      <w:r w:rsidRPr="00436209">
        <w:rPr>
          <w:rtl/>
          <w:lang w:val="fr-CH"/>
        </w:rPr>
        <w:t xml:space="preserve">). </w:t>
      </w:r>
    </w:p>
    <w:p w14:paraId="7F4ABB21" w14:textId="77777777" w:rsidR="005E157B" w:rsidRPr="00FC57D5" w:rsidRDefault="005E157B" w:rsidP="00436209">
      <w:pPr>
        <w:pStyle w:val="SingleTxtGA"/>
        <w:spacing w:line="342" w:lineRule="exact"/>
        <w:rPr>
          <w:b/>
          <w:bCs/>
          <w:lang w:val="fr-CH"/>
        </w:rPr>
      </w:pPr>
      <w:r w:rsidRPr="00FC57D5">
        <w:rPr>
          <w:rtl/>
          <w:lang w:val="fr-CH"/>
        </w:rPr>
        <w:t>17</w:t>
      </w:r>
      <w:r w:rsidRPr="00436209">
        <w:rPr>
          <w:rtl/>
          <w:lang w:val="fr-CH"/>
        </w:rPr>
        <w:t>-</w:t>
      </w:r>
      <w:r w:rsidRPr="00436209">
        <w:rPr>
          <w:rtl/>
          <w:lang w:val="fr-CH"/>
        </w:rPr>
        <w:tab/>
      </w:r>
      <w:r w:rsidRPr="00FC57D5">
        <w:rPr>
          <w:b/>
          <w:bCs/>
          <w:rtl/>
          <w:lang w:val="fr-CH"/>
        </w:rPr>
        <w:t xml:space="preserve">ينبغي للدولة الطرف أن تقوم بما يلي: </w:t>
      </w:r>
    </w:p>
    <w:p w14:paraId="1B59AF1C" w14:textId="2E381041" w:rsidR="005E157B" w:rsidRPr="00FC57D5" w:rsidRDefault="005E157B" w:rsidP="00436209">
      <w:pPr>
        <w:pStyle w:val="SingleTxtGA"/>
        <w:spacing w:line="342" w:lineRule="exact"/>
        <w:rPr>
          <w:b/>
          <w:bCs/>
          <w:lang w:val="fr-CH"/>
        </w:rPr>
      </w:pPr>
      <w:r w:rsidRPr="00436209">
        <w:rPr>
          <w:rtl/>
          <w:lang w:val="fr-CH"/>
        </w:rPr>
        <w:tab/>
        <w:t>(أ)</w:t>
      </w:r>
      <w:r w:rsidRPr="00436209">
        <w:rPr>
          <w:rtl/>
          <w:lang w:val="fr-CH"/>
        </w:rPr>
        <w:tab/>
      </w:r>
      <w:r w:rsidRPr="00FC57D5">
        <w:rPr>
          <w:b/>
          <w:bCs/>
          <w:rtl/>
          <w:lang w:val="fr-CH"/>
        </w:rPr>
        <w:t>تجريم أفعال العنف الأسري</w:t>
      </w:r>
      <w:r w:rsidR="00BA42F6" w:rsidRPr="00FC57D5">
        <w:rPr>
          <w:b/>
          <w:bCs/>
          <w:rtl/>
          <w:lang w:val="fr-CH"/>
        </w:rPr>
        <w:t>،</w:t>
      </w:r>
      <w:r w:rsidRPr="00FC57D5">
        <w:rPr>
          <w:b/>
          <w:bCs/>
          <w:rtl/>
          <w:lang w:val="fr-CH"/>
        </w:rPr>
        <w:t xml:space="preserve"> بما في ذلك الاغتصاب الزوجي؛ </w:t>
      </w:r>
    </w:p>
    <w:p w14:paraId="2849CD12" w14:textId="6E177C80" w:rsidR="005E157B" w:rsidRPr="00FC57D5" w:rsidRDefault="005E157B" w:rsidP="00436209">
      <w:pPr>
        <w:pStyle w:val="SingleTxtGA"/>
        <w:spacing w:line="342" w:lineRule="exact"/>
        <w:rPr>
          <w:b/>
          <w:bCs/>
          <w:lang w:val="fr-CH"/>
        </w:rPr>
      </w:pPr>
      <w:r w:rsidRPr="00436209">
        <w:rPr>
          <w:rtl/>
          <w:lang w:val="fr-CH"/>
        </w:rPr>
        <w:tab/>
        <w:t>(ب)</w:t>
      </w:r>
      <w:r w:rsidRPr="00436209">
        <w:rPr>
          <w:rtl/>
          <w:lang w:val="fr-CH"/>
        </w:rPr>
        <w:tab/>
      </w:r>
      <w:r w:rsidRPr="00FC57D5">
        <w:rPr>
          <w:b/>
          <w:bCs/>
          <w:rtl/>
          <w:lang w:val="fr-CH"/>
        </w:rPr>
        <w:t>ضمان جمع بيانات عن العنف ضدّ المرأة</w:t>
      </w:r>
      <w:r w:rsidR="00BA42F6" w:rsidRPr="00FC57D5">
        <w:rPr>
          <w:b/>
          <w:bCs/>
          <w:rtl/>
          <w:lang w:val="fr-CH"/>
        </w:rPr>
        <w:t>،</w:t>
      </w:r>
      <w:r w:rsidRPr="00FC57D5">
        <w:rPr>
          <w:b/>
          <w:bCs/>
          <w:rtl/>
          <w:lang w:val="fr-CH"/>
        </w:rPr>
        <w:t xml:space="preserve"> وإجراء تحقيقات شاملة في جميع حالات العنف ضدّ المرأة</w:t>
      </w:r>
      <w:r w:rsidR="00BA42F6" w:rsidRPr="00FC57D5">
        <w:rPr>
          <w:b/>
          <w:bCs/>
          <w:rtl/>
          <w:lang w:val="fr-CH"/>
        </w:rPr>
        <w:t>،</w:t>
      </w:r>
      <w:r w:rsidRPr="00FC57D5">
        <w:rPr>
          <w:b/>
          <w:bCs/>
          <w:rtl/>
          <w:lang w:val="fr-CH"/>
        </w:rPr>
        <w:t xml:space="preserve"> بما في ذلك العنف الأسري</w:t>
      </w:r>
      <w:r w:rsidR="00BA42F6" w:rsidRPr="00FC57D5">
        <w:rPr>
          <w:b/>
          <w:bCs/>
          <w:rtl/>
          <w:lang w:val="fr-CH"/>
        </w:rPr>
        <w:t>،</w:t>
      </w:r>
      <w:r w:rsidRPr="00FC57D5">
        <w:rPr>
          <w:b/>
          <w:bCs/>
          <w:rtl/>
          <w:lang w:val="fr-CH"/>
        </w:rPr>
        <w:t xml:space="preserve"> ومقاضاة مرتكبيها وإنزال العقوبات المناسبة بهم في حال</w:t>
      </w:r>
      <w:r w:rsidR="00436209" w:rsidRPr="00FC57D5">
        <w:rPr>
          <w:rFonts w:hint="cs"/>
          <w:b/>
          <w:bCs/>
          <w:rtl/>
          <w:lang w:val="fr-CH"/>
        </w:rPr>
        <w:t> </w:t>
      </w:r>
      <w:r w:rsidRPr="00FC57D5">
        <w:rPr>
          <w:b/>
          <w:bCs/>
          <w:rtl/>
          <w:lang w:val="fr-CH"/>
        </w:rPr>
        <w:t xml:space="preserve">إدانتهم؛ </w:t>
      </w:r>
    </w:p>
    <w:p w14:paraId="37A21D47" w14:textId="78D10AAD" w:rsidR="005E157B" w:rsidRPr="00FC57D5" w:rsidRDefault="005E157B" w:rsidP="00436209">
      <w:pPr>
        <w:pStyle w:val="SingleTxtGA"/>
        <w:spacing w:line="342" w:lineRule="exact"/>
        <w:rPr>
          <w:b/>
          <w:bCs/>
          <w:spacing w:val="-4"/>
          <w:lang w:val="fr-CH"/>
        </w:rPr>
      </w:pPr>
      <w:r w:rsidRPr="00436209">
        <w:rPr>
          <w:spacing w:val="-4"/>
          <w:rtl/>
          <w:lang w:val="fr-CH"/>
        </w:rPr>
        <w:tab/>
        <w:t>(ج)</w:t>
      </w:r>
      <w:r w:rsidRPr="00436209">
        <w:rPr>
          <w:spacing w:val="-4"/>
          <w:rtl/>
          <w:lang w:val="fr-CH"/>
        </w:rPr>
        <w:tab/>
      </w:r>
      <w:r w:rsidRPr="00FC57D5">
        <w:rPr>
          <w:b/>
          <w:bCs/>
          <w:spacing w:val="-4"/>
          <w:rtl/>
          <w:lang w:val="fr-CH"/>
        </w:rPr>
        <w:t>إنشاء آلية فعالة لتشجيع الإبلاغ عن حالات العنف ضد المرأة</w:t>
      </w:r>
      <w:r w:rsidR="00BA42F6" w:rsidRPr="00FC57D5">
        <w:rPr>
          <w:b/>
          <w:bCs/>
          <w:spacing w:val="-4"/>
          <w:rtl/>
          <w:lang w:val="fr-CH"/>
        </w:rPr>
        <w:t>،</w:t>
      </w:r>
      <w:r w:rsidRPr="00FC57D5">
        <w:rPr>
          <w:b/>
          <w:bCs/>
          <w:spacing w:val="-4"/>
          <w:rtl/>
          <w:lang w:val="fr-CH"/>
        </w:rPr>
        <w:t xml:space="preserve"> وتكثيف الجهود الرامية إلى التصدي لوصم الضحايا اجتماعياً</w:t>
      </w:r>
      <w:r w:rsidR="00BA42F6" w:rsidRPr="00FC57D5">
        <w:rPr>
          <w:b/>
          <w:bCs/>
          <w:spacing w:val="-4"/>
          <w:rtl/>
          <w:lang w:val="fr-CH"/>
        </w:rPr>
        <w:t>،</w:t>
      </w:r>
      <w:r w:rsidRPr="00FC57D5">
        <w:rPr>
          <w:b/>
          <w:bCs/>
          <w:spacing w:val="-4"/>
          <w:rtl/>
          <w:lang w:val="fr-CH"/>
        </w:rPr>
        <w:t xml:space="preserve"> وضمان حصول الضحايا على الجبر الكامل ووسائل الحماية؛ </w:t>
      </w:r>
    </w:p>
    <w:p w14:paraId="2A3C9084" w14:textId="2E78F1C7" w:rsidR="005E157B" w:rsidRPr="00FC57D5" w:rsidRDefault="005E157B" w:rsidP="00436209">
      <w:pPr>
        <w:pStyle w:val="SingleTxtGA"/>
        <w:spacing w:line="342" w:lineRule="exact"/>
        <w:rPr>
          <w:b/>
          <w:bCs/>
          <w:lang w:val="fr-CH"/>
        </w:rPr>
      </w:pPr>
      <w:r w:rsidRPr="00436209">
        <w:rPr>
          <w:rtl/>
          <w:lang w:val="fr-CH"/>
        </w:rPr>
        <w:tab/>
        <w:t>(د)</w:t>
      </w:r>
      <w:r w:rsidRPr="00436209">
        <w:rPr>
          <w:rtl/>
          <w:lang w:val="fr-CH"/>
        </w:rPr>
        <w:tab/>
      </w:r>
      <w:r w:rsidRPr="00FC57D5">
        <w:rPr>
          <w:b/>
          <w:bCs/>
          <w:rtl/>
          <w:lang w:val="fr-CH"/>
        </w:rPr>
        <w:t>تنظيم حملات لتوعية عامة الجمهور بمسألة العنف ضد المرأة</w:t>
      </w:r>
      <w:r w:rsidR="00BA42F6" w:rsidRPr="00FC57D5">
        <w:rPr>
          <w:b/>
          <w:bCs/>
          <w:rtl/>
          <w:lang w:val="fr-CH"/>
        </w:rPr>
        <w:t>،</w:t>
      </w:r>
      <w:r w:rsidRPr="00FC57D5">
        <w:rPr>
          <w:b/>
          <w:bCs/>
          <w:rtl/>
          <w:lang w:val="fr-CH"/>
        </w:rPr>
        <w:t xml:space="preserve"> بما في ذلك العنف الأسري</w:t>
      </w:r>
      <w:r w:rsidR="00BA42F6" w:rsidRPr="00FC57D5">
        <w:rPr>
          <w:b/>
          <w:bCs/>
          <w:rtl/>
          <w:lang w:val="fr-CH"/>
        </w:rPr>
        <w:t>،</w:t>
      </w:r>
      <w:r w:rsidRPr="00FC57D5">
        <w:rPr>
          <w:b/>
          <w:bCs/>
          <w:rtl/>
          <w:lang w:val="fr-CH"/>
        </w:rPr>
        <w:t xml:space="preserve"> وكفالة حصول ضباط الشرطة ووكلاء النيابة والقُضاة على التدريب المناسب لتمكينهم من التعامل مع هذه القضايا بفعالية. </w:t>
      </w:r>
    </w:p>
    <w:p w14:paraId="7080DDDC" w14:textId="77777777" w:rsidR="005E157B" w:rsidRPr="00FC57D5" w:rsidRDefault="005E157B" w:rsidP="00436209">
      <w:pPr>
        <w:pStyle w:val="H23GA"/>
        <w:spacing w:line="342" w:lineRule="exact"/>
      </w:pPr>
      <w:r w:rsidRPr="00FC57D5">
        <w:rPr>
          <w:rtl/>
        </w:rPr>
        <w:tab/>
      </w:r>
      <w:r w:rsidRPr="00FC57D5">
        <w:rPr>
          <w:rtl/>
        </w:rPr>
        <w:tab/>
        <w:t>الإجهاض المقصود والحقوق الجنسية والإنجابية</w:t>
      </w:r>
    </w:p>
    <w:p w14:paraId="1ACC2CD2" w14:textId="74D8FE57" w:rsidR="005E157B" w:rsidRPr="00436209" w:rsidRDefault="005E157B" w:rsidP="00436209">
      <w:pPr>
        <w:pStyle w:val="SingleTxtGA"/>
        <w:spacing w:line="342" w:lineRule="exact"/>
        <w:rPr>
          <w:spacing w:val="-2"/>
          <w:lang w:val="fr-CH"/>
        </w:rPr>
      </w:pPr>
      <w:r w:rsidRPr="00FC57D5">
        <w:rPr>
          <w:rtl/>
          <w:lang w:val="fr-CH"/>
        </w:rPr>
        <w:t>18</w:t>
      </w:r>
      <w:r w:rsidRPr="00436209">
        <w:rPr>
          <w:rtl/>
          <w:lang w:val="fr-CH"/>
        </w:rPr>
        <w:t>-</w:t>
      </w:r>
      <w:r w:rsidRPr="00436209">
        <w:rPr>
          <w:rtl/>
          <w:lang w:val="fr-CH"/>
        </w:rPr>
        <w:tab/>
        <w:t xml:space="preserve">تلاحظ اللجنة أن الإجهاض مجرَّم (المادتان </w:t>
      </w:r>
      <w:r w:rsidRPr="00FC57D5">
        <w:rPr>
          <w:rtl/>
          <w:lang w:val="fr-CH"/>
        </w:rPr>
        <w:t>316</w:t>
      </w:r>
      <w:r w:rsidRPr="00436209">
        <w:rPr>
          <w:rtl/>
          <w:lang w:val="fr-CH"/>
        </w:rPr>
        <w:t xml:space="preserve"> و</w:t>
      </w:r>
      <w:r w:rsidRPr="00FC57D5">
        <w:rPr>
          <w:rtl/>
          <w:lang w:val="fr-CH"/>
        </w:rPr>
        <w:t>317</w:t>
      </w:r>
      <w:r w:rsidRPr="00436209">
        <w:rPr>
          <w:rtl/>
          <w:lang w:val="fr-CH"/>
        </w:rPr>
        <w:t xml:space="preserve"> من قانون العقوبات) ما لم يكن بغرض الحفاظ على حياة المرأة الحامل</w:t>
      </w:r>
      <w:r w:rsidR="00BA42F6" w:rsidRPr="00436209">
        <w:rPr>
          <w:rtl/>
          <w:lang w:val="fr-CH"/>
        </w:rPr>
        <w:t>،</w:t>
      </w:r>
      <w:r w:rsidRPr="00436209">
        <w:rPr>
          <w:rtl/>
          <w:lang w:val="fr-CH"/>
        </w:rPr>
        <w:t xml:space="preserve"> وفي بعض الحالات</w:t>
      </w:r>
      <w:r w:rsidR="00BA42F6" w:rsidRPr="00436209">
        <w:rPr>
          <w:rtl/>
          <w:lang w:val="fr-CH"/>
        </w:rPr>
        <w:t>،</w:t>
      </w:r>
      <w:r w:rsidRPr="00436209">
        <w:rPr>
          <w:rtl/>
          <w:lang w:val="fr-CH"/>
        </w:rPr>
        <w:t xml:space="preserve"> إذا كان الحمل يسبب ضرراً جسيماً لصحة الأم أو</w:t>
      </w:r>
      <w:r w:rsidR="00CA46B9">
        <w:rPr>
          <w:rFonts w:hint="cs"/>
          <w:rtl/>
          <w:lang w:val="fr-CH"/>
        </w:rPr>
        <w:t> </w:t>
      </w:r>
      <w:r w:rsidRPr="00436209">
        <w:rPr>
          <w:rtl/>
          <w:lang w:val="fr-CH"/>
        </w:rPr>
        <w:t xml:space="preserve">في بعض حالات التشوه الجنيني (المادة </w:t>
      </w:r>
      <w:r w:rsidRPr="00FC57D5">
        <w:rPr>
          <w:rtl/>
          <w:lang w:val="fr-CH"/>
        </w:rPr>
        <w:t>17</w:t>
      </w:r>
      <w:r w:rsidRPr="00436209">
        <w:rPr>
          <w:rtl/>
          <w:lang w:val="fr-CH"/>
        </w:rPr>
        <w:t xml:space="preserve"> من القانون رقم (</w:t>
      </w:r>
      <w:r w:rsidRPr="00FC57D5">
        <w:rPr>
          <w:rtl/>
          <w:lang w:val="fr-CH"/>
        </w:rPr>
        <w:t>2</w:t>
      </w:r>
      <w:r w:rsidRPr="00436209">
        <w:rPr>
          <w:rtl/>
          <w:lang w:val="fr-CH"/>
        </w:rPr>
        <w:t xml:space="preserve">) لسنة </w:t>
      </w:r>
      <w:r w:rsidRPr="00FC57D5">
        <w:rPr>
          <w:rtl/>
          <w:lang w:val="fr-CH"/>
        </w:rPr>
        <w:t>1983</w:t>
      </w:r>
      <w:r w:rsidRPr="00436209">
        <w:rPr>
          <w:rtl/>
          <w:lang w:val="fr-CH"/>
        </w:rPr>
        <w:t xml:space="preserve"> في شأن مزاولة مهنتي الطب البشري وطب وجراحة الأسنان). ويساور اللجنة القلق لعدم السماح بأي استثناءات أخرى ولأن الإعفاءات المنصوص عليها لا تنطبق على النساء غير المتزوجات</w:t>
      </w:r>
      <w:r w:rsidR="00BA42F6" w:rsidRPr="00436209">
        <w:rPr>
          <w:rtl/>
          <w:lang w:val="fr-CH"/>
        </w:rPr>
        <w:t>،</w:t>
      </w:r>
      <w:r w:rsidRPr="00436209">
        <w:rPr>
          <w:rtl/>
          <w:lang w:val="fr-CH"/>
        </w:rPr>
        <w:t xml:space="preserve"> مما يؤدي إلى عمليات إجهاض غير مأمونة تعرّض حياة النساء وصحتهن للخطر. وتأسف اللجنة لعدم تلقيها معلومات عن الشروط التي </w:t>
      </w:r>
      <w:r w:rsidRPr="00436209">
        <w:rPr>
          <w:spacing w:val="-2"/>
          <w:rtl/>
          <w:lang w:val="fr-CH"/>
        </w:rPr>
        <w:t xml:space="preserve">تقضي بإجراء عمليات الإجهاض في مستشفى حكومي وبقرار من لجنة طبية (المواد </w:t>
      </w:r>
      <w:r w:rsidRPr="00FC57D5">
        <w:rPr>
          <w:spacing w:val="-2"/>
          <w:rtl/>
          <w:lang w:val="fr-CH"/>
        </w:rPr>
        <w:t>3</w:t>
      </w:r>
      <w:r w:rsidRPr="00436209">
        <w:rPr>
          <w:spacing w:val="-2"/>
          <w:rtl/>
          <w:lang w:val="fr-CH"/>
        </w:rPr>
        <w:t xml:space="preserve"> و</w:t>
      </w:r>
      <w:r w:rsidRPr="00FC57D5">
        <w:rPr>
          <w:spacing w:val="-2"/>
          <w:rtl/>
          <w:lang w:val="fr-CH"/>
        </w:rPr>
        <w:t>6</w:t>
      </w:r>
      <w:r w:rsidRPr="00436209">
        <w:rPr>
          <w:spacing w:val="-2"/>
          <w:rtl/>
          <w:lang w:val="fr-CH"/>
        </w:rPr>
        <w:t xml:space="preserve"> و</w:t>
      </w:r>
      <w:r w:rsidRPr="00FC57D5">
        <w:rPr>
          <w:spacing w:val="-2"/>
          <w:rtl/>
          <w:lang w:val="fr-CH"/>
        </w:rPr>
        <w:t>7</w:t>
      </w:r>
      <w:r w:rsidRPr="00436209">
        <w:rPr>
          <w:spacing w:val="-2"/>
          <w:rtl/>
          <w:lang w:val="fr-CH"/>
        </w:rPr>
        <w:t xml:space="preserve"> و</w:t>
      </w:r>
      <w:r w:rsidRPr="00FC57D5">
        <w:rPr>
          <w:spacing w:val="-2"/>
          <w:rtl/>
          <w:lang w:val="fr-CH"/>
        </w:rPr>
        <w:t>17</w:t>
      </w:r>
      <w:r w:rsidRPr="00436209">
        <w:rPr>
          <w:spacing w:val="-2"/>
          <w:rtl/>
          <w:lang w:val="fr-CH"/>
        </w:rPr>
        <w:t xml:space="preserve"> و</w:t>
      </w:r>
      <w:r w:rsidRPr="00FC57D5">
        <w:rPr>
          <w:spacing w:val="-2"/>
          <w:rtl/>
          <w:lang w:val="fr-CH"/>
        </w:rPr>
        <w:t>26</w:t>
      </w:r>
      <w:r w:rsidRPr="00436209">
        <w:rPr>
          <w:spacing w:val="-2"/>
          <w:rtl/>
          <w:lang w:val="fr-CH"/>
        </w:rPr>
        <w:t xml:space="preserve">). </w:t>
      </w:r>
    </w:p>
    <w:p w14:paraId="67AC7242" w14:textId="35C08623" w:rsidR="005E157B" w:rsidRPr="00FC57D5" w:rsidRDefault="005E157B" w:rsidP="00436209">
      <w:pPr>
        <w:pStyle w:val="SingleTxtGA"/>
        <w:spacing w:line="350" w:lineRule="exact"/>
        <w:rPr>
          <w:b/>
          <w:bCs/>
          <w:lang w:val="fr-CH"/>
        </w:rPr>
      </w:pPr>
      <w:r w:rsidRPr="00FC57D5">
        <w:rPr>
          <w:rtl/>
          <w:lang w:val="fr-CH"/>
        </w:rPr>
        <w:lastRenderedPageBreak/>
        <w:t>19</w:t>
      </w:r>
      <w:r w:rsidRPr="00436209">
        <w:rPr>
          <w:rtl/>
          <w:lang w:val="fr-CH"/>
        </w:rPr>
        <w:t>-</w:t>
      </w:r>
      <w:r w:rsidRPr="00436209">
        <w:rPr>
          <w:rtl/>
          <w:lang w:val="fr-CH"/>
        </w:rPr>
        <w:tab/>
      </w:r>
      <w:r w:rsidRPr="00FC57D5">
        <w:rPr>
          <w:b/>
          <w:bCs/>
          <w:rtl/>
          <w:lang w:val="fr-CH"/>
        </w:rPr>
        <w:t>مع أخذ الفقرة 8 من تعليق اللجنة العام رقم 36 (2018)</w:t>
      </w:r>
      <w:r w:rsidR="00BA42F6" w:rsidRPr="00FC57D5">
        <w:rPr>
          <w:b/>
          <w:bCs/>
          <w:rtl/>
          <w:lang w:val="fr-CH"/>
        </w:rPr>
        <w:t>،</w:t>
      </w:r>
      <w:r w:rsidRPr="00FC57D5">
        <w:rPr>
          <w:b/>
          <w:bCs/>
          <w:rtl/>
          <w:lang w:val="fr-CH"/>
        </w:rPr>
        <w:t xml:space="preserve"> ينبغي للدولة الطرف أن تقوم بما</w:t>
      </w:r>
      <w:r w:rsidR="00085A1B" w:rsidRPr="00FC57D5">
        <w:rPr>
          <w:rFonts w:hint="cs"/>
          <w:b/>
          <w:bCs/>
          <w:rtl/>
          <w:lang w:val="fr-CH"/>
        </w:rPr>
        <w:t> </w:t>
      </w:r>
      <w:r w:rsidRPr="00FC57D5">
        <w:rPr>
          <w:b/>
          <w:bCs/>
          <w:rtl/>
          <w:lang w:val="fr-CH"/>
        </w:rPr>
        <w:t>يلي:</w:t>
      </w:r>
    </w:p>
    <w:p w14:paraId="303362BB" w14:textId="3517A394" w:rsidR="005E157B" w:rsidRPr="00FC57D5" w:rsidRDefault="005E157B" w:rsidP="00436209">
      <w:pPr>
        <w:pStyle w:val="SingleTxtGA"/>
        <w:spacing w:line="350" w:lineRule="exact"/>
        <w:rPr>
          <w:b/>
          <w:bCs/>
          <w:lang w:val="fr-CH"/>
        </w:rPr>
      </w:pPr>
      <w:r w:rsidRPr="00436209">
        <w:rPr>
          <w:rtl/>
          <w:lang w:val="fr-CH"/>
        </w:rPr>
        <w:tab/>
        <w:t>(أ)</w:t>
      </w:r>
      <w:r w:rsidRPr="00436209">
        <w:rPr>
          <w:rtl/>
          <w:lang w:val="fr-CH"/>
        </w:rPr>
        <w:tab/>
      </w:r>
      <w:r w:rsidRPr="00FC57D5">
        <w:rPr>
          <w:b/>
          <w:bCs/>
          <w:rtl/>
          <w:lang w:val="fr-CH"/>
        </w:rPr>
        <w:t xml:space="preserve">تعديل تشريعاتها بحيث تضمن إمكانية الإجهاض بطريقة مأمونة وقانونية وفعالة </w:t>
      </w:r>
      <w:r w:rsidRPr="00FC57D5">
        <w:rPr>
          <w:rFonts w:ascii="Times New Roman Bold" w:hAnsi="Times New Roman Bold"/>
          <w:b/>
          <w:bCs/>
          <w:spacing w:val="-2"/>
          <w:rtl/>
          <w:lang w:val="fr-CH"/>
        </w:rPr>
        <w:t>متى ما كانت صحة المرأة أو الفتاة الحامل في خطر ومتى ما كان من المرجح أن يتسبب استمرار الحمل</w:t>
      </w:r>
      <w:r w:rsidRPr="00FC57D5">
        <w:rPr>
          <w:b/>
          <w:bCs/>
          <w:rtl/>
          <w:lang w:val="fr-CH"/>
        </w:rPr>
        <w:t xml:space="preserve"> حتى الولادة في آلام أو معاناة شديدتين للمرأة أو الفتاة</w:t>
      </w:r>
      <w:r w:rsidR="00BA42F6" w:rsidRPr="00FC57D5">
        <w:rPr>
          <w:b/>
          <w:bCs/>
          <w:rtl/>
          <w:lang w:val="fr-CH"/>
        </w:rPr>
        <w:t>،</w:t>
      </w:r>
      <w:r w:rsidRPr="00FC57D5">
        <w:rPr>
          <w:b/>
          <w:bCs/>
          <w:rtl/>
          <w:lang w:val="fr-CH"/>
        </w:rPr>
        <w:t xml:space="preserve"> ولا سيما إذا كان الحمل ناجماً عن اغتصاب أو سفاح محارم أو كان بقاء الجنين على قيد الحياة مستبعداً؛ </w:t>
      </w:r>
    </w:p>
    <w:p w14:paraId="1033070B" w14:textId="6C51BEBB" w:rsidR="005E157B" w:rsidRPr="00FC57D5" w:rsidRDefault="005E157B" w:rsidP="00436209">
      <w:pPr>
        <w:pStyle w:val="SingleTxtGA"/>
        <w:spacing w:line="350" w:lineRule="exact"/>
        <w:rPr>
          <w:rFonts w:ascii="Times New Roman Bold" w:hAnsi="Times New Roman Bold" w:hint="eastAsia"/>
          <w:b/>
          <w:bCs/>
          <w:spacing w:val="-2"/>
          <w:lang w:val="fr-CH"/>
        </w:rPr>
      </w:pPr>
      <w:r w:rsidRPr="00436209">
        <w:rPr>
          <w:rtl/>
          <w:lang w:val="fr-CH"/>
        </w:rPr>
        <w:tab/>
        <w:t>(ب)</w:t>
      </w:r>
      <w:r w:rsidRPr="00436209">
        <w:rPr>
          <w:rtl/>
          <w:lang w:val="fr-CH"/>
        </w:rPr>
        <w:tab/>
      </w:r>
      <w:r w:rsidRPr="00FC57D5">
        <w:rPr>
          <w:rFonts w:ascii="Times New Roman Bold" w:hAnsi="Times New Roman Bold"/>
          <w:b/>
          <w:bCs/>
          <w:spacing w:val="-4"/>
          <w:rtl/>
          <w:lang w:val="fr-CH"/>
        </w:rPr>
        <w:t>ضمان عدم تعريض النساء والفتيات اللائي يلجأن إلى الإجهاض والأطباء الذين يقدمون</w:t>
      </w:r>
      <w:r w:rsidRPr="00FC57D5">
        <w:rPr>
          <w:rFonts w:ascii="Times New Roman Bold" w:hAnsi="Times New Roman Bold"/>
          <w:b/>
          <w:bCs/>
          <w:spacing w:val="-2"/>
          <w:rtl/>
          <w:lang w:val="fr-CH"/>
        </w:rPr>
        <w:t xml:space="preserve"> لهن الرعاية لعقوبات جنائية</w:t>
      </w:r>
      <w:r w:rsidR="00BA42F6" w:rsidRPr="00FC57D5">
        <w:rPr>
          <w:rFonts w:ascii="Times New Roman Bold" w:hAnsi="Times New Roman Bold"/>
          <w:b/>
          <w:bCs/>
          <w:spacing w:val="-2"/>
          <w:rtl/>
          <w:lang w:val="fr-CH"/>
        </w:rPr>
        <w:t>،</w:t>
      </w:r>
      <w:r w:rsidRPr="00FC57D5">
        <w:rPr>
          <w:rFonts w:ascii="Times New Roman Bold" w:hAnsi="Times New Roman Bold"/>
          <w:b/>
          <w:bCs/>
          <w:spacing w:val="-2"/>
          <w:rtl/>
          <w:lang w:val="fr-CH"/>
        </w:rPr>
        <w:t xml:space="preserve"> وإزالة العراقيل الموجودة</w:t>
      </w:r>
      <w:r w:rsidR="00BA42F6" w:rsidRPr="00FC57D5">
        <w:rPr>
          <w:rFonts w:ascii="Times New Roman Bold" w:hAnsi="Times New Roman Bold"/>
          <w:b/>
          <w:bCs/>
          <w:spacing w:val="-2"/>
          <w:rtl/>
          <w:lang w:val="fr-CH"/>
        </w:rPr>
        <w:t>،</w:t>
      </w:r>
      <w:r w:rsidRPr="00FC57D5">
        <w:rPr>
          <w:rFonts w:ascii="Times New Roman Bold" w:hAnsi="Times New Roman Bold"/>
          <w:b/>
          <w:bCs/>
          <w:spacing w:val="-2"/>
          <w:rtl/>
          <w:lang w:val="fr-CH"/>
        </w:rPr>
        <w:t xml:space="preserve"> كتلك المتعلقة بالحصول على إذن طبي</w:t>
      </w:r>
      <w:r w:rsidR="00BA42F6" w:rsidRPr="00FC57D5">
        <w:rPr>
          <w:rFonts w:ascii="Times New Roman Bold" w:hAnsi="Times New Roman Bold"/>
          <w:b/>
          <w:bCs/>
          <w:spacing w:val="-2"/>
          <w:rtl/>
          <w:lang w:val="fr-CH"/>
        </w:rPr>
        <w:t>،</w:t>
      </w:r>
      <w:r w:rsidRPr="00FC57D5">
        <w:rPr>
          <w:rFonts w:ascii="Times New Roman Bold" w:hAnsi="Times New Roman Bold"/>
          <w:b/>
          <w:bCs/>
          <w:spacing w:val="-2"/>
          <w:rtl/>
          <w:lang w:val="fr-CH"/>
        </w:rPr>
        <w:t xml:space="preserve"> لأن وجود عقوبات وعراقيل من هذا القبيل يُرغم النساء والفتيات على اللجوء إلى الإجهاض غير المأمون؛ </w:t>
      </w:r>
    </w:p>
    <w:p w14:paraId="5F055CD3" w14:textId="5EC90E6A" w:rsidR="005E157B" w:rsidRPr="00FC57D5" w:rsidRDefault="005E157B" w:rsidP="00436209">
      <w:pPr>
        <w:pStyle w:val="SingleTxtGA"/>
        <w:spacing w:line="350" w:lineRule="exact"/>
        <w:rPr>
          <w:b/>
          <w:bCs/>
          <w:lang w:val="fr-CH"/>
        </w:rPr>
      </w:pPr>
      <w:r w:rsidRPr="00436209">
        <w:rPr>
          <w:rtl/>
          <w:lang w:val="fr-CH"/>
        </w:rPr>
        <w:tab/>
        <w:t>(ج)</w:t>
      </w:r>
      <w:r w:rsidRPr="00436209">
        <w:rPr>
          <w:rtl/>
          <w:lang w:val="fr-CH"/>
        </w:rPr>
        <w:tab/>
      </w:r>
      <w:r w:rsidRPr="00FC57D5">
        <w:rPr>
          <w:b/>
          <w:bCs/>
          <w:rtl/>
          <w:lang w:val="fr-CH"/>
        </w:rPr>
        <w:t>تنفيذ سياسات تثقيفية لإذكاء وعي النساء والرجال والمراهقات والمراهقين بالصحة الجنسية والإنجابية</w:t>
      </w:r>
      <w:r w:rsidR="00BA42F6" w:rsidRPr="00FC57D5">
        <w:rPr>
          <w:b/>
          <w:bCs/>
          <w:rtl/>
          <w:lang w:val="fr-CH"/>
        </w:rPr>
        <w:t>،</w:t>
      </w:r>
      <w:r w:rsidRPr="00FC57D5">
        <w:rPr>
          <w:b/>
          <w:bCs/>
          <w:rtl/>
          <w:lang w:val="fr-CH"/>
        </w:rPr>
        <w:t xml:space="preserve"> ومنع وصم النساء والفتيات اللائي يلجأن إلى الإجهاض</w:t>
      </w:r>
      <w:r w:rsidR="00BA42F6" w:rsidRPr="00FC57D5">
        <w:rPr>
          <w:b/>
          <w:bCs/>
          <w:rtl/>
          <w:lang w:val="fr-CH"/>
        </w:rPr>
        <w:t>،</w:t>
      </w:r>
      <w:r w:rsidRPr="00FC57D5">
        <w:rPr>
          <w:b/>
          <w:bCs/>
          <w:rtl/>
          <w:lang w:val="fr-CH"/>
        </w:rPr>
        <w:t xml:space="preserve"> وضمان الحصول على وسائل منع الحمل وخدمات الصحة الإنجابية المناسبة والميسورة التكلفة. </w:t>
      </w:r>
    </w:p>
    <w:p w14:paraId="6BC6EBFB" w14:textId="77777777" w:rsidR="005E157B" w:rsidRPr="00FC57D5" w:rsidRDefault="005E157B" w:rsidP="00436209">
      <w:pPr>
        <w:pStyle w:val="H23GA"/>
        <w:spacing w:line="350" w:lineRule="exact"/>
      </w:pPr>
      <w:r w:rsidRPr="00FC57D5">
        <w:rPr>
          <w:rtl/>
        </w:rPr>
        <w:tab/>
      </w:r>
      <w:r w:rsidRPr="00FC57D5">
        <w:rPr>
          <w:rtl/>
        </w:rPr>
        <w:tab/>
        <w:t>عقوبة الإعدام</w:t>
      </w:r>
    </w:p>
    <w:p w14:paraId="4957FA83" w14:textId="08F28BE5" w:rsidR="005E157B" w:rsidRPr="00436209" w:rsidRDefault="005E157B" w:rsidP="00436209">
      <w:pPr>
        <w:pStyle w:val="SingleTxtGA"/>
        <w:spacing w:line="350" w:lineRule="exact"/>
        <w:rPr>
          <w:lang w:val="fr-CH"/>
        </w:rPr>
      </w:pPr>
      <w:r w:rsidRPr="00FC57D5">
        <w:rPr>
          <w:rtl/>
          <w:lang w:val="fr-CH"/>
        </w:rPr>
        <w:t>20</w:t>
      </w:r>
      <w:r w:rsidRPr="00436209">
        <w:rPr>
          <w:rtl/>
          <w:lang w:val="fr-CH"/>
        </w:rPr>
        <w:t>-</w:t>
      </w:r>
      <w:r w:rsidRPr="00436209">
        <w:rPr>
          <w:rtl/>
          <w:lang w:val="fr-CH"/>
        </w:rPr>
        <w:tab/>
        <w:t>تعرب اللجنة عن قلقها إزاء التقارير التي تفيد بأن الدولة الطرف نفذت مؤخراً عملية إعدام</w:t>
      </w:r>
      <w:r w:rsidR="00BA42F6" w:rsidRPr="00436209">
        <w:rPr>
          <w:rtl/>
          <w:lang w:val="fr-CH"/>
        </w:rPr>
        <w:t>،</w:t>
      </w:r>
      <w:r w:rsidRPr="00436209">
        <w:rPr>
          <w:rtl/>
          <w:lang w:val="fr-CH"/>
        </w:rPr>
        <w:t xml:space="preserve"> في </w:t>
      </w:r>
      <w:r w:rsidRPr="00CA46B9">
        <w:rPr>
          <w:spacing w:val="-4"/>
          <w:rtl/>
          <w:lang w:val="fr-CH"/>
        </w:rPr>
        <w:t xml:space="preserve">أيار/مايو </w:t>
      </w:r>
      <w:r w:rsidRPr="00FC57D5">
        <w:rPr>
          <w:spacing w:val="-4"/>
          <w:rtl/>
          <w:lang w:val="fr-CH"/>
        </w:rPr>
        <w:t>2020</w:t>
      </w:r>
      <w:r w:rsidR="00BA42F6" w:rsidRPr="00CA46B9">
        <w:rPr>
          <w:spacing w:val="-4"/>
          <w:rtl/>
          <w:lang w:val="fr-CH"/>
        </w:rPr>
        <w:t>،</w:t>
      </w:r>
      <w:r w:rsidRPr="00CA46B9">
        <w:rPr>
          <w:spacing w:val="-4"/>
          <w:rtl/>
          <w:lang w:val="fr-CH"/>
        </w:rPr>
        <w:t xml:space="preserve"> لتنهي بذلك وقفها الاختياري بحكم الواقع لعمليات الإعدام الذي كان سارياً منذ عام </w:t>
      </w:r>
      <w:r w:rsidRPr="00FC57D5">
        <w:rPr>
          <w:spacing w:val="-4"/>
          <w:rtl/>
          <w:lang w:val="fr-CH"/>
        </w:rPr>
        <w:t>2000</w:t>
      </w:r>
      <w:r w:rsidRPr="00CA46B9">
        <w:rPr>
          <w:spacing w:val="-4"/>
          <w:rtl/>
          <w:lang w:val="fr-CH"/>
        </w:rPr>
        <w:t>.</w:t>
      </w:r>
      <w:r w:rsidRPr="00436209">
        <w:rPr>
          <w:rtl/>
          <w:lang w:val="fr-CH"/>
        </w:rPr>
        <w:t xml:space="preserve"> وتعرب عن قلقها كذلك لإبقاء التشريعات المحلية على عقوبة الإعدام في جرائم لا تستوفي الحد الأدنى من المعايير كي تُصنَّف ضمن "أشد الجرائم خطورة" بالمعنى المقصود في العهد (المادة </w:t>
      </w:r>
      <w:r w:rsidRPr="00FC57D5">
        <w:rPr>
          <w:rtl/>
          <w:lang w:val="fr-CH"/>
        </w:rPr>
        <w:t>6</w:t>
      </w:r>
      <w:r w:rsidRPr="00436209">
        <w:rPr>
          <w:rtl/>
          <w:lang w:val="fr-CH"/>
        </w:rPr>
        <w:t xml:space="preserve">). </w:t>
      </w:r>
    </w:p>
    <w:p w14:paraId="4F325705" w14:textId="0FBEE7F7" w:rsidR="005E157B" w:rsidRPr="00FC57D5" w:rsidRDefault="005E157B" w:rsidP="00436209">
      <w:pPr>
        <w:pStyle w:val="SingleTxtGA"/>
        <w:spacing w:line="350" w:lineRule="exact"/>
        <w:rPr>
          <w:b/>
          <w:bCs/>
          <w:lang w:val="fr-CH"/>
        </w:rPr>
      </w:pPr>
      <w:r w:rsidRPr="00FC57D5">
        <w:rPr>
          <w:rtl/>
          <w:lang w:val="fr-CH"/>
        </w:rPr>
        <w:t>21</w:t>
      </w:r>
      <w:r w:rsidRPr="00436209">
        <w:rPr>
          <w:rtl/>
          <w:lang w:val="fr-CH"/>
        </w:rPr>
        <w:t>-</w:t>
      </w:r>
      <w:r w:rsidRPr="00436209">
        <w:rPr>
          <w:rtl/>
          <w:lang w:val="fr-CH"/>
        </w:rPr>
        <w:tab/>
      </w:r>
      <w:r w:rsidRPr="00FC57D5">
        <w:rPr>
          <w:b/>
          <w:bCs/>
          <w:rtl/>
          <w:lang w:val="fr-CH"/>
        </w:rPr>
        <w:t>ينبغي للدولة الطرف أن تفرض وقفاً اختيارياً لعقوبة الإعدام وتنظر في إلغائها وفي الانضمام إلى البروتوكول الاختياري الثاني الملحق بالعهد. وفي حالة الإبقاء على عقوبة الإعدام</w:t>
      </w:r>
      <w:r w:rsidR="00BA42F6" w:rsidRPr="00FC57D5">
        <w:rPr>
          <w:b/>
          <w:bCs/>
          <w:rtl/>
          <w:lang w:val="fr-CH"/>
        </w:rPr>
        <w:t>،</w:t>
      </w:r>
      <w:r w:rsidRPr="00FC57D5">
        <w:rPr>
          <w:b/>
          <w:bCs/>
          <w:rtl/>
          <w:lang w:val="fr-CH"/>
        </w:rPr>
        <w:t xml:space="preserve"> ينبغي للدولة</w:t>
      </w:r>
      <w:r w:rsidR="00436209" w:rsidRPr="00FC57D5">
        <w:rPr>
          <w:rFonts w:hint="cs"/>
          <w:b/>
          <w:bCs/>
          <w:rtl/>
          <w:lang w:val="fr-CH"/>
        </w:rPr>
        <w:t> </w:t>
      </w:r>
      <w:r w:rsidRPr="00FC57D5">
        <w:rPr>
          <w:b/>
          <w:bCs/>
          <w:rtl/>
          <w:lang w:val="fr-CH"/>
        </w:rPr>
        <w:t>الطرف</w:t>
      </w:r>
      <w:r w:rsidR="00BA42F6" w:rsidRPr="00FC57D5">
        <w:rPr>
          <w:b/>
          <w:bCs/>
          <w:rtl/>
          <w:lang w:val="fr-CH"/>
        </w:rPr>
        <w:t>،</w:t>
      </w:r>
      <w:r w:rsidRPr="00FC57D5">
        <w:rPr>
          <w:b/>
          <w:bCs/>
          <w:rtl/>
          <w:lang w:val="fr-CH"/>
        </w:rPr>
        <w:t xml:space="preserve"> على سبيل الأولوية</w:t>
      </w:r>
      <w:r w:rsidR="00BA42F6" w:rsidRPr="00FC57D5">
        <w:rPr>
          <w:b/>
          <w:bCs/>
          <w:rtl/>
          <w:lang w:val="fr-CH"/>
        </w:rPr>
        <w:t>،</w:t>
      </w:r>
      <w:r w:rsidRPr="00FC57D5">
        <w:rPr>
          <w:b/>
          <w:bCs/>
          <w:rtl/>
          <w:lang w:val="fr-CH"/>
        </w:rPr>
        <w:t xml:space="preserve"> أن تتخذ جميع التدابير اللازمة لضمان عدم فرض تلك العقوبة إلا</w:t>
      </w:r>
      <w:r w:rsidR="00436209" w:rsidRPr="00FC57D5">
        <w:rPr>
          <w:rFonts w:hint="cs"/>
          <w:b/>
          <w:bCs/>
          <w:rtl/>
          <w:lang w:val="fr-CH"/>
        </w:rPr>
        <w:t> </w:t>
      </w:r>
      <w:r w:rsidRPr="00FC57D5">
        <w:rPr>
          <w:b/>
          <w:bCs/>
          <w:rtl/>
          <w:lang w:val="fr-CH"/>
        </w:rPr>
        <w:t>على أشد الجرائم خطورة</w:t>
      </w:r>
      <w:r w:rsidR="00BA42F6" w:rsidRPr="00FC57D5">
        <w:rPr>
          <w:b/>
          <w:bCs/>
          <w:rtl/>
          <w:lang w:val="fr-CH"/>
        </w:rPr>
        <w:t>،</w:t>
      </w:r>
      <w:r w:rsidRPr="00FC57D5">
        <w:rPr>
          <w:b/>
          <w:bCs/>
          <w:rtl/>
          <w:lang w:val="fr-CH"/>
        </w:rPr>
        <w:t xml:space="preserve"> التي تنطوي على القتل العمد</w:t>
      </w:r>
      <w:r w:rsidR="00BA42F6" w:rsidRPr="00FC57D5">
        <w:rPr>
          <w:b/>
          <w:bCs/>
          <w:rtl/>
          <w:lang w:val="fr-CH"/>
        </w:rPr>
        <w:t>،</w:t>
      </w:r>
      <w:r w:rsidRPr="00FC57D5">
        <w:rPr>
          <w:b/>
          <w:bCs/>
          <w:rtl/>
          <w:lang w:val="fr-CH"/>
        </w:rPr>
        <w:t xml:space="preserve"> آخذة في اعتبارها تعليق اللجنة العام رقم</w:t>
      </w:r>
      <w:r w:rsidR="00436209" w:rsidRPr="00FC57D5">
        <w:rPr>
          <w:rFonts w:hint="cs"/>
          <w:b/>
          <w:bCs/>
          <w:rtl/>
          <w:lang w:val="fr-CH"/>
        </w:rPr>
        <w:t> </w:t>
      </w:r>
      <w:r w:rsidRPr="00FC57D5">
        <w:rPr>
          <w:b/>
          <w:bCs/>
          <w:rtl/>
          <w:lang w:val="fr-CH"/>
        </w:rPr>
        <w:t>36(2018). وينبغي لها أيضاً أن تتخذ تدابير مناسبة في مجال التوعية من أجل تعبئة الرأي العام تأييداً لإلغاء عقوبة الإعدام.</w:t>
      </w:r>
    </w:p>
    <w:p w14:paraId="59413614" w14:textId="77777777" w:rsidR="005E157B" w:rsidRPr="00FC57D5" w:rsidRDefault="005E157B" w:rsidP="00436209">
      <w:pPr>
        <w:pStyle w:val="H23GA"/>
        <w:spacing w:line="350" w:lineRule="exact"/>
      </w:pPr>
      <w:r w:rsidRPr="00FC57D5">
        <w:rPr>
          <w:rtl/>
        </w:rPr>
        <w:tab/>
      </w:r>
      <w:r w:rsidRPr="00FC57D5">
        <w:rPr>
          <w:rtl/>
        </w:rPr>
        <w:tab/>
        <w:t>حالات الوفاة في صفوف العمال المهاجرين</w:t>
      </w:r>
    </w:p>
    <w:p w14:paraId="35C4803F" w14:textId="606A24B4" w:rsidR="005E157B" w:rsidRPr="00436209" w:rsidRDefault="005E157B" w:rsidP="00436209">
      <w:pPr>
        <w:pStyle w:val="SingleTxtGA"/>
        <w:spacing w:line="350" w:lineRule="exact"/>
        <w:rPr>
          <w:spacing w:val="-4"/>
          <w:lang w:val="fr-CH"/>
        </w:rPr>
      </w:pPr>
      <w:r w:rsidRPr="00FC57D5">
        <w:rPr>
          <w:spacing w:val="-4"/>
          <w:rtl/>
          <w:lang w:val="fr-CH"/>
        </w:rPr>
        <w:t>22</w:t>
      </w:r>
      <w:r w:rsidRPr="00436209">
        <w:rPr>
          <w:spacing w:val="-4"/>
          <w:rtl/>
          <w:lang w:val="fr-CH"/>
        </w:rPr>
        <w:t>-</w:t>
      </w:r>
      <w:r w:rsidRPr="00436209">
        <w:rPr>
          <w:spacing w:val="-4"/>
          <w:rtl/>
          <w:lang w:val="fr-CH"/>
        </w:rPr>
        <w:tab/>
      </w:r>
      <w:r w:rsidRPr="00CA46B9">
        <w:rPr>
          <w:rtl/>
          <w:lang w:val="fr-CH"/>
        </w:rPr>
        <w:t>تقر اللجنة بما اتخذته الدولة الطرف من تدابير لحماية سلامة وصحة العمال</w:t>
      </w:r>
      <w:r w:rsidR="00BA42F6" w:rsidRPr="00CA46B9">
        <w:rPr>
          <w:rtl/>
          <w:lang w:val="fr-CH"/>
        </w:rPr>
        <w:t>،</w:t>
      </w:r>
      <w:r w:rsidRPr="00CA46B9">
        <w:rPr>
          <w:rtl/>
          <w:lang w:val="fr-CH"/>
        </w:rPr>
        <w:t xml:space="preserve"> بمن فيهم العمال المهاجرون</w:t>
      </w:r>
      <w:r w:rsidR="00BA42F6" w:rsidRPr="00436209">
        <w:rPr>
          <w:spacing w:val="-4"/>
          <w:rtl/>
          <w:lang w:val="fr-CH"/>
        </w:rPr>
        <w:t>،</w:t>
      </w:r>
      <w:r w:rsidRPr="00436209">
        <w:rPr>
          <w:spacing w:val="-4"/>
          <w:rtl/>
          <w:lang w:val="fr-CH"/>
        </w:rPr>
        <w:t xml:space="preserve"> مثل الإعلان الوزاري رقم (</w:t>
      </w:r>
      <w:r w:rsidRPr="00FC57D5">
        <w:rPr>
          <w:spacing w:val="-4"/>
          <w:rtl/>
          <w:lang w:val="fr-CH"/>
        </w:rPr>
        <w:t>17</w:t>
      </w:r>
      <w:r w:rsidRPr="00436209">
        <w:rPr>
          <w:spacing w:val="-4"/>
          <w:rtl/>
          <w:lang w:val="fr-CH"/>
        </w:rPr>
        <w:t xml:space="preserve">) لسنة </w:t>
      </w:r>
      <w:r w:rsidRPr="00FC57D5">
        <w:rPr>
          <w:spacing w:val="-4"/>
          <w:rtl/>
          <w:lang w:val="fr-CH"/>
        </w:rPr>
        <w:t>2021</w:t>
      </w:r>
      <w:r w:rsidRPr="00436209">
        <w:rPr>
          <w:spacing w:val="-4"/>
          <w:rtl/>
          <w:lang w:val="fr-CH"/>
        </w:rPr>
        <w:t xml:space="preserve"> الصادر عن وزارة التنمية الإدارية والعمل والشؤون الاجتماعية بشأن الاحتياطات اللازمة لحماية العمال من الإجهاد الحراري. وتحيط اللجنة علماً أيضاً بما قدمه الوفد من معلومات تفيد بأن أي حادث متصل بالعمل يؤدي إلى وفاة العامل يفضي تلقائياً إلى تقديم شكوى ضد رب العمل وبأن لأسرة المتوفى الحق في طلب تعويض. ومع ذلك</w:t>
      </w:r>
      <w:r w:rsidR="00BA42F6" w:rsidRPr="00436209">
        <w:rPr>
          <w:spacing w:val="-4"/>
          <w:rtl/>
          <w:lang w:val="fr-CH"/>
        </w:rPr>
        <w:t>،</w:t>
      </w:r>
      <w:r w:rsidRPr="00436209">
        <w:rPr>
          <w:spacing w:val="-4"/>
          <w:rtl/>
          <w:lang w:val="fr-CH"/>
        </w:rPr>
        <w:t xml:space="preserve"> تعرب اللجنة عن قلقها إزاء التقارير التي تفيد بحدوث حالات وفاة في صفوف العمال المهاجرين في مواقع البناء في قطر</w:t>
      </w:r>
      <w:r w:rsidR="00BA42F6" w:rsidRPr="00436209">
        <w:rPr>
          <w:spacing w:val="-4"/>
          <w:rtl/>
          <w:lang w:val="fr-CH"/>
        </w:rPr>
        <w:t>،</w:t>
      </w:r>
      <w:r w:rsidRPr="00436209">
        <w:rPr>
          <w:spacing w:val="-4"/>
          <w:rtl/>
          <w:lang w:val="fr-CH"/>
        </w:rPr>
        <w:t xml:space="preserve"> بما في ذلك مواقع البناء استعداداً </w:t>
      </w:r>
      <w:r w:rsidRPr="00CA46B9">
        <w:rPr>
          <w:rtl/>
          <w:lang w:val="fr-CH"/>
        </w:rPr>
        <w:t xml:space="preserve">لكأس العالم لكرة القدم لعام </w:t>
      </w:r>
      <w:r w:rsidRPr="00FC57D5">
        <w:rPr>
          <w:rtl/>
          <w:lang w:val="fr-CH"/>
        </w:rPr>
        <w:t>2022</w:t>
      </w:r>
      <w:r w:rsidR="00BA42F6" w:rsidRPr="00CA46B9">
        <w:rPr>
          <w:rtl/>
          <w:lang w:val="fr-CH"/>
        </w:rPr>
        <w:t>،</w:t>
      </w:r>
      <w:r w:rsidRPr="00CA46B9">
        <w:rPr>
          <w:rtl/>
          <w:lang w:val="fr-CH"/>
        </w:rPr>
        <w:t xml:space="preserve"> وعدم تقديم معلومات واضحة عن عدد العمال المهاجرين المتوفين والتحقيقات</w:t>
      </w:r>
      <w:r w:rsidRPr="00436209">
        <w:rPr>
          <w:spacing w:val="-4"/>
          <w:rtl/>
          <w:lang w:val="fr-CH"/>
        </w:rPr>
        <w:t xml:space="preserve"> التي أجريت في حالات وفاتهم والتعويضات التي قُدمت إلى أسرهم (المادتان </w:t>
      </w:r>
      <w:r w:rsidRPr="00FC57D5">
        <w:rPr>
          <w:spacing w:val="-4"/>
          <w:rtl/>
          <w:lang w:val="fr-CH"/>
        </w:rPr>
        <w:t>2</w:t>
      </w:r>
      <w:r w:rsidRPr="00436209">
        <w:rPr>
          <w:spacing w:val="-4"/>
          <w:rtl/>
          <w:lang w:val="fr-CH"/>
        </w:rPr>
        <w:t xml:space="preserve"> و</w:t>
      </w:r>
      <w:r w:rsidRPr="00FC57D5">
        <w:rPr>
          <w:spacing w:val="-4"/>
          <w:rtl/>
          <w:lang w:val="fr-CH"/>
        </w:rPr>
        <w:t>6</w:t>
      </w:r>
      <w:r w:rsidRPr="00436209">
        <w:rPr>
          <w:spacing w:val="-4"/>
          <w:rtl/>
          <w:lang w:val="fr-CH"/>
        </w:rPr>
        <w:t xml:space="preserve">). </w:t>
      </w:r>
    </w:p>
    <w:p w14:paraId="4E78C8B4" w14:textId="22629A40" w:rsidR="005E157B" w:rsidRPr="00FC57D5" w:rsidRDefault="005E157B" w:rsidP="00436209">
      <w:pPr>
        <w:pStyle w:val="SingleTxtGA"/>
        <w:spacing w:line="350" w:lineRule="exact"/>
        <w:rPr>
          <w:b/>
          <w:bCs/>
          <w:lang w:val="fr-CH"/>
        </w:rPr>
      </w:pPr>
      <w:r w:rsidRPr="00FC57D5">
        <w:rPr>
          <w:rtl/>
          <w:lang w:val="fr-CH"/>
        </w:rPr>
        <w:t>23</w:t>
      </w:r>
      <w:r w:rsidRPr="00436209">
        <w:rPr>
          <w:rtl/>
          <w:lang w:val="fr-CH"/>
        </w:rPr>
        <w:t>-</w:t>
      </w:r>
      <w:r w:rsidRPr="00436209">
        <w:rPr>
          <w:rtl/>
          <w:lang w:val="fr-CH"/>
        </w:rPr>
        <w:tab/>
      </w:r>
      <w:r w:rsidRPr="00FC57D5">
        <w:rPr>
          <w:b/>
          <w:bCs/>
          <w:rtl/>
          <w:lang w:val="fr-CH"/>
        </w:rPr>
        <w:t>ينبغي للدولة الطرف أن تواصل وتكثف جهودها الرامية إلى الحيلولة دون وفاة العمال المهاجرين</w:t>
      </w:r>
      <w:r w:rsidR="00BA42F6" w:rsidRPr="00FC57D5">
        <w:rPr>
          <w:b/>
          <w:bCs/>
          <w:rtl/>
          <w:lang w:val="fr-CH"/>
        </w:rPr>
        <w:t>،</w:t>
      </w:r>
      <w:r w:rsidRPr="00FC57D5">
        <w:rPr>
          <w:b/>
          <w:bCs/>
          <w:rtl/>
          <w:lang w:val="fr-CH"/>
        </w:rPr>
        <w:t xml:space="preserve"> بما في ذلك في مواقع البناء</w:t>
      </w:r>
      <w:r w:rsidR="00BA42F6" w:rsidRPr="00FC57D5">
        <w:rPr>
          <w:b/>
          <w:bCs/>
          <w:rtl/>
          <w:lang w:val="fr-CH"/>
        </w:rPr>
        <w:t>،</w:t>
      </w:r>
      <w:r w:rsidRPr="00FC57D5">
        <w:rPr>
          <w:b/>
          <w:bCs/>
          <w:rtl/>
          <w:lang w:val="fr-CH"/>
        </w:rPr>
        <w:t xml:space="preserve"> ولا سيما عن طريق الإنفاذ الفعال للتدابير المتخذة لحماية </w:t>
      </w:r>
      <w:r w:rsidRPr="00FC57D5">
        <w:rPr>
          <w:rFonts w:ascii="Times New Roman Bold" w:hAnsi="Times New Roman Bold"/>
          <w:b/>
          <w:bCs/>
          <w:spacing w:val="-2"/>
          <w:rtl/>
          <w:lang w:val="fr-CH"/>
        </w:rPr>
        <w:t>سلامة العمال وصحتهم</w:t>
      </w:r>
      <w:r w:rsidR="00BA42F6" w:rsidRPr="00FC57D5">
        <w:rPr>
          <w:rFonts w:ascii="Times New Roman Bold" w:hAnsi="Times New Roman Bold"/>
          <w:b/>
          <w:bCs/>
          <w:spacing w:val="-2"/>
          <w:rtl/>
          <w:lang w:val="fr-CH"/>
        </w:rPr>
        <w:t>،</w:t>
      </w:r>
      <w:r w:rsidRPr="00FC57D5">
        <w:rPr>
          <w:rFonts w:ascii="Times New Roman Bold" w:hAnsi="Times New Roman Bold"/>
          <w:b/>
          <w:bCs/>
          <w:spacing w:val="-2"/>
          <w:rtl/>
          <w:lang w:val="fr-CH"/>
        </w:rPr>
        <w:t xml:space="preserve"> وكذلك الإطار القانوني المتعلق بالتحقيق في الحوادث التي تقع في أماكن العمل</w:t>
      </w:r>
      <w:r w:rsidR="00BA42F6" w:rsidRPr="00FC57D5">
        <w:rPr>
          <w:b/>
          <w:bCs/>
          <w:rtl/>
          <w:lang w:val="fr-CH"/>
        </w:rPr>
        <w:t>،</w:t>
      </w:r>
      <w:r w:rsidRPr="00FC57D5">
        <w:rPr>
          <w:b/>
          <w:bCs/>
          <w:rtl/>
          <w:lang w:val="fr-CH"/>
        </w:rPr>
        <w:t xml:space="preserve"> وتعويض أسر العمال المتوفين. </w:t>
      </w:r>
    </w:p>
    <w:p w14:paraId="0AB876BD" w14:textId="77777777" w:rsidR="005E157B" w:rsidRPr="00FC57D5" w:rsidRDefault="005E157B" w:rsidP="00436209">
      <w:pPr>
        <w:pStyle w:val="H23GA"/>
      </w:pPr>
      <w:r w:rsidRPr="00FC57D5">
        <w:rPr>
          <w:rtl/>
        </w:rPr>
        <w:lastRenderedPageBreak/>
        <w:tab/>
      </w:r>
      <w:r w:rsidRPr="00FC57D5">
        <w:rPr>
          <w:rtl/>
        </w:rPr>
        <w:tab/>
        <w:t xml:space="preserve">التمييز ضد العمال المهاجرين واستغلالهم وإساءة معاملتهم </w:t>
      </w:r>
    </w:p>
    <w:p w14:paraId="61AFDFDD" w14:textId="63A7ADF6" w:rsidR="005E157B" w:rsidRPr="00436209" w:rsidRDefault="005E157B" w:rsidP="005E157B">
      <w:pPr>
        <w:pStyle w:val="SingleTxtGA"/>
        <w:rPr>
          <w:lang w:val="fr-CH"/>
        </w:rPr>
      </w:pPr>
      <w:r w:rsidRPr="00FC57D5">
        <w:rPr>
          <w:rtl/>
          <w:lang w:val="fr-CH"/>
        </w:rPr>
        <w:t>24</w:t>
      </w:r>
      <w:r w:rsidRPr="00436209">
        <w:rPr>
          <w:rtl/>
          <w:lang w:val="fr-CH"/>
        </w:rPr>
        <w:t>-</w:t>
      </w:r>
      <w:r w:rsidRPr="00436209">
        <w:rPr>
          <w:rtl/>
          <w:lang w:val="fr-CH"/>
        </w:rPr>
        <w:tab/>
        <w:t xml:space="preserve">ترحب اللجنة بالتدابير التشريعية التي اعتمدتها الدولة الطرف لإلغاء نظام </w:t>
      </w:r>
      <w:r w:rsidRPr="00FC57D5">
        <w:rPr>
          <w:i/>
          <w:iCs/>
          <w:rtl/>
          <w:lang w:val="fr-CH"/>
        </w:rPr>
        <w:t>الكفالة</w:t>
      </w:r>
      <w:r w:rsidRPr="00436209">
        <w:rPr>
          <w:rtl/>
          <w:lang w:val="fr-CH"/>
        </w:rPr>
        <w:t xml:space="preserve"> وحماية العمال المهاجرين</w:t>
      </w:r>
      <w:r w:rsidR="00BA42F6" w:rsidRPr="00436209">
        <w:rPr>
          <w:rtl/>
          <w:lang w:val="fr-CH"/>
        </w:rPr>
        <w:t>،</w:t>
      </w:r>
      <w:r w:rsidRPr="00436209">
        <w:rPr>
          <w:rtl/>
          <w:lang w:val="fr-CH"/>
        </w:rPr>
        <w:t xml:space="preserve"> بمن فيهم العمال المنزليون المهاجرون. ومع ذلك</w:t>
      </w:r>
      <w:r w:rsidR="00BA42F6" w:rsidRPr="00436209">
        <w:rPr>
          <w:rtl/>
          <w:lang w:val="fr-CH"/>
        </w:rPr>
        <w:t>،</w:t>
      </w:r>
      <w:r w:rsidRPr="00436209">
        <w:rPr>
          <w:rtl/>
          <w:lang w:val="fr-CH"/>
        </w:rPr>
        <w:t xml:space="preserve"> تعرب اللجنة عن قلقها إزاء العقبات التي تعترض إنفاذ تلك التدابير التشريعية إنفاذاً فعالاً ولأن أرباب العمال ما زالوا ينتهكون حظر مصادرة جوازات السفر وعدم دفع مرتبات الموظفين</w:t>
      </w:r>
      <w:r w:rsidR="00BA42F6" w:rsidRPr="00436209">
        <w:rPr>
          <w:rtl/>
          <w:lang w:val="fr-CH"/>
        </w:rPr>
        <w:t>،</w:t>
      </w:r>
      <w:r w:rsidRPr="00436209">
        <w:rPr>
          <w:rtl/>
          <w:lang w:val="fr-CH"/>
        </w:rPr>
        <w:t xml:space="preserve"> وهي ممارسات ازدادت سوءاً إبان جائحة مرض فيروس كورونا (كوفيد-</w:t>
      </w:r>
      <w:r w:rsidRPr="00FC57D5">
        <w:rPr>
          <w:rtl/>
          <w:lang w:val="fr-CH"/>
        </w:rPr>
        <w:t>19</w:t>
      </w:r>
      <w:r w:rsidRPr="00436209">
        <w:rPr>
          <w:rtl/>
          <w:lang w:val="fr-CH"/>
        </w:rPr>
        <w:t>)</w:t>
      </w:r>
      <w:r w:rsidR="00BA42F6" w:rsidRPr="00436209">
        <w:rPr>
          <w:rtl/>
          <w:lang w:val="fr-CH"/>
        </w:rPr>
        <w:t>،</w:t>
      </w:r>
      <w:r w:rsidRPr="00436209">
        <w:rPr>
          <w:rtl/>
          <w:lang w:val="fr-CH"/>
        </w:rPr>
        <w:t xml:space="preserve"> وذلك على الرغم مما تبذله الدولة الطرف من جهود لحماية العمال المهاجرين. وتعرب عن قلقها أيض</w:t>
      </w:r>
      <w:r w:rsidR="00CA46B9">
        <w:rPr>
          <w:rtl/>
          <w:lang w:val="fr-CH"/>
        </w:rPr>
        <w:t xml:space="preserve">اً </w:t>
      </w:r>
      <w:r w:rsidRPr="00436209">
        <w:rPr>
          <w:rtl/>
          <w:lang w:val="fr-CH"/>
        </w:rPr>
        <w:t>إزاء الادعاءات التي مفادها أن عاملات المنازل المهاجرات يتعرضن للإيذاء والاستغلال</w:t>
      </w:r>
      <w:r w:rsidR="00BA42F6" w:rsidRPr="00436209">
        <w:rPr>
          <w:rtl/>
          <w:lang w:val="fr-CH"/>
        </w:rPr>
        <w:t>،</w:t>
      </w:r>
      <w:r w:rsidRPr="00436209">
        <w:rPr>
          <w:rtl/>
          <w:lang w:val="fr-CH"/>
        </w:rPr>
        <w:t xml:space="preserve"> بما</w:t>
      </w:r>
      <w:r w:rsidR="00436209" w:rsidRPr="00436209">
        <w:rPr>
          <w:rFonts w:hint="cs"/>
          <w:rtl/>
          <w:lang w:val="fr-CH"/>
        </w:rPr>
        <w:t> </w:t>
      </w:r>
      <w:r w:rsidRPr="00436209">
        <w:rPr>
          <w:rtl/>
          <w:lang w:val="fr-CH"/>
        </w:rPr>
        <w:t>في ذلك العمل لساعات طويلة إلى حد مفرط</w:t>
      </w:r>
      <w:r w:rsidR="00BA42F6" w:rsidRPr="00436209">
        <w:rPr>
          <w:rtl/>
          <w:lang w:val="fr-CH"/>
        </w:rPr>
        <w:t>،</w:t>
      </w:r>
      <w:r w:rsidRPr="00436209">
        <w:rPr>
          <w:rtl/>
          <w:lang w:val="fr-CH"/>
        </w:rPr>
        <w:t xml:space="preserve"> والحرمان من أيام الراحة الأسبوعية</w:t>
      </w:r>
      <w:r w:rsidR="00BA42F6" w:rsidRPr="00436209">
        <w:rPr>
          <w:rtl/>
          <w:lang w:val="fr-CH"/>
        </w:rPr>
        <w:t>،</w:t>
      </w:r>
      <w:r w:rsidRPr="00436209">
        <w:rPr>
          <w:rtl/>
          <w:lang w:val="fr-CH"/>
        </w:rPr>
        <w:t xml:space="preserve"> </w:t>
      </w:r>
      <w:proofErr w:type="gramStart"/>
      <w:r w:rsidRPr="00436209">
        <w:rPr>
          <w:rtl/>
          <w:lang w:val="fr-CH"/>
        </w:rPr>
        <w:t xml:space="preserve">والاعتداء اللفظي </w:t>
      </w:r>
      <w:proofErr w:type="gramEnd"/>
      <w:r w:rsidRPr="00436209">
        <w:rPr>
          <w:rtl/>
          <w:lang w:val="fr-CH"/>
        </w:rPr>
        <w:t>والبدني والجنسي. وتعرب اللجنة عن قلقها كذلك إزاء المعلومات التي تشير إلى أن قلة حالات إساءة معاملة العمال المهاجرين</w:t>
      </w:r>
      <w:r w:rsidR="00BA42F6" w:rsidRPr="00436209">
        <w:rPr>
          <w:rtl/>
          <w:lang w:val="fr-CH"/>
        </w:rPr>
        <w:t>،</w:t>
      </w:r>
      <w:r w:rsidRPr="00436209">
        <w:rPr>
          <w:rtl/>
          <w:lang w:val="fr-CH"/>
        </w:rPr>
        <w:t xml:space="preserve"> ولا سيما العمال المنزليين</w:t>
      </w:r>
      <w:r w:rsidR="00BA42F6" w:rsidRPr="00436209">
        <w:rPr>
          <w:rtl/>
          <w:lang w:val="fr-CH"/>
        </w:rPr>
        <w:t>،</w:t>
      </w:r>
      <w:r w:rsidRPr="00436209">
        <w:rPr>
          <w:rtl/>
          <w:lang w:val="fr-CH"/>
        </w:rPr>
        <w:t xml:space="preserve"> المبلغ عنها تُعزى إلى خوفهم من انتقام أرباب العمل ومن خطر اتهامهم بمغادرة مكان العمل دون إذن ("الهروب") ثم احتجازهم أو ترحيلهم (المواد </w:t>
      </w:r>
      <w:r w:rsidRPr="00FC57D5">
        <w:rPr>
          <w:rtl/>
          <w:lang w:val="fr-CH"/>
        </w:rPr>
        <w:t>2</w:t>
      </w:r>
      <w:r w:rsidRPr="00436209">
        <w:rPr>
          <w:rtl/>
          <w:lang w:val="fr-CH"/>
        </w:rPr>
        <w:t xml:space="preserve"> و</w:t>
      </w:r>
      <w:r w:rsidRPr="00FC57D5">
        <w:rPr>
          <w:rtl/>
          <w:lang w:val="fr-CH"/>
        </w:rPr>
        <w:t>7</w:t>
      </w:r>
      <w:r w:rsidRPr="00436209">
        <w:rPr>
          <w:rtl/>
          <w:lang w:val="fr-CH"/>
        </w:rPr>
        <w:t xml:space="preserve"> و</w:t>
      </w:r>
      <w:r w:rsidRPr="00FC57D5">
        <w:rPr>
          <w:rtl/>
          <w:lang w:val="fr-CH"/>
        </w:rPr>
        <w:t>8</w:t>
      </w:r>
      <w:r w:rsidRPr="00436209">
        <w:rPr>
          <w:rtl/>
          <w:lang w:val="fr-CH"/>
        </w:rPr>
        <w:t xml:space="preserve"> و</w:t>
      </w:r>
      <w:r w:rsidRPr="00FC57D5">
        <w:rPr>
          <w:rtl/>
          <w:lang w:val="fr-CH"/>
        </w:rPr>
        <w:t>12</w:t>
      </w:r>
      <w:r w:rsidRPr="00436209">
        <w:rPr>
          <w:rtl/>
          <w:lang w:val="fr-CH"/>
        </w:rPr>
        <w:t xml:space="preserve"> و</w:t>
      </w:r>
      <w:r w:rsidRPr="00FC57D5">
        <w:rPr>
          <w:rtl/>
          <w:lang w:val="fr-CH"/>
        </w:rPr>
        <w:t>26</w:t>
      </w:r>
      <w:r w:rsidRPr="00436209">
        <w:rPr>
          <w:rtl/>
          <w:lang w:val="fr-CH"/>
        </w:rPr>
        <w:t xml:space="preserve">). </w:t>
      </w:r>
    </w:p>
    <w:p w14:paraId="332C0BC2" w14:textId="2832ABCF" w:rsidR="005E157B" w:rsidRPr="00FC57D5" w:rsidRDefault="005E157B" w:rsidP="005E157B">
      <w:pPr>
        <w:pStyle w:val="SingleTxtGA"/>
        <w:rPr>
          <w:b/>
          <w:bCs/>
          <w:lang w:val="fr-CH"/>
        </w:rPr>
      </w:pPr>
      <w:r w:rsidRPr="00FC57D5">
        <w:rPr>
          <w:rtl/>
          <w:lang w:val="fr-CH"/>
        </w:rPr>
        <w:t>25</w:t>
      </w:r>
      <w:r w:rsidRPr="00436209">
        <w:rPr>
          <w:rtl/>
          <w:lang w:val="fr-CH"/>
        </w:rPr>
        <w:t>-</w:t>
      </w:r>
      <w:r w:rsidRPr="00436209">
        <w:rPr>
          <w:rtl/>
          <w:lang w:val="fr-CH"/>
        </w:rPr>
        <w:tab/>
      </w:r>
      <w:r w:rsidRPr="00FC57D5">
        <w:rPr>
          <w:b/>
          <w:bCs/>
          <w:rtl/>
          <w:lang w:val="fr-CH"/>
        </w:rPr>
        <w:t>ينبغي للدولة الطرف أن تقوم بما يلي: (أ) مواصلة وتكثيف جهودها لضمان إنفاذ التشريعات التي تحمي العمال المهاجرين</w:t>
      </w:r>
      <w:r w:rsidR="00BA42F6" w:rsidRPr="00FC57D5">
        <w:rPr>
          <w:b/>
          <w:bCs/>
          <w:rtl/>
          <w:lang w:val="fr-CH"/>
        </w:rPr>
        <w:t>،</w:t>
      </w:r>
      <w:r w:rsidRPr="00FC57D5">
        <w:rPr>
          <w:b/>
          <w:bCs/>
          <w:rtl/>
          <w:lang w:val="fr-CH"/>
        </w:rPr>
        <w:t xml:space="preserve"> بمن فيهم العمال المنزليون</w:t>
      </w:r>
      <w:r w:rsidR="00BA42F6" w:rsidRPr="00FC57D5">
        <w:rPr>
          <w:b/>
          <w:bCs/>
          <w:rtl/>
          <w:lang w:val="fr-CH"/>
        </w:rPr>
        <w:t>،</w:t>
      </w:r>
      <w:r w:rsidRPr="00FC57D5">
        <w:rPr>
          <w:b/>
          <w:bCs/>
          <w:rtl/>
          <w:lang w:val="fr-CH"/>
        </w:rPr>
        <w:t xml:space="preserve"> من سوء المعاملة إنفاذاً صارماً</w:t>
      </w:r>
      <w:r w:rsidR="00BA42F6" w:rsidRPr="00FC57D5">
        <w:rPr>
          <w:b/>
          <w:bCs/>
          <w:rtl/>
          <w:lang w:val="fr-CH"/>
        </w:rPr>
        <w:t>،</w:t>
      </w:r>
      <w:r w:rsidRPr="00FC57D5">
        <w:rPr>
          <w:b/>
          <w:bCs/>
          <w:rtl/>
          <w:lang w:val="fr-CH"/>
        </w:rPr>
        <w:t xml:space="preserve"> وزيادة إجراء عمليات تفتيش منتظمة لأماكن العمل؛ (ب) التحقيق في ادعاءات إساءة المعاملة</w:t>
      </w:r>
      <w:r w:rsidR="00BA42F6" w:rsidRPr="00FC57D5">
        <w:rPr>
          <w:b/>
          <w:bCs/>
          <w:rtl/>
          <w:lang w:val="fr-CH"/>
        </w:rPr>
        <w:t>،</w:t>
      </w:r>
      <w:r w:rsidRPr="00FC57D5">
        <w:rPr>
          <w:b/>
          <w:bCs/>
          <w:rtl/>
          <w:lang w:val="fr-CH"/>
        </w:rPr>
        <w:t xml:space="preserve"> ومقاضاة المسيئين من أرباب العمل وشركات التوظيف</w:t>
      </w:r>
      <w:r w:rsidR="00BA42F6" w:rsidRPr="00FC57D5">
        <w:rPr>
          <w:b/>
          <w:bCs/>
          <w:rtl/>
          <w:lang w:val="fr-CH"/>
        </w:rPr>
        <w:t>،</w:t>
      </w:r>
      <w:r w:rsidRPr="00FC57D5">
        <w:rPr>
          <w:b/>
          <w:bCs/>
          <w:rtl/>
          <w:lang w:val="fr-CH"/>
        </w:rPr>
        <w:t xml:space="preserve"> وجبر ضرر الضحايا؛ (ج) تمكين العمال المهاجرين</w:t>
      </w:r>
      <w:r w:rsidR="00BA42F6" w:rsidRPr="00FC57D5">
        <w:rPr>
          <w:b/>
          <w:bCs/>
          <w:rtl/>
          <w:lang w:val="fr-CH"/>
        </w:rPr>
        <w:t>،</w:t>
      </w:r>
      <w:r w:rsidRPr="00FC57D5">
        <w:rPr>
          <w:b/>
          <w:bCs/>
          <w:rtl/>
          <w:lang w:val="fr-CH"/>
        </w:rPr>
        <w:t xml:space="preserve"> بمن فيهم العمال المنزليون</w:t>
      </w:r>
      <w:r w:rsidR="00BA42F6" w:rsidRPr="00FC57D5">
        <w:rPr>
          <w:b/>
          <w:bCs/>
          <w:rtl/>
          <w:lang w:val="fr-CH"/>
        </w:rPr>
        <w:t>،</w:t>
      </w:r>
      <w:r w:rsidRPr="00FC57D5">
        <w:rPr>
          <w:b/>
          <w:bCs/>
          <w:rtl/>
          <w:lang w:val="fr-CH"/>
        </w:rPr>
        <w:t xml:space="preserve"> من الوصول إلى سل انتصاف قانونية فعالة تكفل حماية حقوقهم دون خوف من الانتقام أو الاحتجاز أو الترحيل. </w:t>
      </w:r>
    </w:p>
    <w:p w14:paraId="3BCBEF96" w14:textId="77777777" w:rsidR="005E157B" w:rsidRPr="00FC57D5" w:rsidRDefault="005E157B" w:rsidP="005E157B">
      <w:pPr>
        <w:pStyle w:val="H23GA"/>
      </w:pPr>
      <w:r w:rsidRPr="00FC57D5">
        <w:rPr>
          <w:rtl/>
        </w:rPr>
        <w:tab/>
      </w:r>
      <w:r w:rsidRPr="00FC57D5">
        <w:rPr>
          <w:rtl/>
        </w:rPr>
        <w:tab/>
        <w:t>الاتجار بالأشخاص</w:t>
      </w:r>
    </w:p>
    <w:p w14:paraId="19B32CBB" w14:textId="04B8F584" w:rsidR="005E157B" w:rsidRPr="00436209" w:rsidRDefault="005E157B" w:rsidP="005E157B">
      <w:pPr>
        <w:pStyle w:val="SingleTxtGA"/>
        <w:rPr>
          <w:lang w:val="fr-CH"/>
        </w:rPr>
      </w:pPr>
      <w:r w:rsidRPr="00FC57D5">
        <w:rPr>
          <w:rtl/>
          <w:lang w:val="fr-CH"/>
        </w:rPr>
        <w:t>26</w:t>
      </w:r>
      <w:r w:rsidRPr="00436209">
        <w:rPr>
          <w:rtl/>
          <w:lang w:val="fr-CH"/>
        </w:rPr>
        <w:t>-</w:t>
      </w:r>
      <w:r w:rsidRPr="00436209">
        <w:rPr>
          <w:rtl/>
          <w:lang w:val="fr-CH"/>
        </w:rPr>
        <w:tab/>
        <w:t xml:space="preserve">ترحب اللجنة بما قدمته الدولة الطرف من معلومات عن عمل اللجنة الوطنية لمكافحة الاتجار بالبشر وعن الخطة الوطنية لمكافحة الاتجار بالبشر للفترة </w:t>
      </w:r>
      <w:r w:rsidRPr="00FC57D5">
        <w:rPr>
          <w:rtl/>
          <w:lang w:val="fr-CH"/>
        </w:rPr>
        <w:t>2017</w:t>
      </w:r>
      <w:r w:rsidRPr="00436209">
        <w:rPr>
          <w:rtl/>
          <w:lang w:val="fr-CH"/>
        </w:rPr>
        <w:t>-</w:t>
      </w:r>
      <w:r w:rsidRPr="00FC57D5">
        <w:rPr>
          <w:rtl/>
          <w:lang w:val="fr-CH"/>
        </w:rPr>
        <w:t>2022</w:t>
      </w:r>
      <w:r w:rsidRPr="00436209">
        <w:rPr>
          <w:rtl/>
          <w:lang w:val="fr-CH"/>
        </w:rPr>
        <w:t>. غير أنها تعرب عن قلقها إزاء قلة المعلومات المقدمة عن الاتجار بالأشخاص</w:t>
      </w:r>
      <w:r w:rsidR="00BA42F6" w:rsidRPr="00436209">
        <w:rPr>
          <w:rtl/>
          <w:lang w:val="fr-CH"/>
        </w:rPr>
        <w:t>،</w:t>
      </w:r>
      <w:r w:rsidRPr="00436209">
        <w:rPr>
          <w:rtl/>
          <w:lang w:val="fr-CH"/>
        </w:rPr>
        <w:t xml:space="preserve"> ولا سيما ما أُجري من تحقيقات ومحاكمات وصدر من إدانات في قضايا الاتجار والجبر الذي حصل عليه ضحايا الاتجار (المواد </w:t>
      </w:r>
      <w:r w:rsidRPr="00FC57D5">
        <w:rPr>
          <w:rtl/>
          <w:lang w:val="fr-CH"/>
        </w:rPr>
        <w:t>2</w:t>
      </w:r>
      <w:r w:rsidRPr="00436209">
        <w:rPr>
          <w:rtl/>
          <w:lang w:val="fr-CH"/>
        </w:rPr>
        <w:t xml:space="preserve"> و</w:t>
      </w:r>
      <w:r w:rsidRPr="00FC57D5">
        <w:rPr>
          <w:rtl/>
          <w:lang w:val="fr-CH"/>
        </w:rPr>
        <w:t>8</w:t>
      </w:r>
      <w:r w:rsidRPr="00436209">
        <w:rPr>
          <w:rtl/>
          <w:lang w:val="fr-CH"/>
        </w:rPr>
        <w:t xml:space="preserve"> و</w:t>
      </w:r>
      <w:r w:rsidRPr="00FC57D5">
        <w:rPr>
          <w:rtl/>
          <w:lang w:val="fr-CH"/>
        </w:rPr>
        <w:t>26</w:t>
      </w:r>
      <w:r w:rsidRPr="00436209">
        <w:rPr>
          <w:rtl/>
          <w:lang w:val="fr-CH"/>
        </w:rPr>
        <w:t xml:space="preserve">). </w:t>
      </w:r>
    </w:p>
    <w:p w14:paraId="09C7B03E" w14:textId="7C267679" w:rsidR="005E157B" w:rsidRPr="00FC57D5" w:rsidRDefault="005E157B" w:rsidP="005E157B">
      <w:pPr>
        <w:pStyle w:val="SingleTxtGA"/>
        <w:rPr>
          <w:b/>
          <w:bCs/>
          <w:lang w:val="fr-CH"/>
        </w:rPr>
      </w:pPr>
      <w:r w:rsidRPr="00FC57D5">
        <w:rPr>
          <w:rtl/>
          <w:lang w:val="fr-CH"/>
        </w:rPr>
        <w:t>27</w:t>
      </w:r>
      <w:r w:rsidRPr="00436209">
        <w:rPr>
          <w:rtl/>
          <w:lang w:val="fr-CH"/>
        </w:rPr>
        <w:t>-</w:t>
      </w:r>
      <w:r w:rsidRPr="00436209">
        <w:rPr>
          <w:rtl/>
          <w:lang w:val="fr-CH"/>
        </w:rPr>
        <w:tab/>
      </w:r>
      <w:r w:rsidRPr="00FC57D5">
        <w:rPr>
          <w:b/>
          <w:bCs/>
          <w:rtl/>
          <w:lang w:val="fr-CH"/>
        </w:rPr>
        <w:t>ينبغي للدولة الطرف أن تكثف جهودها لمنع الاتجار بالأشخاص ومكافحته. وعلى وجه الخصوص</w:t>
      </w:r>
      <w:r w:rsidR="00BA42F6" w:rsidRPr="00FC57D5">
        <w:rPr>
          <w:b/>
          <w:bCs/>
          <w:rtl/>
          <w:lang w:val="fr-CH"/>
        </w:rPr>
        <w:t>،</w:t>
      </w:r>
      <w:r w:rsidRPr="00FC57D5">
        <w:rPr>
          <w:b/>
          <w:bCs/>
          <w:rtl/>
          <w:lang w:val="fr-CH"/>
        </w:rPr>
        <w:t xml:space="preserve"> ينبغي للدولة الطرف أن تحسن نظامها لجمع البيانات عن حالات الاتجار بما يكفل تقييم نطاق الظاهرة وكفاءة التدابير المتخذة لمكافحة الاتجار. وينبغي لها أيض</w:t>
      </w:r>
      <w:r w:rsidR="00CA46B9" w:rsidRPr="00FC57D5">
        <w:rPr>
          <w:b/>
          <w:bCs/>
          <w:rtl/>
          <w:lang w:val="fr-CH"/>
        </w:rPr>
        <w:t xml:space="preserve">اً </w:t>
      </w:r>
      <w:r w:rsidRPr="00FC57D5">
        <w:rPr>
          <w:b/>
          <w:bCs/>
          <w:rtl/>
          <w:lang w:val="fr-CH"/>
        </w:rPr>
        <w:t>أن تكفل إجراء تحقيقات شاملة في قضايا الاتجار بالبشر</w:t>
      </w:r>
      <w:r w:rsidR="00BA42F6" w:rsidRPr="00FC57D5">
        <w:rPr>
          <w:b/>
          <w:bCs/>
          <w:rtl/>
          <w:lang w:val="fr-CH"/>
        </w:rPr>
        <w:t>،</w:t>
      </w:r>
      <w:r w:rsidRPr="00FC57D5">
        <w:rPr>
          <w:b/>
          <w:bCs/>
          <w:rtl/>
          <w:lang w:val="fr-CH"/>
        </w:rPr>
        <w:t xml:space="preserve"> وتقديم الجناة إلى العدالة ومعاقبتهم بعقوبات تتناسب وأفعالهم إن ثبتت إدانتهم</w:t>
      </w:r>
      <w:r w:rsidR="00BA42F6" w:rsidRPr="00FC57D5">
        <w:rPr>
          <w:b/>
          <w:bCs/>
          <w:rtl/>
          <w:lang w:val="fr-CH"/>
        </w:rPr>
        <w:t>،</w:t>
      </w:r>
      <w:r w:rsidRPr="00FC57D5">
        <w:rPr>
          <w:b/>
          <w:bCs/>
          <w:rtl/>
          <w:lang w:val="fr-CH"/>
        </w:rPr>
        <w:t xml:space="preserve"> وحصول الضحايا على الجبر الكامل ووسائل الحماية الكاملة. </w:t>
      </w:r>
    </w:p>
    <w:p w14:paraId="4CC0F7BD" w14:textId="77777777" w:rsidR="005E157B" w:rsidRPr="00FC57D5" w:rsidRDefault="005E157B" w:rsidP="005E157B">
      <w:pPr>
        <w:pStyle w:val="H23GA"/>
      </w:pPr>
      <w:r w:rsidRPr="00FC57D5">
        <w:rPr>
          <w:rtl/>
        </w:rPr>
        <w:tab/>
      </w:r>
      <w:r w:rsidRPr="00FC57D5">
        <w:rPr>
          <w:rtl/>
        </w:rPr>
        <w:tab/>
        <w:t xml:space="preserve">التعذيب وغيره من ضروب </w:t>
      </w:r>
      <w:proofErr w:type="gramStart"/>
      <w:r w:rsidRPr="00FC57D5">
        <w:rPr>
          <w:rtl/>
        </w:rPr>
        <w:t>المعاملة</w:t>
      </w:r>
      <w:proofErr w:type="gramEnd"/>
      <w:r w:rsidRPr="00FC57D5">
        <w:rPr>
          <w:rtl/>
        </w:rPr>
        <w:t xml:space="preserve"> أو العقوبة القاسية أو اللاإنسانية أو المهينة</w:t>
      </w:r>
    </w:p>
    <w:p w14:paraId="21ECF6DD" w14:textId="43A243F8" w:rsidR="005E157B" w:rsidRPr="00436209" w:rsidRDefault="005E157B" w:rsidP="005E157B">
      <w:pPr>
        <w:pStyle w:val="SingleTxtGA"/>
        <w:rPr>
          <w:spacing w:val="-4"/>
          <w:lang w:val="fr-CH"/>
        </w:rPr>
      </w:pPr>
      <w:r w:rsidRPr="00FC57D5">
        <w:rPr>
          <w:spacing w:val="-4"/>
          <w:rtl/>
          <w:lang w:val="fr-CH"/>
        </w:rPr>
        <w:t>28</w:t>
      </w:r>
      <w:r w:rsidRPr="00436209">
        <w:rPr>
          <w:spacing w:val="-4"/>
          <w:rtl/>
          <w:lang w:val="fr-CH"/>
        </w:rPr>
        <w:t>-</w:t>
      </w:r>
      <w:r w:rsidRPr="00436209">
        <w:rPr>
          <w:spacing w:val="-4"/>
          <w:rtl/>
          <w:lang w:val="fr-CH"/>
        </w:rPr>
        <w:tab/>
        <w:t>تأسف اللجنة لعدم تلقيها معلومات عما اتخذته الدولة الطرف من تدابير لضمان النص في تشريعاتها الوطنية على الحظر المطلق للتعذيب وعلى طابعه غير القابل للتقييد. وتعرب اللجنة عن قلقها إزاء عدم وضوح الحد الأدنى للعقوبات المنزلة بمرتكبي أفعال التعذيب</w:t>
      </w:r>
      <w:r w:rsidR="00BA42F6" w:rsidRPr="00436209">
        <w:rPr>
          <w:spacing w:val="-4"/>
          <w:rtl/>
          <w:lang w:val="fr-CH"/>
        </w:rPr>
        <w:t>،</w:t>
      </w:r>
      <w:r w:rsidRPr="00436209">
        <w:rPr>
          <w:spacing w:val="-4"/>
          <w:rtl/>
          <w:lang w:val="fr-CH"/>
        </w:rPr>
        <w:t xml:space="preserve"> وإزاء عدم وضوح نوع السلوك المشمول بالمادة </w:t>
      </w:r>
      <w:r w:rsidRPr="00FC57D5">
        <w:rPr>
          <w:spacing w:val="-4"/>
          <w:rtl/>
          <w:lang w:val="fr-CH"/>
        </w:rPr>
        <w:t>161</w:t>
      </w:r>
      <w:r w:rsidRPr="00436209">
        <w:rPr>
          <w:spacing w:val="-4"/>
          <w:rtl/>
          <w:lang w:val="fr-CH"/>
        </w:rPr>
        <w:t xml:space="preserve"> من قانون العقوبات</w:t>
      </w:r>
      <w:r w:rsidR="00BA42F6" w:rsidRPr="00436209">
        <w:rPr>
          <w:spacing w:val="-4"/>
          <w:rtl/>
          <w:lang w:val="fr-CH"/>
        </w:rPr>
        <w:t>،</w:t>
      </w:r>
      <w:r w:rsidRPr="00436209">
        <w:rPr>
          <w:spacing w:val="-4"/>
          <w:rtl/>
          <w:lang w:val="fr-CH"/>
        </w:rPr>
        <w:t xml:space="preserve"> الذي يُعاقَب عليه بالسجن لمدة تصل إلى ثلاث سنوات</w:t>
      </w:r>
      <w:r w:rsidR="00BA42F6" w:rsidRPr="00436209">
        <w:rPr>
          <w:spacing w:val="-4"/>
          <w:rtl/>
          <w:lang w:val="fr-CH"/>
        </w:rPr>
        <w:t>،</w:t>
      </w:r>
      <w:r w:rsidRPr="00436209">
        <w:rPr>
          <w:spacing w:val="-4"/>
          <w:rtl/>
          <w:lang w:val="fr-CH"/>
        </w:rPr>
        <w:t xml:space="preserve"> ومدى اختلافه عن أفعال التعذيب الأخرى المشمولة بالمادتين </w:t>
      </w:r>
      <w:r w:rsidRPr="00FC57D5">
        <w:rPr>
          <w:spacing w:val="-4"/>
          <w:rtl/>
          <w:lang w:val="fr-CH"/>
        </w:rPr>
        <w:t>159</w:t>
      </w:r>
      <w:r w:rsidRPr="00436209">
        <w:rPr>
          <w:spacing w:val="-4"/>
          <w:rtl/>
          <w:lang w:val="fr-CH"/>
        </w:rPr>
        <w:t xml:space="preserve"> و</w:t>
      </w:r>
      <w:r w:rsidRPr="00FC57D5">
        <w:rPr>
          <w:spacing w:val="-4"/>
          <w:rtl/>
          <w:lang w:val="fr-CH"/>
        </w:rPr>
        <w:t>159</w:t>
      </w:r>
      <w:r w:rsidRPr="00436209">
        <w:rPr>
          <w:spacing w:val="-4"/>
          <w:rtl/>
          <w:lang w:val="fr-CH"/>
        </w:rPr>
        <w:t xml:space="preserve"> مكررا</w:t>
      </w:r>
      <w:r w:rsidR="00CA46B9">
        <w:rPr>
          <w:rFonts w:hint="cs"/>
          <w:spacing w:val="-4"/>
          <w:rtl/>
          <w:lang w:val="fr-CH"/>
        </w:rPr>
        <w:t>ً</w:t>
      </w:r>
      <w:r w:rsidRPr="00436209">
        <w:rPr>
          <w:spacing w:val="-4"/>
          <w:rtl/>
          <w:lang w:val="fr-CH"/>
        </w:rPr>
        <w:t xml:space="preserve"> من قانون العقوبات. وتعرب اللجنة عن قلقها كذلك إزاء ما قدمته </w:t>
      </w:r>
      <w:r w:rsidRPr="00436209">
        <w:rPr>
          <w:spacing w:val="-5"/>
          <w:rtl/>
          <w:lang w:val="fr-CH"/>
        </w:rPr>
        <w:t>الدولة الطرف من معلومات تفيد بعدم ورود شكاوى تتضمن ادعاءات تعذيب</w:t>
      </w:r>
      <w:r w:rsidR="00BA42F6" w:rsidRPr="00436209">
        <w:rPr>
          <w:spacing w:val="-5"/>
          <w:rtl/>
          <w:lang w:val="fr-CH"/>
        </w:rPr>
        <w:t>،</w:t>
      </w:r>
      <w:r w:rsidRPr="00436209">
        <w:rPr>
          <w:spacing w:val="-5"/>
          <w:rtl/>
          <w:lang w:val="fr-CH"/>
        </w:rPr>
        <w:t xml:space="preserve"> الأمر الذي قد ينم عن وجود مشكلة</w:t>
      </w:r>
      <w:r w:rsidRPr="00436209">
        <w:rPr>
          <w:spacing w:val="-4"/>
          <w:rtl/>
          <w:lang w:val="fr-CH"/>
        </w:rPr>
        <w:t xml:space="preserve"> في الإبلاغ وفي توافر سبل الانتصاف وفعاليتها وفي آليات المساءلة في الدولة الطرف (المادتان </w:t>
      </w:r>
      <w:r w:rsidRPr="00FC57D5">
        <w:rPr>
          <w:spacing w:val="-4"/>
          <w:rtl/>
          <w:lang w:val="fr-CH"/>
        </w:rPr>
        <w:t>2</w:t>
      </w:r>
      <w:r w:rsidRPr="00436209">
        <w:rPr>
          <w:spacing w:val="-4"/>
          <w:rtl/>
          <w:lang w:val="fr-CH"/>
        </w:rPr>
        <w:t xml:space="preserve"> و</w:t>
      </w:r>
      <w:r w:rsidRPr="00FC57D5">
        <w:rPr>
          <w:spacing w:val="-4"/>
          <w:rtl/>
          <w:lang w:val="fr-CH"/>
        </w:rPr>
        <w:t>7</w:t>
      </w:r>
      <w:r w:rsidRPr="00436209">
        <w:rPr>
          <w:spacing w:val="-4"/>
          <w:rtl/>
          <w:lang w:val="fr-CH"/>
        </w:rPr>
        <w:t xml:space="preserve">). </w:t>
      </w:r>
    </w:p>
    <w:p w14:paraId="10B16A21" w14:textId="77777777" w:rsidR="005E157B" w:rsidRPr="00FC57D5" w:rsidRDefault="005E157B" w:rsidP="005E157B">
      <w:pPr>
        <w:pStyle w:val="SingleTxtGA"/>
        <w:rPr>
          <w:b/>
          <w:bCs/>
          <w:lang w:val="fr-CH"/>
        </w:rPr>
      </w:pPr>
      <w:r w:rsidRPr="00FC57D5">
        <w:rPr>
          <w:rtl/>
          <w:lang w:val="fr-CH"/>
        </w:rPr>
        <w:lastRenderedPageBreak/>
        <w:t>29</w:t>
      </w:r>
      <w:r w:rsidRPr="00436209">
        <w:rPr>
          <w:rtl/>
          <w:lang w:val="fr-CH"/>
        </w:rPr>
        <w:t>-</w:t>
      </w:r>
      <w:r w:rsidRPr="00436209">
        <w:rPr>
          <w:rtl/>
          <w:lang w:val="fr-CH"/>
        </w:rPr>
        <w:tab/>
      </w:r>
      <w:r w:rsidRPr="00FC57D5">
        <w:rPr>
          <w:b/>
          <w:bCs/>
          <w:rtl/>
          <w:lang w:val="fr-CH"/>
        </w:rPr>
        <w:t xml:space="preserve">ينبغي للدولة الطرف أن تقوم بما يلي: </w:t>
      </w:r>
    </w:p>
    <w:p w14:paraId="1716C985" w14:textId="77777777" w:rsidR="005E157B" w:rsidRPr="00FC57D5" w:rsidRDefault="005E157B" w:rsidP="005E157B">
      <w:pPr>
        <w:pStyle w:val="SingleTxtGA"/>
        <w:rPr>
          <w:b/>
          <w:bCs/>
          <w:lang w:val="fr-CH"/>
        </w:rPr>
      </w:pPr>
      <w:r w:rsidRPr="00436209">
        <w:rPr>
          <w:rtl/>
          <w:lang w:val="fr-CH"/>
        </w:rPr>
        <w:tab/>
        <w:t>(أ)</w:t>
      </w:r>
      <w:r w:rsidRPr="00436209">
        <w:rPr>
          <w:rtl/>
          <w:lang w:val="fr-CH"/>
        </w:rPr>
        <w:tab/>
      </w:r>
      <w:r w:rsidRPr="00FC57D5">
        <w:rPr>
          <w:b/>
          <w:bCs/>
          <w:rtl/>
          <w:lang w:val="fr-CH"/>
        </w:rPr>
        <w:t>ضمان أن تنص تشريعاتها صراحةً على أن حظر التعذيب مطلقٌ وغير قابل للتقييد؛</w:t>
      </w:r>
    </w:p>
    <w:p w14:paraId="685CBF7F" w14:textId="47173F6B" w:rsidR="005E157B" w:rsidRPr="00FC57D5" w:rsidRDefault="005E157B" w:rsidP="005E157B">
      <w:pPr>
        <w:pStyle w:val="SingleTxtGA"/>
        <w:rPr>
          <w:b/>
          <w:bCs/>
          <w:lang w:val="fr-CH"/>
        </w:rPr>
      </w:pPr>
      <w:r w:rsidRPr="00436209">
        <w:rPr>
          <w:rtl/>
          <w:lang w:val="fr-CH"/>
        </w:rPr>
        <w:tab/>
        <w:t>(ب)</w:t>
      </w:r>
      <w:r w:rsidRPr="00436209">
        <w:rPr>
          <w:rtl/>
          <w:lang w:val="fr-CH"/>
        </w:rPr>
        <w:tab/>
      </w:r>
      <w:r w:rsidRPr="00FC57D5">
        <w:rPr>
          <w:b/>
          <w:bCs/>
          <w:rtl/>
          <w:lang w:val="fr-CH"/>
        </w:rPr>
        <w:t>النص على عقوبات على جميع أفعال التعذيب</w:t>
      </w:r>
      <w:r w:rsidR="00BA42F6" w:rsidRPr="00FC57D5">
        <w:rPr>
          <w:b/>
          <w:bCs/>
          <w:rtl/>
          <w:lang w:val="fr-CH"/>
        </w:rPr>
        <w:t>،</w:t>
      </w:r>
      <w:r w:rsidRPr="00FC57D5">
        <w:rPr>
          <w:b/>
          <w:bCs/>
          <w:rtl/>
          <w:lang w:val="fr-CH"/>
        </w:rPr>
        <w:t xml:space="preserve"> على أن تكون تلك العقوبات متناسبة وخطورة هذه الجرائم؛</w:t>
      </w:r>
    </w:p>
    <w:p w14:paraId="22AE44D8" w14:textId="3A384A92" w:rsidR="005E157B" w:rsidRPr="00FC57D5" w:rsidRDefault="005E157B" w:rsidP="005E157B">
      <w:pPr>
        <w:pStyle w:val="SingleTxtGA"/>
        <w:rPr>
          <w:b/>
          <w:bCs/>
          <w:lang w:val="fr-CH"/>
        </w:rPr>
      </w:pPr>
      <w:r w:rsidRPr="00436209">
        <w:rPr>
          <w:rtl/>
          <w:lang w:val="fr-CH"/>
        </w:rPr>
        <w:tab/>
        <w:t>(ج)</w:t>
      </w:r>
      <w:r w:rsidRPr="00436209">
        <w:rPr>
          <w:rtl/>
          <w:lang w:val="fr-CH"/>
        </w:rPr>
        <w:tab/>
      </w:r>
      <w:r w:rsidRPr="00FC57D5">
        <w:rPr>
          <w:b/>
          <w:bCs/>
          <w:rtl/>
          <w:lang w:val="fr-CH"/>
        </w:rPr>
        <w:t>إنشاء آلية مستقلة وفعالة يسهل الوصول إليها لتلقي الشكاوى</w:t>
      </w:r>
      <w:r w:rsidR="00BA42F6" w:rsidRPr="00FC57D5">
        <w:rPr>
          <w:b/>
          <w:bCs/>
          <w:rtl/>
          <w:lang w:val="fr-CH"/>
        </w:rPr>
        <w:t>،</w:t>
      </w:r>
      <w:r w:rsidRPr="00FC57D5">
        <w:rPr>
          <w:b/>
          <w:bCs/>
          <w:rtl/>
          <w:lang w:val="fr-CH"/>
        </w:rPr>
        <w:t xml:space="preserve"> والتحقيق في حالات التعذيب أو سوء المعاملة المزعومة</w:t>
      </w:r>
      <w:r w:rsidR="00BA42F6" w:rsidRPr="00FC57D5">
        <w:rPr>
          <w:b/>
          <w:bCs/>
          <w:rtl/>
          <w:lang w:val="fr-CH"/>
        </w:rPr>
        <w:t>،</w:t>
      </w:r>
      <w:r w:rsidRPr="00FC57D5">
        <w:rPr>
          <w:b/>
          <w:bCs/>
          <w:rtl/>
          <w:lang w:val="fr-CH"/>
        </w:rPr>
        <w:t xml:space="preserve"> وضمان حصول الضحايا على الجبر الكامل. </w:t>
      </w:r>
    </w:p>
    <w:p w14:paraId="1293DA54" w14:textId="77777777" w:rsidR="005E157B" w:rsidRPr="00FC57D5" w:rsidRDefault="005E157B" w:rsidP="00436209">
      <w:pPr>
        <w:pStyle w:val="H23GA"/>
      </w:pPr>
      <w:r w:rsidRPr="00FC57D5">
        <w:rPr>
          <w:rtl/>
        </w:rPr>
        <w:tab/>
      </w:r>
      <w:r w:rsidRPr="00FC57D5">
        <w:rPr>
          <w:rtl/>
        </w:rPr>
        <w:tab/>
        <w:t>حرية الفرد وأمانه على شخصه</w:t>
      </w:r>
    </w:p>
    <w:p w14:paraId="4D2B8369" w14:textId="2A20BB2A" w:rsidR="005E157B" w:rsidRPr="00436209" w:rsidRDefault="005E157B" w:rsidP="005E157B">
      <w:pPr>
        <w:pStyle w:val="SingleTxtGA"/>
        <w:rPr>
          <w:lang w:val="fr-CH"/>
        </w:rPr>
      </w:pPr>
      <w:r w:rsidRPr="00FC57D5">
        <w:rPr>
          <w:rtl/>
          <w:lang w:val="fr-CH"/>
        </w:rPr>
        <w:t>30</w:t>
      </w:r>
      <w:r w:rsidRPr="00436209">
        <w:rPr>
          <w:rtl/>
          <w:lang w:val="fr-CH"/>
        </w:rPr>
        <w:t>-</w:t>
      </w:r>
      <w:r w:rsidRPr="00436209">
        <w:rPr>
          <w:rtl/>
          <w:lang w:val="fr-CH"/>
        </w:rPr>
        <w:tab/>
        <w:t>تعرب اللجنة عن قلقها إزاء ما يلي: (أ) تجريم أفعال شتى غير عنيفة من بينها الزنا</w:t>
      </w:r>
      <w:r w:rsidR="00BA42F6" w:rsidRPr="00436209">
        <w:rPr>
          <w:rtl/>
          <w:lang w:val="fr-CH"/>
        </w:rPr>
        <w:t>،</w:t>
      </w:r>
      <w:r w:rsidRPr="00436209">
        <w:rPr>
          <w:rtl/>
          <w:lang w:val="fr-CH"/>
        </w:rPr>
        <w:t xml:space="preserve"> والعلاقات الحميمة خارج إطار الزواج</w:t>
      </w:r>
      <w:r w:rsidR="00BA42F6" w:rsidRPr="00436209">
        <w:rPr>
          <w:rtl/>
          <w:lang w:val="fr-CH"/>
        </w:rPr>
        <w:t>،</w:t>
      </w:r>
      <w:r w:rsidRPr="00436209">
        <w:rPr>
          <w:rtl/>
          <w:lang w:val="fr-CH"/>
        </w:rPr>
        <w:t xml:space="preserve"> والعلاقات الجنسية المثلية</w:t>
      </w:r>
      <w:r w:rsidR="00BA42F6" w:rsidRPr="00436209">
        <w:rPr>
          <w:rtl/>
          <w:lang w:val="fr-CH"/>
        </w:rPr>
        <w:t>،</w:t>
      </w:r>
      <w:r w:rsidRPr="00436209">
        <w:rPr>
          <w:rtl/>
          <w:lang w:val="fr-CH"/>
        </w:rPr>
        <w:t xml:space="preserve"> والتسول</w:t>
      </w:r>
      <w:r w:rsidR="00BA42F6" w:rsidRPr="00436209">
        <w:rPr>
          <w:rtl/>
          <w:lang w:val="fr-CH"/>
        </w:rPr>
        <w:t>،</w:t>
      </w:r>
      <w:r w:rsidRPr="00436209">
        <w:rPr>
          <w:rtl/>
          <w:lang w:val="fr-CH"/>
        </w:rPr>
        <w:t xml:space="preserve"> وتناول الكحول</w:t>
      </w:r>
      <w:r w:rsidR="00BA42F6" w:rsidRPr="00436209">
        <w:rPr>
          <w:rtl/>
          <w:lang w:val="fr-CH"/>
        </w:rPr>
        <w:t>،</w:t>
      </w:r>
      <w:r w:rsidRPr="00436209">
        <w:rPr>
          <w:rtl/>
          <w:lang w:val="fr-CH"/>
        </w:rPr>
        <w:t xml:space="preserve"> وتعاطي المخدرات؛ (ب) بعض أحكام قانون الإجراءات الجنائية</w:t>
      </w:r>
      <w:r w:rsidR="00BA42F6" w:rsidRPr="00436209">
        <w:rPr>
          <w:rtl/>
          <w:lang w:val="fr-CH"/>
        </w:rPr>
        <w:t>،</w:t>
      </w:r>
      <w:r w:rsidRPr="00436209">
        <w:rPr>
          <w:rtl/>
          <w:lang w:val="fr-CH"/>
        </w:rPr>
        <w:t xml:space="preserve"> ولا سيما المادة </w:t>
      </w:r>
      <w:r w:rsidRPr="00FC57D5">
        <w:rPr>
          <w:rtl/>
          <w:lang w:val="fr-CH"/>
        </w:rPr>
        <w:t>117</w:t>
      </w:r>
      <w:r w:rsidR="00BA42F6" w:rsidRPr="00436209">
        <w:rPr>
          <w:rtl/>
          <w:lang w:val="fr-CH"/>
        </w:rPr>
        <w:t>،</w:t>
      </w:r>
      <w:r w:rsidRPr="00436209">
        <w:rPr>
          <w:rtl/>
          <w:lang w:val="fr-CH"/>
        </w:rPr>
        <w:t xml:space="preserve"> التي تسمح بإمكانية الحبس الاحتياطي المطوَّل</w:t>
      </w:r>
      <w:r w:rsidR="00BA42F6" w:rsidRPr="00436209">
        <w:rPr>
          <w:rtl/>
          <w:lang w:val="fr-CH"/>
        </w:rPr>
        <w:t>،</w:t>
      </w:r>
      <w:r w:rsidRPr="00436209">
        <w:rPr>
          <w:rtl/>
          <w:lang w:val="fr-CH"/>
        </w:rPr>
        <w:t xml:space="preserve"> والادعاءات التي تفيد بأن العديد من السجناء يودعون رهن الحبس الاحتياطي لفترات طويلة؛ (ج) التقارير التي تفيد باحتجاز الأفراد</w:t>
      </w:r>
      <w:r w:rsidR="00BA42F6" w:rsidRPr="00436209">
        <w:rPr>
          <w:rtl/>
          <w:lang w:val="fr-CH"/>
        </w:rPr>
        <w:t>،</w:t>
      </w:r>
      <w:r w:rsidRPr="00436209">
        <w:rPr>
          <w:rtl/>
          <w:lang w:val="fr-CH"/>
        </w:rPr>
        <w:t xml:space="preserve"> ولا سيما الرعايا الأجانب</w:t>
      </w:r>
      <w:r w:rsidR="00BA42F6" w:rsidRPr="00436209">
        <w:rPr>
          <w:rtl/>
          <w:lang w:val="fr-CH"/>
        </w:rPr>
        <w:t>،</w:t>
      </w:r>
      <w:r w:rsidRPr="00436209">
        <w:rPr>
          <w:rtl/>
          <w:lang w:val="fr-CH"/>
        </w:rPr>
        <w:t xml:space="preserve"> بسبب عجزهم عن سداد ديونهم (المادتان </w:t>
      </w:r>
      <w:r w:rsidRPr="00FC57D5">
        <w:rPr>
          <w:rtl/>
          <w:lang w:val="fr-CH"/>
        </w:rPr>
        <w:t>9</w:t>
      </w:r>
      <w:r w:rsidRPr="00436209">
        <w:rPr>
          <w:rtl/>
          <w:lang w:val="fr-CH"/>
        </w:rPr>
        <w:t xml:space="preserve"> و</w:t>
      </w:r>
      <w:r w:rsidRPr="00FC57D5">
        <w:rPr>
          <w:rtl/>
          <w:lang w:val="fr-CH"/>
        </w:rPr>
        <w:t>11</w:t>
      </w:r>
      <w:r w:rsidRPr="00436209">
        <w:rPr>
          <w:rtl/>
          <w:lang w:val="fr-CH"/>
        </w:rPr>
        <w:t>).</w:t>
      </w:r>
    </w:p>
    <w:p w14:paraId="3A43014C" w14:textId="05B9D3A5" w:rsidR="005E157B" w:rsidRPr="00FC57D5" w:rsidRDefault="005E157B" w:rsidP="005E157B">
      <w:pPr>
        <w:pStyle w:val="SingleTxtGA"/>
        <w:rPr>
          <w:b/>
          <w:bCs/>
          <w:lang w:val="fr-CH"/>
        </w:rPr>
      </w:pPr>
      <w:r w:rsidRPr="00FC57D5">
        <w:rPr>
          <w:rtl/>
          <w:lang w:val="fr-CH"/>
        </w:rPr>
        <w:t>31</w:t>
      </w:r>
      <w:r w:rsidRPr="00436209">
        <w:rPr>
          <w:rtl/>
          <w:lang w:val="fr-CH"/>
        </w:rPr>
        <w:t>-</w:t>
      </w:r>
      <w:r w:rsidRPr="00436209">
        <w:rPr>
          <w:rtl/>
          <w:lang w:val="fr-CH"/>
        </w:rPr>
        <w:tab/>
      </w:r>
      <w:r w:rsidRPr="00FC57D5">
        <w:rPr>
          <w:b/>
          <w:bCs/>
          <w:rtl/>
          <w:lang w:val="fr-CH"/>
        </w:rPr>
        <w:t>ينبغي للدولة الطرف أن توائم تشريعاتها وممارساتها مع المادة 9 من العهد</w:t>
      </w:r>
      <w:r w:rsidR="00BA42F6" w:rsidRPr="00FC57D5">
        <w:rPr>
          <w:b/>
          <w:bCs/>
          <w:rtl/>
          <w:lang w:val="fr-CH"/>
        </w:rPr>
        <w:t>،</w:t>
      </w:r>
      <w:r w:rsidRPr="00FC57D5">
        <w:rPr>
          <w:b/>
          <w:bCs/>
          <w:rtl/>
          <w:lang w:val="fr-CH"/>
        </w:rPr>
        <w:t xml:space="preserve"> مراعيةً في ذلك تعليق اللجنة العام رقم 35(2014) بشأن حق الفرد في الحرية وفي الأمان على شخصه</w:t>
      </w:r>
      <w:r w:rsidR="00BA42F6" w:rsidRPr="00FC57D5">
        <w:rPr>
          <w:b/>
          <w:bCs/>
          <w:rtl/>
          <w:lang w:val="fr-CH"/>
        </w:rPr>
        <w:t>،</w:t>
      </w:r>
      <w:r w:rsidRPr="00FC57D5">
        <w:rPr>
          <w:b/>
          <w:bCs/>
          <w:rtl/>
          <w:lang w:val="fr-CH"/>
        </w:rPr>
        <w:t xml:space="preserve"> وكذلك مع المادة 11 من العهد. وينبغي لها أن تقوم</w:t>
      </w:r>
      <w:r w:rsidR="00BA42F6" w:rsidRPr="00FC57D5">
        <w:rPr>
          <w:b/>
          <w:bCs/>
          <w:rtl/>
          <w:lang w:val="fr-CH"/>
        </w:rPr>
        <w:t>،</w:t>
      </w:r>
      <w:r w:rsidRPr="00FC57D5">
        <w:rPr>
          <w:b/>
          <w:bCs/>
          <w:rtl/>
          <w:lang w:val="fr-CH"/>
        </w:rPr>
        <w:t xml:space="preserve"> في جملة أمور</w:t>
      </w:r>
      <w:r w:rsidR="00BA42F6" w:rsidRPr="00FC57D5">
        <w:rPr>
          <w:b/>
          <w:bCs/>
          <w:rtl/>
          <w:lang w:val="fr-CH"/>
        </w:rPr>
        <w:t>،</w:t>
      </w:r>
      <w:r w:rsidRPr="00FC57D5">
        <w:rPr>
          <w:b/>
          <w:bCs/>
          <w:rtl/>
          <w:lang w:val="fr-CH"/>
        </w:rPr>
        <w:t xml:space="preserve"> بما يلي: </w:t>
      </w:r>
    </w:p>
    <w:p w14:paraId="4CE2ADBD" w14:textId="1A5573CD" w:rsidR="005E157B" w:rsidRPr="00FC57D5" w:rsidRDefault="005E157B" w:rsidP="005E157B">
      <w:pPr>
        <w:pStyle w:val="SingleTxtGA"/>
        <w:rPr>
          <w:b/>
          <w:bCs/>
          <w:lang w:val="fr-CH"/>
        </w:rPr>
      </w:pPr>
      <w:r w:rsidRPr="00436209">
        <w:rPr>
          <w:rtl/>
          <w:lang w:val="fr-CH"/>
        </w:rPr>
        <w:tab/>
        <w:t>(أ)</w:t>
      </w:r>
      <w:r w:rsidRPr="00436209">
        <w:rPr>
          <w:rtl/>
          <w:lang w:val="fr-CH"/>
        </w:rPr>
        <w:tab/>
      </w:r>
      <w:r w:rsidRPr="00FC57D5">
        <w:rPr>
          <w:b/>
          <w:bCs/>
          <w:rtl/>
          <w:lang w:val="fr-CH"/>
        </w:rPr>
        <w:t>إلغاء تجريم الأفعال غير العنيفة من قبيل الزنا</w:t>
      </w:r>
      <w:r w:rsidR="00BA42F6" w:rsidRPr="00FC57D5">
        <w:rPr>
          <w:b/>
          <w:bCs/>
          <w:rtl/>
          <w:lang w:val="fr-CH"/>
        </w:rPr>
        <w:t>،</w:t>
      </w:r>
      <w:r w:rsidRPr="00FC57D5">
        <w:rPr>
          <w:b/>
          <w:bCs/>
          <w:rtl/>
          <w:lang w:val="fr-CH"/>
        </w:rPr>
        <w:t xml:space="preserve"> والعلاقات الحميمة خارج إطار الزواج</w:t>
      </w:r>
      <w:r w:rsidR="00BA42F6" w:rsidRPr="00FC57D5">
        <w:rPr>
          <w:b/>
          <w:bCs/>
          <w:rtl/>
          <w:lang w:val="fr-CH"/>
        </w:rPr>
        <w:t>،</w:t>
      </w:r>
      <w:r w:rsidRPr="00FC57D5">
        <w:rPr>
          <w:b/>
          <w:bCs/>
          <w:rtl/>
          <w:lang w:val="fr-CH"/>
        </w:rPr>
        <w:t xml:space="preserve"> والعلاقات الجنسية المثلية</w:t>
      </w:r>
      <w:r w:rsidR="00BA42F6" w:rsidRPr="00FC57D5">
        <w:rPr>
          <w:b/>
          <w:bCs/>
          <w:rtl/>
          <w:lang w:val="fr-CH"/>
        </w:rPr>
        <w:t>،</w:t>
      </w:r>
      <w:r w:rsidRPr="00FC57D5">
        <w:rPr>
          <w:b/>
          <w:bCs/>
          <w:rtl/>
          <w:lang w:val="fr-CH"/>
        </w:rPr>
        <w:t xml:space="preserve"> والتسول</w:t>
      </w:r>
      <w:r w:rsidR="00BA42F6" w:rsidRPr="00FC57D5">
        <w:rPr>
          <w:b/>
          <w:bCs/>
          <w:rtl/>
          <w:lang w:val="fr-CH"/>
        </w:rPr>
        <w:t>،</w:t>
      </w:r>
      <w:r w:rsidRPr="00FC57D5">
        <w:rPr>
          <w:b/>
          <w:bCs/>
          <w:rtl/>
          <w:lang w:val="fr-CH"/>
        </w:rPr>
        <w:t xml:space="preserve"> وتناول الكحول</w:t>
      </w:r>
      <w:r w:rsidR="00BA42F6" w:rsidRPr="00FC57D5">
        <w:rPr>
          <w:b/>
          <w:bCs/>
          <w:rtl/>
          <w:lang w:val="fr-CH"/>
        </w:rPr>
        <w:t>،</w:t>
      </w:r>
      <w:r w:rsidRPr="00FC57D5">
        <w:rPr>
          <w:b/>
          <w:bCs/>
          <w:rtl/>
          <w:lang w:val="fr-CH"/>
        </w:rPr>
        <w:t xml:space="preserve"> وتعاطي المخدرات؛</w:t>
      </w:r>
    </w:p>
    <w:p w14:paraId="1A7E7100" w14:textId="76B41F8E" w:rsidR="005E157B" w:rsidRPr="00FC57D5" w:rsidRDefault="005E157B" w:rsidP="005E157B">
      <w:pPr>
        <w:pStyle w:val="SingleTxtGA"/>
        <w:rPr>
          <w:b/>
          <w:bCs/>
          <w:lang w:val="fr-CH"/>
        </w:rPr>
      </w:pPr>
      <w:r w:rsidRPr="00436209">
        <w:rPr>
          <w:rtl/>
          <w:lang w:val="fr-CH"/>
        </w:rPr>
        <w:tab/>
        <w:t>(ب)</w:t>
      </w:r>
      <w:r w:rsidRPr="00436209">
        <w:rPr>
          <w:rtl/>
          <w:lang w:val="fr-CH"/>
        </w:rPr>
        <w:tab/>
      </w:r>
      <w:r w:rsidRPr="00FC57D5">
        <w:rPr>
          <w:b/>
          <w:bCs/>
          <w:rtl/>
          <w:lang w:val="fr-CH"/>
        </w:rPr>
        <w:t>زيادة اللجوء</w:t>
      </w:r>
      <w:r w:rsidR="00BA42F6" w:rsidRPr="00FC57D5">
        <w:rPr>
          <w:b/>
          <w:bCs/>
          <w:rtl/>
          <w:lang w:val="fr-CH"/>
        </w:rPr>
        <w:t>،</w:t>
      </w:r>
      <w:r w:rsidRPr="00FC57D5">
        <w:rPr>
          <w:b/>
          <w:bCs/>
          <w:rtl/>
          <w:lang w:val="fr-CH"/>
        </w:rPr>
        <w:t xml:space="preserve"> في الممارسة العملية</w:t>
      </w:r>
      <w:r w:rsidR="00BA42F6" w:rsidRPr="00FC57D5">
        <w:rPr>
          <w:b/>
          <w:bCs/>
          <w:rtl/>
          <w:lang w:val="fr-CH"/>
        </w:rPr>
        <w:t>،</w:t>
      </w:r>
      <w:r w:rsidRPr="00FC57D5">
        <w:rPr>
          <w:b/>
          <w:bCs/>
          <w:rtl/>
          <w:lang w:val="fr-CH"/>
        </w:rPr>
        <w:t xml:space="preserve"> إلى التدابير غير الاحتجازية البديلة للحبس الاحتياطي</w:t>
      </w:r>
      <w:r w:rsidR="00BA42F6" w:rsidRPr="00FC57D5">
        <w:rPr>
          <w:b/>
          <w:bCs/>
          <w:rtl/>
          <w:lang w:val="fr-CH"/>
        </w:rPr>
        <w:t>،</w:t>
      </w:r>
      <w:r w:rsidRPr="00FC57D5">
        <w:rPr>
          <w:b/>
          <w:bCs/>
          <w:rtl/>
          <w:lang w:val="fr-CH"/>
        </w:rPr>
        <w:t xml:space="preserve"> وضمان أن يكون الحبس الاحتياطي تدبيراً استثنائياً معقولاً وضرورياً يستند إلى ظروف كل حالة على حدة</w:t>
      </w:r>
      <w:r w:rsidR="00BA42F6" w:rsidRPr="00FC57D5">
        <w:rPr>
          <w:b/>
          <w:bCs/>
          <w:rtl/>
          <w:lang w:val="fr-CH"/>
        </w:rPr>
        <w:t>،</w:t>
      </w:r>
      <w:r w:rsidRPr="00FC57D5">
        <w:rPr>
          <w:b/>
          <w:bCs/>
          <w:rtl/>
          <w:lang w:val="fr-CH"/>
        </w:rPr>
        <w:t xml:space="preserve"> ويكون لأقصر فترة ممكنة</w:t>
      </w:r>
      <w:r w:rsidR="00BA42F6" w:rsidRPr="00FC57D5">
        <w:rPr>
          <w:b/>
          <w:bCs/>
          <w:rtl/>
          <w:lang w:val="fr-CH"/>
        </w:rPr>
        <w:t>،</w:t>
      </w:r>
      <w:r w:rsidRPr="00FC57D5">
        <w:rPr>
          <w:b/>
          <w:bCs/>
          <w:rtl/>
          <w:lang w:val="fr-CH"/>
        </w:rPr>
        <w:t xml:space="preserve"> ويخضع للمراجعة القضائية المنتظمة؛ </w:t>
      </w:r>
    </w:p>
    <w:p w14:paraId="7EAB0498" w14:textId="59AC7968" w:rsidR="005E157B" w:rsidRPr="00FC57D5" w:rsidRDefault="005E157B" w:rsidP="005E157B">
      <w:pPr>
        <w:pStyle w:val="SingleTxtGA"/>
        <w:rPr>
          <w:b/>
          <w:bCs/>
          <w:lang w:val="fr-CH"/>
        </w:rPr>
      </w:pPr>
      <w:r w:rsidRPr="00436209">
        <w:rPr>
          <w:rtl/>
          <w:lang w:val="fr-CH"/>
        </w:rPr>
        <w:tab/>
        <w:t>(ج)</w:t>
      </w:r>
      <w:r w:rsidRPr="00436209">
        <w:rPr>
          <w:rtl/>
          <w:lang w:val="fr-CH"/>
        </w:rPr>
        <w:tab/>
      </w:r>
      <w:r w:rsidRPr="00FC57D5">
        <w:rPr>
          <w:b/>
          <w:bCs/>
          <w:rtl/>
          <w:lang w:val="fr-CH"/>
        </w:rPr>
        <w:t>مراجعة التشريعات والممارسات الحالية لضمان عدم سجن الأفراد بسبب عجزهم عن سداد ديونهم</w:t>
      </w:r>
      <w:r w:rsidR="00BA42F6" w:rsidRPr="00FC57D5">
        <w:rPr>
          <w:b/>
          <w:bCs/>
          <w:rtl/>
          <w:lang w:val="fr-CH"/>
        </w:rPr>
        <w:t>،</w:t>
      </w:r>
      <w:r w:rsidRPr="00FC57D5">
        <w:rPr>
          <w:b/>
          <w:bCs/>
          <w:rtl/>
          <w:lang w:val="fr-CH"/>
        </w:rPr>
        <w:t xml:space="preserve"> وتنفيذ تدابير بديلة لاسترداد الأموال. </w:t>
      </w:r>
    </w:p>
    <w:p w14:paraId="01DC26E5" w14:textId="77777777" w:rsidR="005E157B" w:rsidRPr="00FC57D5" w:rsidRDefault="005E157B" w:rsidP="005E157B">
      <w:pPr>
        <w:pStyle w:val="H23GA"/>
      </w:pPr>
      <w:r w:rsidRPr="00FC57D5">
        <w:rPr>
          <w:rtl/>
        </w:rPr>
        <w:tab/>
      </w:r>
      <w:r w:rsidRPr="00FC57D5">
        <w:rPr>
          <w:rtl/>
        </w:rPr>
        <w:tab/>
        <w:t xml:space="preserve">طالبو اللجوء واللاجئون </w:t>
      </w:r>
    </w:p>
    <w:p w14:paraId="75CCD36A" w14:textId="7A0A6151" w:rsidR="005E157B" w:rsidRPr="00436209" w:rsidRDefault="005E157B" w:rsidP="005E157B">
      <w:pPr>
        <w:pStyle w:val="SingleTxtGA"/>
        <w:rPr>
          <w:lang w:val="fr-CH"/>
        </w:rPr>
      </w:pPr>
      <w:r w:rsidRPr="00FC57D5">
        <w:rPr>
          <w:rtl/>
          <w:lang w:val="fr-CH"/>
        </w:rPr>
        <w:t>32</w:t>
      </w:r>
      <w:r w:rsidRPr="00436209">
        <w:rPr>
          <w:rtl/>
          <w:lang w:val="fr-CH"/>
        </w:rPr>
        <w:t>-</w:t>
      </w:r>
      <w:r w:rsidRPr="00436209">
        <w:rPr>
          <w:rtl/>
          <w:lang w:val="fr-CH"/>
        </w:rPr>
        <w:tab/>
        <w:t>ترحب اللجنة باعتماد قانون تنظيم اللجوء السياسي (القانون رقم (</w:t>
      </w:r>
      <w:r w:rsidRPr="00FC57D5">
        <w:rPr>
          <w:rtl/>
          <w:lang w:val="fr-CH"/>
        </w:rPr>
        <w:t>11</w:t>
      </w:r>
      <w:r w:rsidRPr="00436209">
        <w:rPr>
          <w:rtl/>
          <w:lang w:val="fr-CH"/>
        </w:rPr>
        <w:t xml:space="preserve">) لسنة </w:t>
      </w:r>
      <w:r w:rsidRPr="00FC57D5">
        <w:rPr>
          <w:rtl/>
          <w:lang w:val="fr-CH"/>
        </w:rPr>
        <w:t>2018</w:t>
      </w:r>
      <w:r w:rsidRPr="00436209">
        <w:rPr>
          <w:rtl/>
          <w:lang w:val="fr-CH"/>
        </w:rPr>
        <w:t>)</w:t>
      </w:r>
      <w:r w:rsidR="00BA42F6" w:rsidRPr="00436209">
        <w:rPr>
          <w:rtl/>
          <w:lang w:val="fr-CH"/>
        </w:rPr>
        <w:t>،</w:t>
      </w:r>
      <w:r w:rsidRPr="00436209">
        <w:rPr>
          <w:rtl/>
          <w:lang w:val="fr-CH"/>
        </w:rPr>
        <w:t xml:space="preserve"> وهو أول قانون لجوء في منطقة الخليج العربي. ومع ذلك</w:t>
      </w:r>
      <w:r w:rsidR="00BA42F6" w:rsidRPr="00436209">
        <w:rPr>
          <w:rtl/>
          <w:lang w:val="fr-CH"/>
        </w:rPr>
        <w:t>،</w:t>
      </w:r>
      <w:r w:rsidRPr="00436209">
        <w:rPr>
          <w:rtl/>
          <w:lang w:val="fr-CH"/>
        </w:rPr>
        <w:t xml:space="preserve"> تأسف اللجنة لعدم تلقيها معلومات كافية عن تنفيذ هذا القانون. ويساور اللجنة القلق أيضاً لأن القانون (المادة </w:t>
      </w:r>
      <w:r w:rsidRPr="00FC57D5">
        <w:rPr>
          <w:rtl/>
          <w:lang w:val="fr-CH"/>
        </w:rPr>
        <w:t>10</w:t>
      </w:r>
      <w:r w:rsidRPr="00436209">
        <w:rPr>
          <w:rtl/>
          <w:lang w:val="fr-CH"/>
        </w:rPr>
        <w:t>) يقيد الحق في حرية التنقل والإقامة</w:t>
      </w:r>
      <w:r w:rsidR="00BA42F6" w:rsidRPr="00436209">
        <w:rPr>
          <w:rtl/>
          <w:lang w:val="fr-CH"/>
        </w:rPr>
        <w:t>،</w:t>
      </w:r>
      <w:r w:rsidRPr="00436209">
        <w:rPr>
          <w:rtl/>
          <w:lang w:val="fr-CH"/>
        </w:rPr>
        <w:t xml:space="preserve"> لأنه يلزِم اللاجئ بالحصول على موافقة إذا أراد تغيير محل إقامته المحدد له من قِبل الحكومة. ويساورها القلق أيض</w:t>
      </w:r>
      <w:r w:rsidR="00CA46B9">
        <w:rPr>
          <w:rtl/>
          <w:lang w:val="fr-CH"/>
        </w:rPr>
        <w:t xml:space="preserve">اً </w:t>
      </w:r>
      <w:r w:rsidRPr="00436209">
        <w:rPr>
          <w:rtl/>
          <w:lang w:val="fr-CH"/>
        </w:rPr>
        <w:t xml:space="preserve">إزاء الأحكام (المادة </w:t>
      </w:r>
      <w:r w:rsidRPr="00FC57D5">
        <w:rPr>
          <w:rtl/>
          <w:lang w:val="fr-CH"/>
        </w:rPr>
        <w:t>11</w:t>
      </w:r>
      <w:r w:rsidRPr="00436209">
        <w:rPr>
          <w:rtl/>
          <w:lang w:val="fr-CH"/>
        </w:rPr>
        <w:t>) التي تحظر على طالبي اللجوء واللاجئين ممارسة أي نشاط سياسي أثناء إقامتهم في قطر وإلاّ طُرِدوا</w:t>
      </w:r>
      <w:r w:rsidR="00BA42F6" w:rsidRPr="00436209">
        <w:rPr>
          <w:rtl/>
          <w:lang w:val="fr-CH"/>
        </w:rPr>
        <w:t>،</w:t>
      </w:r>
      <w:r w:rsidRPr="00436209">
        <w:rPr>
          <w:rtl/>
          <w:lang w:val="fr-CH"/>
        </w:rPr>
        <w:t xml:space="preserve"> مما يمس أيضا</w:t>
      </w:r>
      <w:r w:rsidR="00436209">
        <w:rPr>
          <w:rFonts w:hint="cs"/>
          <w:rtl/>
          <w:lang w:val="fr-CH"/>
        </w:rPr>
        <w:t>ً</w:t>
      </w:r>
      <w:r w:rsidRPr="00436209">
        <w:rPr>
          <w:rtl/>
          <w:lang w:val="fr-CH"/>
        </w:rPr>
        <w:t xml:space="preserve"> بالحق في حرية التعبير والحق في التجمع السلمي والحق في حرية تكوين الجمعيات (المواد </w:t>
      </w:r>
      <w:r w:rsidRPr="00FC57D5">
        <w:rPr>
          <w:rtl/>
          <w:lang w:val="fr-CH"/>
        </w:rPr>
        <w:t>2</w:t>
      </w:r>
      <w:r w:rsidRPr="00436209">
        <w:rPr>
          <w:rtl/>
          <w:lang w:val="fr-CH"/>
        </w:rPr>
        <w:t xml:space="preserve"> و</w:t>
      </w:r>
      <w:r w:rsidRPr="00FC57D5">
        <w:rPr>
          <w:rtl/>
          <w:lang w:val="fr-CH"/>
        </w:rPr>
        <w:t>12</w:t>
      </w:r>
      <w:r w:rsidRPr="00436209">
        <w:rPr>
          <w:rtl/>
          <w:lang w:val="fr-CH"/>
        </w:rPr>
        <w:t xml:space="preserve"> و</w:t>
      </w:r>
      <w:r w:rsidRPr="00FC57D5">
        <w:rPr>
          <w:rtl/>
          <w:lang w:val="fr-CH"/>
        </w:rPr>
        <w:t>13</w:t>
      </w:r>
      <w:r w:rsidRPr="00436209">
        <w:rPr>
          <w:rtl/>
          <w:lang w:val="fr-CH"/>
        </w:rPr>
        <w:t xml:space="preserve"> و</w:t>
      </w:r>
      <w:r w:rsidRPr="00FC57D5">
        <w:rPr>
          <w:rtl/>
          <w:lang w:val="fr-CH"/>
        </w:rPr>
        <w:t>19</w:t>
      </w:r>
      <w:r w:rsidRPr="00436209">
        <w:rPr>
          <w:rtl/>
          <w:lang w:val="fr-CH"/>
        </w:rPr>
        <w:t xml:space="preserve"> و</w:t>
      </w:r>
      <w:r w:rsidRPr="00FC57D5">
        <w:rPr>
          <w:rtl/>
          <w:lang w:val="fr-CH"/>
        </w:rPr>
        <w:t>21</w:t>
      </w:r>
      <w:r w:rsidRPr="00436209">
        <w:rPr>
          <w:rtl/>
          <w:lang w:val="fr-CH"/>
        </w:rPr>
        <w:t xml:space="preserve"> و</w:t>
      </w:r>
      <w:r w:rsidRPr="00FC57D5">
        <w:rPr>
          <w:rtl/>
          <w:lang w:val="fr-CH"/>
        </w:rPr>
        <w:t>22</w:t>
      </w:r>
      <w:r w:rsidRPr="00436209">
        <w:rPr>
          <w:rtl/>
          <w:lang w:val="fr-CH"/>
        </w:rPr>
        <w:t xml:space="preserve"> و</w:t>
      </w:r>
      <w:r w:rsidRPr="00FC57D5">
        <w:rPr>
          <w:rtl/>
          <w:lang w:val="fr-CH"/>
        </w:rPr>
        <w:t>26</w:t>
      </w:r>
      <w:r w:rsidRPr="00436209">
        <w:rPr>
          <w:rtl/>
          <w:lang w:val="fr-CH"/>
        </w:rPr>
        <w:t xml:space="preserve">). </w:t>
      </w:r>
    </w:p>
    <w:p w14:paraId="4DD77A80" w14:textId="1067ECE8" w:rsidR="005E157B" w:rsidRPr="00FC57D5" w:rsidRDefault="005E157B" w:rsidP="005E157B">
      <w:pPr>
        <w:pStyle w:val="SingleTxtGA"/>
        <w:rPr>
          <w:rFonts w:ascii="Times New Roman Bold" w:hAnsi="Times New Roman Bold" w:hint="eastAsia"/>
          <w:b/>
          <w:bCs/>
          <w:spacing w:val="2"/>
          <w:lang w:val="fr-CH"/>
        </w:rPr>
      </w:pPr>
      <w:r w:rsidRPr="00FC57D5">
        <w:rPr>
          <w:rtl/>
          <w:lang w:val="fr-CH"/>
        </w:rPr>
        <w:t>33</w:t>
      </w:r>
      <w:r w:rsidRPr="00436209">
        <w:rPr>
          <w:rtl/>
          <w:lang w:val="fr-CH"/>
        </w:rPr>
        <w:t>-</w:t>
      </w:r>
      <w:r w:rsidRPr="00436209">
        <w:rPr>
          <w:spacing w:val="-4"/>
          <w:rtl/>
          <w:lang w:val="fr-CH"/>
        </w:rPr>
        <w:tab/>
      </w:r>
      <w:r w:rsidRPr="00FC57D5">
        <w:rPr>
          <w:rFonts w:ascii="Times New Roman Bold" w:hAnsi="Times New Roman Bold"/>
          <w:b/>
          <w:bCs/>
          <w:spacing w:val="2"/>
          <w:rtl/>
          <w:lang w:val="fr-CH"/>
        </w:rPr>
        <w:t>ينبغي للدولة الطرف أن تعدل أحكام قانون تنظيم اللجوء السياسي (القانون رقم (11) لسنة</w:t>
      </w:r>
      <w:r w:rsidR="00436209" w:rsidRPr="00FC57D5">
        <w:rPr>
          <w:rFonts w:ascii="Times New Roman Bold" w:hAnsi="Times New Roman Bold" w:hint="eastAsia"/>
          <w:b/>
          <w:bCs/>
          <w:spacing w:val="2"/>
          <w:rtl/>
          <w:lang w:val="fr-CH"/>
        </w:rPr>
        <w:t> </w:t>
      </w:r>
      <w:r w:rsidRPr="00FC57D5">
        <w:rPr>
          <w:rFonts w:ascii="Times New Roman Bold" w:hAnsi="Times New Roman Bold"/>
          <w:b/>
          <w:bCs/>
          <w:spacing w:val="2"/>
          <w:rtl/>
          <w:lang w:val="fr-CH"/>
        </w:rPr>
        <w:t>2018)</w:t>
      </w:r>
      <w:r w:rsidR="00BA42F6" w:rsidRPr="00FC57D5">
        <w:rPr>
          <w:rFonts w:ascii="Times New Roman Bold" w:hAnsi="Times New Roman Bold"/>
          <w:b/>
          <w:bCs/>
          <w:spacing w:val="2"/>
          <w:rtl/>
          <w:lang w:val="fr-CH"/>
        </w:rPr>
        <w:t>،</w:t>
      </w:r>
      <w:r w:rsidRPr="00FC57D5">
        <w:rPr>
          <w:rFonts w:ascii="Times New Roman Bold" w:hAnsi="Times New Roman Bold"/>
          <w:b/>
          <w:bCs/>
          <w:spacing w:val="2"/>
          <w:rtl/>
          <w:lang w:val="fr-CH"/>
        </w:rPr>
        <w:t xml:space="preserve"> التي تقيد حق طالبي اللجوء واللاجئين في حرية التنقل والإقامة وتمنعهم من ممارسة أي نشاط سياسي</w:t>
      </w:r>
      <w:r w:rsidR="00BA42F6" w:rsidRPr="00FC57D5">
        <w:rPr>
          <w:rFonts w:ascii="Times New Roman Bold" w:hAnsi="Times New Roman Bold"/>
          <w:b/>
          <w:bCs/>
          <w:spacing w:val="2"/>
          <w:rtl/>
          <w:lang w:val="fr-CH"/>
        </w:rPr>
        <w:t>،</w:t>
      </w:r>
      <w:r w:rsidRPr="00FC57D5">
        <w:rPr>
          <w:rFonts w:ascii="Times New Roman Bold" w:hAnsi="Times New Roman Bold"/>
          <w:b/>
          <w:bCs/>
          <w:spacing w:val="2"/>
          <w:rtl/>
          <w:lang w:val="fr-CH"/>
        </w:rPr>
        <w:t xml:space="preserve"> كما ينبغي لها أن توائم هذا التشريع مع أحكام العهد. </w:t>
      </w:r>
    </w:p>
    <w:p w14:paraId="5E836E1E" w14:textId="77777777" w:rsidR="005E157B" w:rsidRPr="00FC57D5" w:rsidRDefault="005E157B" w:rsidP="005E157B">
      <w:pPr>
        <w:pStyle w:val="H23GA"/>
      </w:pPr>
      <w:r w:rsidRPr="00FC57D5">
        <w:rPr>
          <w:rtl/>
        </w:rPr>
        <w:lastRenderedPageBreak/>
        <w:tab/>
      </w:r>
      <w:r w:rsidRPr="00FC57D5">
        <w:rPr>
          <w:rtl/>
        </w:rPr>
        <w:tab/>
        <w:t xml:space="preserve">استقلال السلطة القضائية والمحاكمة العادلة </w:t>
      </w:r>
    </w:p>
    <w:p w14:paraId="73246B22" w14:textId="070B4B62" w:rsidR="005E157B" w:rsidRPr="00436209" w:rsidRDefault="005E157B" w:rsidP="00436209">
      <w:pPr>
        <w:pStyle w:val="SingleTxtGA"/>
        <w:spacing w:line="350" w:lineRule="exact"/>
        <w:rPr>
          <w:spacing w:val="-4"/>
          <w:lang w:val="fr-CH"/>
        </w:rPr>
      </w:pPr>
      <w:r w:rsidRPr="00FC57D5">
        <w:rPr>
          <w:spacing w:val="-4"/>
          <w:rtl/>
          <w:lang w:val="fr-CH"/>
        </w:rPr>
        <w:t>34</w:t>
      </w:r>
      <w:r w:rsidRPr="00436209">
        <w:rPr>
          <w:spacing w:val="-4"/>
          <w:rtl/>
          <w:lang w:val="fr-CH"/>
        </w:rPr>
        <w:t>-</w:t>
      </w:r>
      <w:r w:rsidRPr="00436209">
        <w:rPr>
          <w:spacing w:val="-4"/>
          <w:rtl/>
          <w:lang w:val="fr-CH"/>
        </w:rPr>
        <w:tab/>
        <w:t>ترحب اللجنة باعتماد المجلس الأعلى للقضاء مدونة السلوك القضائي لتعزيز نزاهة القضاة. غير أنها تأسف لعدم تلقيها معلومات عن الاختصاص المخول للأمير عزل القضاة لأسباب تتعلق بالصالح العام. وتحيط اللجنة علم</w:t>
      </w:r>
      <w:r w:rsidR="00CA46B9">
        <w:rPr>
          <w:spacing w:val="-4"/>
          <w:rtl/>
          <w:lang w:val="fr-CH"/>
        </w:rPr>
        <w:t xml:space="preserve">اً </w:t>
      </w:r>
      <w:r w:rsidRPr="00436209">
        <w:rPr>
          <w:spacing w:val="-4"/>
          <w:rtl/>
          <w:lang w:val="fr-CH"/>
        </w:rPr>
        <w:t>بالضمانات الإجرائية المنصوص عليها في الدستور وقانون الإجراءات الجنائية والقوانين الأخرى</w:t>
      </w:r>
      <w:r w:rsidR="00BA42F6" w:rsidRPr="00436209">
        <w:rPr>
          <w:spacing w:val="-4"/>
          <w:rtl/>
          <w:lang w:val="fr-CH"/>
        </w:rPr>
        <w:t>،</w:t>
      </w:r>
      <w:r w:rsidRPr="00436209">
        <w:rPr>
          <w:spacing w:val="-4"/>
          <w:rtl/>
          <w:lang w:val="fr-CH"/>
        </w:rPr>
        <w:t xml:space="preserve"> ولكنها تعرب عن قلقها إزاء ما قدمته الدولة الطرف من معلومات تفيد بأنه لا يجوز للمتهم الاستعانة بمحام إلا</w:t>
      </w:r>
      <w:r w:rsidR="00436209">
        <w:rPr>
          <w:rFonts w:hint="cs"/>
          <w:spacing w:val="-4"/>
          <w:rtl/>
          <w:lang w:val="fr-CH"/>
        </w:rPr>
        <w:t> </w:t>
      </w:r>
      <w:r w:rsidRPr="00436209">
        <w:rPr>
          <w:spacing w:val="-4"/>
          <w:rtl/>
          <w:lang w:val="fr-CH"/>
        </w:rPr>
        <w:t xml:space="preserve">منذ بداية إجراءات التحقيق في النيابة العامة وليس بمجرد أن تحتجزه الشرطة (المادتان </w:t>
      </w:r>
      <w:r w:rsidRPr="00FC57D5">
        <w:rPr>
          <w:spacing w:val="-4"/>
          <w:rtl/>
          <w:lang w:val="fr-CH"/>
        </w:rPr>
        <w:t>2</w:t>
      </w:r>
      <w:r w:rsidRPr="00436209">
        <w:rPr>
          <w:spacing w:val="-4"/>
          <w:rtl/>
          <w:lang w:val="fr-CH"/>
        </w:rPr>
        <w:t xml:space="preserve"> و</w:t>
      </w:r>
      <w:r w:rsidRPr="00FC57D5">
        <w:rPr>
          <w:spacing w:val="-4"/>
          <w:rtl/>
          <w:lang w:val="fr-CH"/>
        </w:rPr>
        <w:t>14</w:t>
      </w:r>
      <w:r w:rsidRPr="00436209">
        <w:rPr>
          <w:spacing w:val="-4"/>
          <w:rtl/>
          <w:lang w:val="fr-CH"/>
        </w:rPr>
        <w:t>).</w:t>
      </w:r>
    </w:p>
    <w:p w14:paraId="572EE951" w14:textId="240C2AC8" w:rsidR="005E157B" w:rsidRPr="00FC57D5" w:rsidRDefault="005E157B" w:rsidP="00436209">
      <w:pPr>
        <w:pStyle w:val="SingleTxtGA"/>
        <w:spacing w:line="350" w:lineRule="exact"/>
        <w:rPr>
          <w:b/>
          <w:bCs/>
          <w:lang w:val="fr-CH"/>
        </w:rPr>
      </w:pPr>
      <w:r w:rsidRPr="00FC57D5">
        <w:rPr>
          <w:rtl/>
          <w:lang w:val="fr-CH"/>
        </w:rPr>
        <w:t>35</w:t>
      </w:r>
      <w:r w:rsidRPr="00436209">
        <w:rPr>
          <w:rtl/>
          <w:lang w:val="fr-CH"/>
        </w:rPr>
        <w:t>-</w:t>
      </w:r>
      <w:r w:rsidRPr="00436209">
        <w:rPr>
          <w:rtl/>
          <w:lang w:val="fr-CH"/>
        </w:rPr>
        <w:tab/>
      </w:r>
      <w:r w:rsidRPr="00FC57D5">
        <w:rPr>
          <w:b/>
          <w:bCs/>
          <w:rtl/>
          <w:lang w:val="fr-CH"/>
        </w:rPr>
        <w:t>ينبغي للدولة الطرف أن تتخذ جميع التدابير اللازمة لضمان استقلال السلطة القضائية وحيادها التامّين</w:t>
      </w:r>
      <w:r w:rsidR="00BA42F6" w:rsidRPr="00FC57D5">
        <w:rPr>
          <w:b/>
          <w:bCs/>
          <w:rtl/>
          <w:lang w:val="fr-CH"/>
        </w:rPr>
        <w:t>،</w:t>
      </w:r>
      <w:r w:rsidRPr="00FC57D5">
        <w:rPr>
          <w:b/>
          <w:bCs/>
          <w:rtl/>
          <w:lang w:val="fr-CH"/>
        </w:rPr>
        <w:t xml:space="preserve"> قانوناً وممارسة</w:t>
      </w:r>
      <w:r w:rsidR="00BA42F6" w:rsidRPr="00FC57D5">
        <w:rPr>
          <w:b/>
          <w:bCs/>
          <w:rtl/>
          <w:lang w:val="fr-CH"/>
        </w:rPr>
        <w:t>،</w:t>
      </w:r>
      <w:r w:rsidRPr="00FC57D5">
        <w:rPr>
          <w:b/>
          <w:bCs/>
          <w:rtl/>
          <w:lang w:val="fr-CH"/>
        </w:rPr>
        <w:t xml:space="preserve"> بسبل منها ضمان امتثال إجراءات عزل القضاة لأحكام العهد وللمعايير الدولية ذات الصلة</w:t>
      </w:r>
      <w:r w:rsidR="00BA42F6" w:rsidRPr="00FC57D5">
        <w:rPr>
          <w:b/>
          <w:bCs/>
          <w:rtl/>
          <w:lang w:val="fr-CH"/>
        </w:rPr>
        <w:t>،</w:t>
      </w:r>
      <w:r w:rsidRPr="00FC57D5">
        <w:rPr>
          <w:b/>
          <w:bCs/>
          <w:rtl/>
          <w:lang w:val="fr-CH"/>
        </w:rPr>
        <w:t xml:space="preserve"> مثل المبادئ الأساسية بشأن استقلال السلطة القضائية. وينبغي للدولة الطرف أيضاً أن تعزز التدابير الرامية إلى ضمان تمتع الأشخاص المحتجزين تمتعاً فعلياً بالحق في الاستعانة بمحام بمجرد أن تحتجزهم الشرطة.</w:t>
      </w:r>
    </w:p>
    <w:p w14:paraId="3DB9ACE8" w14:textId="77777777" w:rsidR="005E157B" w:rsidRPr="00FC57D5" w:rsidRDefault="005E157B" w:rsidP="00436209">
      <w:pPr>
        <w:pStyle w:val="H23GA"/>
        <w:spacing w:line="350" w:lineRule="exact"/>
      </w:pPr>
      <w:r w:rsidRPr="00FC57D5">
        <w:rPr>
          <w:rtl/>
        </w:rPr>
        <w:tab/>
      </w:r>
      <w:r w:rsidRPr="00FC57D5">
        <w:rPr>
          <w:rtl/>
        </w:rPr>
        <w:tab/>
        <w:t>حرية الوجدان والمعتقد الديني</w:t>
      </w:r>
    </w:p>
    <w:p w14:paraId="172B0A03" w14:textId="16581E5C" w:rsidR="005E157B" w:rsidRPr="00436209" w:rsidRDefault="005E157B" w:rsidP="00436209">
      <w:pPr>
        <w:pStyle w:val="SingleTxtGA"/>
        <w:spacing w:line="350" w:lineRule="exact"/>
        <w:rPr>
          <w:lang w:val="fr-CH"/>
        </w:rPr>
      </w:pPr>
      <w:r w:rsidRPr="00FC57D5">
        <w:rPr>
          <w:rtl/>
          <w:lang w:val="fr-CH"/>
        </w:rPr>
        <w:t>36</w:t>
      </w:r>
      <w:r w:rsidRPr="00436209">
        <w:rPr>
          <w:rtl/>
          <w:lang w:val="fr-CH"/>
        </w:rPr>
        <w:t>-</w:t>
      </w:r>
      <w:r w:rsidRPr="00436209">
        <w:rPr>
          <w:rtl/>
          <w:lang w:val="fr-CH"/>
        </w:rPr>
        <w:tab/>
        <w:t xml:space="preserve">تحيط اللجنة علماً بما قدمته الدولة الطرف من معلومات تفيد بأن السلطات سمحت ببناء أماكن عبادة لغير المسلمين خارج مجمع </w:t>
      </w:r>
      <w:proofErr w:type="spellStart"/>
      <w:r w:rsidRPr="00436209">
        <w:rPr>
          <w:rtl/>
          <w:lang w:val="fr-CH"/>
        </w:rPr>
        <w:t>مسيمير</w:t>
      </w:r>
      <w:proofErr w:type="spellEnd"/>
      <w:r w:rsidRPr="00436209">
        <w:rPr>
          <w:rtl/>
          <w:lang w:val="fr-CH"/>
        </w:rPr>
        <w:t xml:space="preserve"> الديني وأنها لم تمنع المسلمين من دخول المجمع. ومع ذلك</w:t>
      </w:r>
      <w:r w:rsidR="00BA42F6" w:rsidRPr="00436209">
        <w:rPr>
          <w:rtl/>
          <w:lang w:val="fr-CH"/>
        </w:rPr>
        <w:t>،</w:t>
      </w:r>
      <w:r w:rsidRPr="00436209">
        <w:rPr>
          <w:rtl/>
          <w:lang w:val="fr-CH"/>
        </w:rPr>
        <w:t xml:space="preserve"> تأسف اللجنة لعدم تلقيها معلومات عن تجريم الردة والتجديف والتبشير</w:t>
      </w:r>
      <w:r w:rsidR="00BA42F6" w:rsidRPr="00436209">
        <w:rPr>
          <w:rtl/>
          <w:lang w:val="fr-CH"/>
        </w:rPr>
        <w:t>،</w:t>
      </w:r>
      <w:r w:rsidRPr="00436209">
        <w:rPr>
          <w:rtl/>
          <w:lang w:val="fr-CH"/>
        </w:rPr>
        <w:t xml:space="preserve"> وعن التدابير المتخذة لمكافحة التمييز والضغط الاجتماعي الذي يعاني منه المسلمون الذين يتحولون من الإسلام إلى دين آخر وكذلك المسلمات اللائي يتزوجن من غير مسلمين (المواد </w:t>
      </w:r>
      <w:r w:rsidRPr="00FC57D5">
        <w:rPr>
          <w:rtl/>
          <w:lang w:val="fr-CH"/>
        </w:rPr>
        <w:t>2</w:t>
      </w:r>
      <w:r w:rsidRPr="00436209">
        <w:rPr>
          <w:rtl/>
          <w:lang w:val="fr-CH"/>
        </w:rPr>
        <w:t xml:space="preserve"> و</w:t>
      </w:r>
      <w:r w:rsidRPr="00FC57D5">
        <w:rPr>
          <w:rtl/>
          <w:lang w:val="fr-CH"/>
        </w:rPr>
        <w:t>18</w:t>
      </w:r>
      <w:r w:rsidRPr="00436209">
        <w:rPr>
          <w:rtl/>
          <w:lang w:val="fr-CH"/>
        </w:rPr>
        <w:t xml:space="preserve"> و</w:t>
      </w:r>
      <w:r w:rsidRPr="00FC57D5">
        <w:rPr>
          <w:rtl/>
          <w:lang w:val="fr-CH"/>
        </w:rPr>
        <w:t>26</w:t>
      </w:r>
      <w:r w:rsidRPr="00436209">
        <w:rPr>
          <w:rtl/>
          <w:lang w:val="fr-CH"/>
        </w:rPr>
        <w:t>).</w:t>
      </w:r>
    </w:p>
    <w:p w14:paraId="692BE4BD" w14:textId="5CAE8D2F" w:rsidR="005E157B" w:rsidRPr="00FC57D5" w:rsidRDefault="005E157B" w:rsidP="00436209">
      <w:pPr>
        <w:pStyle w:val="SingleTxtGA"/>
        <w:spacing w:line="350" w:lineRule="exact"/>
        <w:rPr>
          <w:b/>
          <w:bCs/>
          <w:lang w:val="fr-CH"/>
        </w:rPr>
      </w:pPr>
      <w:r w:rsidRPr="00FC57D5">
        <w:rPr>
          <w:rtl/>
          <w:lang w:val="fr-CH"/>
        </w:rPr>
        <w:t>37</w:t>
      </w:r>
      <w:r w:rsidRPr="00436209">
        <w:rPr>
          <w:rtl/>
          <w:lang w:val="fr-CH"/>
        </w:rPr>
        <w:t>-</w:t>
      </w:r>
      <w:r w:rsidRPr="00436209">
        <w:rPr>
          <w:rtl/>
          <w:lang w:val="fr-CH"/>
        </w:rPr>
        <w:tab/>
      </w:r>
      <w:r w:rsidRPr="00FC57D5">
        <w:rPr>
          <w:b/>
          <w:bCs/>
          <w:rtl/>
          <w:lang w:val="fr-CH"/>
        </w:rPr>
        <w:t>ينبغي للدولة الطرف أن تتخذ خطوات أخرى لضمان احترام حرية الفكر والوجدان والدين للجميع</w:t>
      </w:r>
      <w:r w:rsidR="00BA42F6" w:rsidRPr="00FC57D5">
        <w:rPr>
          <w:b/>
          <w:bCs/>
          <w:rtl/>
          <w:lang w:val="fr-CH"/>
        </w:rPr>
        <w:t>،</w:t>
      </w:r>
      <w:r w:rsidRPr="00FC57D5">
        <w:rPr>
          <w:b/>
          <w:bCs/>
          <w:rtl/>
          <w:lang w:val="fr-CH"/>
        </w:rPr>
        <w:t xml:space="preserve"> وأن تكفل توافق تشريعاتها وممارساتها توافقاً تاماً مع أحكام العهد. وينبغي لها أن تتخذ تدابير لضمان عدم تعرض المسلمين الذين يتحولون من الإسلام إلى دين آخر والمسلمات المتزوجات من غير مسلمين للتمييز والضغط الاجتماعي.</w:t>
      </w:r>
    </w:p>
    <w:p w14:paraId="53F303B8" w14:textId="77777777" w:rsidR="005E157B" w:rsidRPr="00FC57D5" w:rsidRDefault="005E157B" w:rsidP="00436209">
      <w:pPr>
        <w:pStyle w:val="H23GA"/>
        <w:spacing w:line="350" w:lineRule="exact"/>
      </w:pPr>
      <w:r w:rsidRPr="00FC57D5">
        <w:rPr>
          <w:rtl/>
        </w:rPr>
        <w:tab/>
      </w:r>
      <w:r w:rsidRPr="00FC57D5">
        <w:rPr>
          <w:rtl/>
        </w:rPr>
        <w:tab/>
        <w:t>حرية التعبير</w:t>
      </w:r>
    </w:p>
    <w:p w14:paraId="2CE29A9D" w14:textId="5795AF13" w:rsidR="005E157B" w:rsidRPr="00436209" w:rsidRDefault="005E157B" w:rsidP="00436209">
      <w:pPr>
        <w:pStyle w:val="SingleTxtGA"/>
        <w:spacing w:line="350" w:lineRule="exact"/>
        <w:rPr>
          <w:lang w:val="fr-CH"/>
        </w:rPr>
      </w:pPr>
      <w:r w:rsidRPr="00FC57D5">
        <w:rPr>
          <w:rtl/>
          <w:lang w:val="fr-CH"/>
        </w:rPr>
        <w:t>38</w:t>
      </w:r>
      <w:r w:rsidRPr="00436209">
        <w:rPr>
          <w:rtl/>
          <w:lang w:val="fr-CH"/>
        </w:rPr>
        <w:t>-</w:t>
      </w:r>
      <w:r w:rsidRPr="00436209">
        <w:rPr>
          <w:rtl/>
          <w:lang w:val="fr-CH"/>
        </w:rPr>
        <w:tab/>
        <w:t>يساور اللجنة القلق لأن أحكام القوانين المحلية قد تقيد بلا مبرر حرية التعبير</w:t>
      </w:r>
      <w:r w:rsidR="00BA42F6" w:rsidRPr="00436209">
        <w:rPr>
          <w:rtl/>
          <w:lang w:val="fr-CH"/>
        </w:rPr>
        <w:t>،</w:t>
      </w:r>
      <w:r w:rsidRPr="00436209">
        <w:rPr>
          <w:rtl/>
          <w:lang w:val="fr-CH"/>
        </w:rPr>
        <w:t xml:space="preserve"> بما في ذلك قانون المطبوعات والنشر لسنة </w:t>
      </w:r>
      <w:r w:rsidRPr="00FC57D5">
        <w:rPr>
          <w:rtl/>
          <w:lang w:val="fr-CH"/>
        </w:rPr>
        <w:t>1997</w:t>
      </w:r>
      <w:r w:rsidR="00BA42F6" w:rsidRPr="00436209">
        <w:rPr>
          <w:rtl/>
          <w:lang w:val="fr-CH"/>
        </w:rPr>
        <w:t>،</w:t>
      </w:r>
      <w:r w:rsidRPr="00436209">
        <w:rPr>
          <w:rtl/>
          <w:lang w:val="fr-CH"/>
        </w:rPr>
        <w:t xml:space="preserve"> وقانون الإعلام لسنة </w:t>
      </w:r>
      <w:r w:rsidRPr="00FC57D5">
        <w:rPr>
          <w:rtl/>
          <w:lang w:val="fr-CH"/>
        </w:rPr>
        <w:t>2012</w:t>
      </w:r>
      <w:r w:rsidR="00BA42F6" w:rsidRPr="00436209">
        <w:rPr>
          <w:rtl/>
          <w:lang w:val="fr-CH"/>
        </w:rPr>
        <w:t>،</w:t>
      </w:r>
      <w:r w:rsidRPr="00436209">
        <w:rPr>
          <w:rtl/>
          <w:lang w:val="fr-CH"/>
        </w:rPr>
        <w:t xml:space="preserve"> وقانون مكافحة الجرائم الإلكترونية لسنة </w:t>
      </w:r>
      <w:r w:rsidRPr="00FC57D5">
        <w:rPr>
          <w:rtl/>
          <w:lang w:val="fr-CH"/>
        </w:rPr>
        <w:t>2014</w:t>
      </w:r>
      <w:r w:rsidRPr="00436209">
        <w:rPr>
          <w:rtl/>
          <w:lang w:val="fr-CH"/>
        </w:rPr>
        <w:t>. ويساور اللجنة القلق أيض</w:t>
      </w:r>
      <w:r w:rsidR="00CA46B9">
        <w:rPr>
          <w:rtl/>
          <w:lang w:val="fr-CH"/>
        </w:rPr>
        <w:t xml:space="preserve">اً </w:t>
      </w:r>
      <w:r w:rsidRPr="00436209">
        <w:rPr>
          <w:rtl/>
          <w:lang w:val="fr-CH"/>
        </w:rPr>
        <w:t>إزاء الأحكام الفضفاضة والغامضة الواردة في القانون رقم (</w:t>
      </w:r>
      <w:r w:rsidRPr="00FC57D5">
        <w:rPr>
          <w:rtl/>
          <w:lang w:val="fr-CH"/>
        </w:rPr>
        <w:t>2</w:t>
      </w:r>
      <w:r w:rsidRPr="00436209">
        <w:rPr>
          <w:rtl/>
          <w:lang w:val="fr-CH"/>
        </w:rPr>
        <w:t xml:space="preserve">) لسنة </w:t>
      </w:r>
      <w:r w:rsidRPr="00FC57D5">
        <w:rPr>
          <w:rtl/>
          <w:lang w:val="fr-CH"/>
        </w:rPr>
        <w:t>2020</w:t>
      </w:r>
      <w:r w:rsidRPr="00436209">
        <w:rPr>
          <w:rtl/>
          <w:lang w:val="fr-CH"/>
        </w:rPr>
        <w:t xml:space="preserve"> المعدِّل لقانون العقوبات</w:t>
      </w:r>
      <w:r w:rsidR="00BA42F6" w:rsidRPr="00436209">
        <w:rPr>
          <w:rtl/>
          <w:lang w:val="fr-CH"/>
        </w:rPr>
        <w:t>،</w:t>
      </w:r>
      <w:r w:rsidRPr="00436209">
        <w:rPr>
          <w:rtl/>
          <w:lang w:val="fr-CH"/>
        </w:rPr>
        <w:t xml:space="preserve"> والتي يجوز بموجبها فرض عقوبة بالسجن لمدة تصل إلى خمس سنوات على نشر الشائعات أو الأخبار الكاذبة. ويساور اللجنة القلق كذلك لأن المادة </w:t>
      </w:r>
      <w:r w:rsidRPr="00FC57D5">
        <w:rPr>
          <w:rtl/>
          <w:lang w:val="fr-CH"/>
        </w:rPr>
        <w:t>36</w:t>
      </w:r>
      <w:r w:rsidRPr="00436209">
        <w:rPr>
          <w:rtl/>
          <w:lang w:val="fr-CH"/>
        </w:rPr>
        <w:t xml:space="preserve"> من قانون العقوبات الجنائية تجرِّم التشهير (المادة </w:t>
      </w:r>
      <w:r w:rsidRPr="00FC57D5">
        <w:rPr>
          <w:rtl/>
          <w:lang w:val="fr-CH"/>
        </w:rPr>
        <w:t>19</w:t>
      </w:r>
      <w:r w:rsidRPr="00436209">
        <w:rPr>
          <w:rtl/>
          <w:lang w:val="fr-CH"/>
        </w:rPr>
        <w:t xml:space="preserve">). </w:t>
      </w:r>
    </w:p>
    <w:p w14:paraId="4444C6D3" w14:textId="77777777" w:rsidR="005E157B" w:rsidRPr="00FC57D5" w:rsidRDefault="005E157B" w:rsidP="00436209">
      <w:pPr>
        <w:pStyle w:val="SingleTxtGA"/>
        <w:spacing w:line="350" w:lineRule="exact"/>
        <w:rPr>
          <w:b/>
          <w:bCs/>
          <w:lang w:val="fr-CH"/>
        </w:rPr>
      </w:pPr>
      <w:r w:rsidRPr="00FC57D5">
        <w:rPr>
          <w:rtl/>
          <w:lang w:val="fr-CH"/>
        </w:rPr>
        <w:t>39</w:t>
      </w:r>
      <w:r w:rsidRPr="00436209">
        <w:rPr>
          <w:rtl/>
          <w:lang w:val="fr-CH"/>
        </w:rPr>
        <w:t>-</w:t>
      </w:r>
      <w:r w:rsidRPr="00436209">
        <w:rPr>
          <w:rtl/>
          <w:lang w:val="fr-CH"/>
        </w:rPr>
        <w:tab/>
      </w:r>
      <w:r w:rsidRPr="00FC57D5">
        <w:rPr>
          <w:b/>
          <w:bCs/>
          <w:rtl/>
          <w:lang w:val="fr-CH"/>
        </w:rPr>
        <w:t>ينبغي للدولة الطرف أن تقوم بما يلي:</w:t>
      </w:r>
    </w:p>
    <w:p w14:paraId="43F8FEFB" w14:textId="6320635E" w:rsidR="005E157B" w:rsidRPr="00FC57D5" w:rsidRDefault="005E157B" w:rsidP="00436209">
      <w:pPr>
        <w:pStyle w:val="SingleTxtGA"/>
        <w:spacing w:line="350" w:lineRule="exact"/>
        <w:rPr>
          <w:b/>
          <w:bCs/>
          <w:lang w:val="fr-CH"/>
        </w:rPr>
      </w:pPr>
      <w:r w:rsidRPr="00436209">
        <w:rPr>
          <w:rtl/>
          <w:lang w:val="fr-CH"/>
        </w:rPr>
        <w:tab/>
        <w:t>(أ)</w:t>
      </w:r>
      <w:r w:rsidRPr="00436209">
        <w:rPr>
          <w:rtl/>
          <w:lang w:val="fr-CH"/>
        </w:rPr>
        <w:tab/>
      </w:r>
      <w:r w:rsidRPr="00FC57D5">
        <w:rPr>
          <w:b/>
          <w:bCs/>
          <w:rtl/>
          <w:lang w:val="fr-CH"/>
        </w:rPr>
        <w:t>تنقيح وتعديل التشريعات الوطنية التي قد تقيّد دون مبرر الحق في حرية التعبير</w:t>
      </w:r>
      <w:r w:rsidR="00BA42F6" w:rsidRPr="00FC57D5">
        <w:rPr>
          <w:b/>
          <w:bCs/>
          <w:rtl/>
          <w:lang w:val="fr-CH"/>
        </w:rPr>
        <w:t>،</w:t>
      </w:r>
      <w:r w:rsidRPr="00FC57D5">
        <w:rPr>
          <w:b/>
          <w:bCs/>
          <w:rtl/>
          <w:lang w:val="fr-CH"/>
        </w:rPr>
        <w:t xml:space="preserve"> بما في ذلك القوانين المذكورة أعلاه</w:t>
      </w:r>
      <w:r w:rsidR="00BA42F6" w:rsidRPr="00FC57D5">
        <w:rPr>
          <w:b/>
          <w:bCs/>
          <w:rtl/>
          <w:lang w:val="fr-CH"/>
        </w:rPr>
        <w:t>،</w:t>
      </w:r>
      <w:r w:rsidRPr="00FC57D5">
        <w:rPr>
          <w:b/>
          <w:bCs/>
          <w:rtl/>
          <w:lang w:val="fr-CH"/>
        </w:rPr>
        <w:t xml:space="preserve"> لجعلها متوائمة مع التزاماتها بمقتضى العهد؛ </w:t>
      </w:r>
    </w:p>
    <w:p w14:paraId="7ACB3F63" w14:textId="3E61A398" w:rsidR="005E157B" w:rsidRPr="00FC57D5" w:rsidRDefault="005E157B" w:rsidP="00436209">
      <w:pPr>
        <w:pStyle w:val="SingleTxtGA"/>
        <w:spacing w:line="350" w:lineRule="exact"/>
        <w:rPr>
          <w:b/>
          <w:bCs/>
          <w:lang w:val="fr-CH"/>
        </w:rPr>
      </w:pPr>
      <w:r w:rsidRPr="00436209">
        <w:rPr>
          <w:rtl/>
          <w:lang w:val="fr-CH"/>
        </w:rPr>
        <w:tab/>
        <w:t>(ب)</w:t>
      </w:r>
      <w:r w:rsidRPr="00436209">
        <w:rPr>
          <w:rtl/>
          <w:lang w:val="fr-CH"/>
        </w:rPr>
        <w:tab/>
      </w:r>
      <w:r w:rsidRPr="00FC57D5">
        <w:rPr>
          <w:b/>
          <w:bCs/>
          <w:rtl/>
          <w:lang w:val="fr-CH"/>
        </w:rPr>
        <w:t>كفالة توافق أي قيود على ممارسة حرية التعبير</w:t>
      </w:r>
      <w:r w:rsidR="00BA42F6" w:rsidRPr="00FC57D5">
        <w:rPr>
          <w:b/>
          <w:bCs/>
          <w:rtl/>
          <w:lang w:val="fr-CH"/>
        </w:rPr>
        <w:t>،</w:t>
      </w:r>
      <w:r w:rsidRPr="00FC57D5">
        <w:rPr>
          <w:b/>
          <w:bCs/>
          <w:rtl/>
          <w:lang w:val="fr-CH"/>
        </w:rPr>
        <w:t xml:space="preserve"> بما في ذلك على شبكة الإنترنت</w:t>
      </w:r>
      <w:r w:rsidR="00BA42F6" w:rsidRPr="00FC57D5">
        <w:rPr>
          <w:b/>
          <w:bCs/>
          <w:rtl/>
          <w:lang w:val="fr-CH"/>
        </w:rPr>
        <w:t>،</w:t>
      </w:r>
      <w:r w:rsidRPr="00FC57D5">
        <w:rPr>
          <w:b/>
          <w:bCs/>
          <w:rtl/>
          <w:lang w:val="fr-CH"/>
        </w:rPr>
        <w:t xml:space="preserve"> مع الشروط الصارمة الواردة في الفقرة 3 من المادة 19 من العهد؛ </w:t>
      </w:r>
    </w:p>
    <w:p w14:paraId="09DEA87C" w14:textId="0DC957EE" w:rsidR="005E157B" w:rsidRPr="00FC57D5" w:rsidRDefault="005E157B" w:rsidP="00436209">
      <w:pPr>
        <w:pStyle w:val="SingleTxtGA"/>
        <w:spacing w:line="350" w:lineRule="exact"/>
        <w:rPr>
          <w:b/>
          <w:bCs/>
          <w:lang w:val="fr-CH"/>
        </w:rPr>
      </w:pPr>
      <w:r w:rsidRPr="00436209">
        <w:rPr>
          <w:rtl/>
          <w:lang w:val="fr-CH"/>
        </w:rPr>
        <w:tab/>
        <w:t>(ج)</w:t>
      </w:r>
      <w:r w:rsidRPr="00436209">
        <w:rPr>
          <w:rtl/>
          <w:lang w:val="fr-CH"/>
        </w:rPr>
        <w:tab/>
      </w:r>
      <w:r w:rsidRPr="00FC57D5">
        <w:rPr>
          <w:b/>
          <w:bCs/>
          <w:rtl/>
          <w:lang w:val="fr-CH"/>
        </w:rPr>
        <w:t>النظر في إنهاء تجريم التشهير</w:t>
      </w:r>
      <w:r w:rsidR="00BA42F6" w:rsidRPr="00FC57D5">
        <w:rPr>
          <w:b/>
          <w:bCs/>
          <w:rtl/>
          <w:lang w:val="fr-CH"/>
        </w:rPr>
        <w:t>،</w:t>
      </w:r>
      <w:r w:rsidRPr="00FC57D5">
        <w:rPr>
          <w:b/>
          <w:bCs/>
          <w:rtl/>
          <w:lang w:val="fr-CH"/>
        </w:rPr>
        <w:t xml:space="preserve"> وعدم اللجوء بأي حال من الأحوال إلى القانون الجنائي إلا في أشد القضايا خطورةً</w:t>
      </w:r>
      <w:r w:rsidR="00BA42F6" w:rsidRPr="00FC57D5">
        <w:rPr>
          <w:b/>
          <w:bCs/>
          <w:rtl/>
          <w:lang w:val="fr-CH"/>
        </w:rPr>
        <w:t>،</w:t>
      </w:r>
      <w:r w:rsidRPr="00FC57D5">
        <w:rPr>
          <w:b/>
          <w:bCs/>
          <w:rtl/>
          <w:lang w:val="fr-CH"/>
        </w:rPr>
        <w:t xml:space="preserve"> واضعةً في اعتبارها أن السجن ليس بأي حال من الأحوال عقوبةً مناسبة على التشهير</w:t>
      </w:r>
      <w:r w:rsidR="00BA42F6" w:rsidRPr="00FC57D5">
        <w:rPr>
          <w:b/>
          <w:bCs/>
          <w:rtl/>
          <w:lang w:val="fr-CH"/>
        </w:rPr>
        <w:t>،</w:t>
      </w:r>
      <w:r w:rsidRPr="00FC57D5">
        <w:rPr>
          <w:b/>
          <w:bCs/>
          <w:rtl/>
          <w:lang w:val="fr-CH"/>
        </w:rPr>
        <w:t xml:space="preserve"> على النحو المبين في التعليق العام رقم 34(2011). </w:t>
      </w:r>
    </w:p>
    <w:p w14:paraId="3DF25B63" w14:textId="77777777" w:rsidR="005E157B" w:rsidRPr="00FC57D5" w:rsidRDefault="005E157B" w:rsidP="005E157B">
      <w:pPr>
        <w:pStyle w:val="H23GA"/>
      </w:pPr>
      <w:r w:rsidRPr="00FC57D5">
        <w:rPr>
          <w:rtl/>
        </w:rPr>
        <w:lastRenderedPageBreak/>
        <w:tab/>
      </w:r>
      <w:r w:rsidRPr="00FC57D5">
        <w:rPr>
          <w:rtl/>
        </w:rPr>
        <w:tab/>
        <w:t>الحق في التجمع السلمي وفي حرية تكوين الجمعيات</w:t>
      </w:r>
    </w:p>
    <w:p w14:paraId="15A8C39A" w14:textId="45535484" w:rsidR="005E157B" w:rsidRPr="00436209" w:rsidRDefault="005E157B" w:rsidP="005E157B">
      <w:pPr>
        <w:pStyle w:val="SingleTxtGA"/>
        <w:rPr>
          <w:lang w:val="fr-CH"/>
        </w:rPr>
      </w:pPr>
      <w:r w:rsidRPr="00FC57D5">
        <w:rPr>
          <w:rtl/>
          <w:lang w:val="fr-CH"/>
        </w:rPr>
        <w:t>40</w:t>
      </w:r>
      <w:r w:rsidRPr="00436209">
        <w:rPr>
          <w:rtl/>
          <w:lang w:val="fr-CH"/>
        </w:rPr>
        <w:t>-</w:t>
      </w:r>
      <w:r w:rsidRPr="00436209">
        <w:rPr>
          <w:rtl/>
          <w:lang w:val="fr-CH"/>
        </w:rPr>
        <w:tab/>
        <w:t>يساور اللجنة القلق لأن القانون رقم (</w:t>
      </w:r>
      <w:r w:rsidRPr="00FC57D5">
        <w:rPr>
          <w:rtl/>
          <w:lang w:val="fr-CH"/>
        </w:rPr>
        <w:t>18</w:t>
      </w:r>
      <w:r w:rsidRPr="00436209">
        <w:rPr>
          <w:rtl/>
          <w:lang w:val="fr-CH"/>
        </w:rPr>
        <w:t xml:space="preserve">) لسنة </w:t>
      </w:r>
      <w:r w:rsidRPr="00FC57D5">
        <w:rPr>
          <w:rtl/>
          <w:lang w:val="fr-CH"/>
        </w:rPr>
        <w:t>2004</w:t>
      </w:r>
      <w:r w:rsidRPr="00436209">
        <w:rPr>
          <w:rtl/>
          <w:lang w:val="fr-CH"/>
        </w:rPr>
        <w:t xml:space="preserve"> الذي ينظم الاجتماعات العامة والمسيرات يقضي بالحصول على إذن مسبق من وزارة الداخلية لتنظيم أي اجتماع عام. وتحيط اللجنة علم</w:t>
      </w:r>
      <w:r w:rsidR="00CA46B9">
        <w:rPr>
          <w:rtl/>
          <w:lang w:val="fr-CH"/>
        </w:rPr>
        <w:t xml:space="preserve">اً </w:t>
      </w:r>
      <w:r w:rsidRPr="00436209">
        <w:rPr>
          <w:rtl/>
          <w:lang w:val="fr-CH"/>
        </w:rPr>
        <w:t xml:space="preserve">بما قدمه وفد الدولة الطرف من معلومات تفيد بأن التشريع الجديد المتعلق بالجمعيات والمؤسسات الخاصة (المرسوم بقانون رقم </w:t>
      </w:r>
      <w:r w:rsidRPr="00FC57D5">
        <w:rPr>
          <w:rtl/>
          <w:lang w:val="fr-CH"/>
        </w:rPr>
        <w:t>21</w:t>
      </w:r>
      <w:r w:rsidRPr="00436209">
        <w:rPr>
          <w:rtl/>
          <w:lang w:val="fr-CH"/>
        </w:rPr>
        <w:t xml:space="preserve"> لعام </w:t>
      </w:r>
      <w:r w:rsidRPr="00FC57D5">
        <w:rPr>
          <w:rtl/>
          <w:lang w:val="fr-CH"/>
        </w:rPr>
        <w:t>2020</w:t>
      </w:r>
      <w:r w:rsidRPr="00436209">
        <w:rPr>
          <w:rtl/>
          <w:lang w:val="fr-CH"/>
        </w:rPr>
        <w:t>) لا يفرض قيود</w:t>
      </w:r>
      <w:r w:rsidR="00CA46B9">
        <w:rPr>
          <w:rtl/>
          <w:lang w:val="fr-CH"/>
        </w:rPr>
        <w:t xml:space="preserve">اً </w:t>
      </w:r>
      <w:r w:rsidRPr="00436209">
        <w:rPr>
          <w:rtl/>
          <w:lang w:val="fr-CH"/>
        </w:rPr>
        <w:t>معينة على إنشاء المنظمات غير الحكومية. ومع ذلك</w:t>
      </w:r>
      <w:r w:rsidR="00BA42F6" w:rsidRPr="00436209">
        <w:rPr>
          <w:rtl/>
          <w:lang w:val="fr-CH"/>
        </w:rPr>
        <w:t>،</w:t>
      </w:r>
      <w:r w:rsidRPr="00436209">
        <w:rPr>
          <w:rtl/>
          <w:lang w:val="fr-CH"/>
        </w:rPr>
        <w:t xml:space="preserve"> يساور اللجنة القلق إزاء التقارير التي تفيد بأن هذه الجمعيات والمنظمات</w:t>
      </w:r>
      <w:r w:rsidR="00BA42F6" w:rsidRPr="00436209">
        <w:rPr>
          <w:rtl/>
          <w:lang w:val="fr-CH"/>
        </w:rPr>
        <w:t>،</w:t>
      </w:r>
      <w:r w:rsidRPr="00436209">
        <w:rPr>
          <w:rtl/>
          <w:lang w:val="fr-CH"/>
        </w:rPr>
        <w:t xml:space="preserve"> لكي تُنشأ</w:t>
      </w:r>
      <w:r w:rsidR="00BA42F6" w:rsidRPr="00436209">
        <w:rPr>
          <w:rtl/>
          <w:lang w:val="fr-CH"/>
        </w:rPr>
        <w:t>،</w:t>
      </w:r>
      <w:r w:rsidRPr="00436209">
        <w:rPr>
          <w:rtl/>
          <w:lang w:val="fr-CH"/>
        </w:rPr>
        <w:t xml:space="preserve"> مطالبة بالامتثال لشروط غامضة وبالحصول على ترخيص من وزارة التنمية الإدارية والعمل والشؤون الاجتماعية. وتأسف اللجنة لعدم تقديم معلومات عن حق العمال المنزليين وموظفي الحكومة والعمال المهاجرين في تشكيل نقابات عمالية والانضمام إليها (المادتان </w:t>
      </w:r>
      <w:r w:rsidRPr="00FC57D5">
        <w:rPr>
          <w:rtl/>
          <w:lang w:val="fr-CH"/>
        </w:rPr>
        <w:t>21</w:t>
      </w:r>
      <w:r w:rsidRPr="00436209">
        <w:rPr>
          <w:rtl/>
          <w:lang w:val="fr-CH"/>
        </w:rPr>
        <w:t xml:space="preserve"> و</w:t>
      </w:r>
      <w:r w:rsidRPr="00FC57D5">
        <w:rPr>
          <w:rtl/>
          <w:lang w:val="fr-CH"/>
        </w:rPr>
        <w:t>22</w:t>
      </w:r>
      <w:r w:rsidRPr="00436209">
        <w:rPr>
          <w:rtl/>
          <w:lang w:val="fr-CH"/>
        </w:rPr>
        <w:t xml:space="preserve">). </w:t>
      </w:r>
    </w:p>
    <w:p w14:paraId="498C67A7" w14:textId="77777777" w:rsidR="005E157B" w:rsidRPr="00FC57D5" w:rsidRDefault="005E157B" w:rsidP="005E157B">
      <w:pPr>
        <w:pStyle w:val="SingleTxtGA"/>
        <w:rPr>
          <w:b/>
          <w:bCs/>
          <w:lang w:val="fr-CH"/>
        </w:rPr>
      </w:pPr>
      <w:r w:rsidRPr="00FC57D5">
        <w:rPr>
          <w:rtl/>
          <w:lang w:val="fr-CH"/>
        </w:rPr>
        <w:t>41</w:t>
      </w:r>
      <w:r w:rsidRPr="00436209">
        <w:rPr>
          <w:rtl/>
          <w:lang w:val="fr-CH"/>
        </w:rPr>
        <w:t>-</w:t>
      </w:r>
      <w:r w:rsidRPr="00436209">
        <w:rPr>
          <w:rtl/>
          <w:lang w:val="fr-CH"/>
        </w:rPr>
        <w:tab/>
      </w:r>
      <w:r w:rsidRPr="00FC57D5">
        <w:rPr>
          <w:b/>
          <w:bCs/>
          <w:rtl/>
          <w:lang w:val="fr-CH"/>
        </w:rPr>
        <w:t>ينبغي للدولة الطرف أن تقوم بما يلي:</w:t>
      </w:r>
    </w:p>
    <w:p w14:paraId="4B444FF9" w14:textId="59136F2B" w:rsidR="005E157B" w:rsidRPr="00FC57D5" w:rsidRDefault="005E157B" w:rsidP="005E157B">
      <w:pPr>
        <w:pStyle w:val="SingleTxtGA"/>
        <w:rPr>
          <w:rFonts w:ascii="Times New Roman Bold" w:hAnsi="Times New Roman Bold" w:hint="eastAsia"/>
          <w:b/>
          <w:bCs/>
          <w:lang w:val="fr-CH"/>
        </w:rPr>
      </w:pPr>
      <w:r w:rsidRPr="00975B5C">
        <w:rPr>
          <w:spacing w:val="-4"/>
          <w:rtl/>
          <w:lang w:val="fr-CH"/>
        </w:rPr>
        <w:tab/>
        <w:t>(أ)</w:t>
      </w:r>
      <w:r w:rsidRPr="00975B5C">
        <w:rPr>
          <w:spacing w:val="-4"/>
          <w:rtl/>
          <w:lang w:val="fr-CH"/>
        </w:rPr>
        <w:tab/>
      </w:r>
      <w:r w:rsidRPr="00FC57D5">
        <w:rPr>
          <w:b/>
          <w:bCs/>
          <w:spacing w:val="-4"/>
          <w:rtl/>
          <w:lang w:val="fr-CH"/>
        </w:rPr>
        <w:t>مواءمة تشريعاتها المنظِّمة للتجمع السلمي مواءمة تامة مع العهد</w:t>
      </w:r>
      <w:r w:rsidR="00BA42F6" w:rsidRPr="00FC57D5">
        <w:rPr>
          <w:b/>
          <w:bCs/>
          <w:spacing w:val="-4"/>
          <w:rtl/>
          <w:lang w:val="fr-CH"/>
        </w:rPr>
        <w:t>،</w:t>
      </w:r>
      <w:r w:rsidRPr="00FC57D5">
        <w:rPr>
          <w:b/>
          <w:bCs/>
          <w:spacing w:val="-4"/>
          <w:rtl/>
          <w:lang w:val="fr-CH"/>
        </w:rPr>
        <w:t xml:space="preserve"> واضعة في اعتبارها </w:t>
      </w:r>
      <w:r w:rsidRPr="00FC57D5">
        <w:rPr>
          <w:rFonts w:ascii="Times New Roman Bold" w:hAnsi="Times New Roman Bold"/>
          <w:b/>
          <w:bCs/>
          <w:rtl/>
          <w:lang w:val="fr-CH"/>
        </w:rPr>
        <w:t>تعليق اللجنة العام رقم 37(2020)</w:t>
      </w:r>
      <w:r w:rsidR="00BA42F6" w:rsidRPr="00FC57D5">
        <w:rPr>
          <w:rFonts w:ascii="Times New Roman Bold" w:hAnsi="Times New Roman Bold"/>
          <w:b/>
          <w:bCs/>
          <w:rtl/>
          <w:lang w:val="fr-CH"/>
        </w:rPr>
        <w:t>،</w:t>
      </w:r>
      <w:r w:rsidRPr="00FC57D5">
        <w:rPr>
          <w:rFonts w:ascii="Times New Roman Bold" w:hAnsi="Times New Roman Bold"/>
          <w:b/>
          <w:bCs/>
          <w:rtl/>
          <w:lang w:val="fr-CH"/>
        </w:rPr>
        <w:t xml:space="preserve"> وكفالة امتثال أي قيود يتم فرضها للشروط الصارمة الواردة فيه؛ </w:t>
      </w:r>
    </w:p>
    <w:p w14:paraId="141D94A7" w14:textId="72C4ED8B" w:rsidR="005E157B" w:rsidRPr="00FC57D5" w:rsidRDefault="005E157B" w:rsidP="005E157B">
      <w:pPr>
        <w:pStyle w:val="SingleTxtGA"/>
        <w:rPr>
          <w:rFonts w:ascii="Times New Roman Bold" w:hAnsi="Times New Roman Bold" w:hint="eastAsia"/>
          <w:b/>
          <w:bCs/>
          <w:spacing w:val="-4"/>
          <w:lang w:val="fr-CH"/>
        </w:rPr>
      </w:pPr>
      <w:r w:rsidRPr="00436209">
        <w:rPr>
          <w:rtl/>
          <w:lang w:val="fr-CH"/>
        </w:rPr>
        <w:tab/>
        <w:t>(ب)</w:t>
      </w:r>
      <w:r w:rsidRPr="00436209">
        <w:rPr>
          <w:rtl/>
          <w:lang w:val="fr-CH"/>
        </w:rPr>
        <w:tab/>
      </w:r>
      <w:r w:rsidRPr="00FC57D5">
        <w:rPr>
          <w:rFonts w:ascii="Times New Roman Bold" w:hAnsi="Times New Roman Bold"/>
          <w:b/>
          <w:bCs/>
          <w:spacing w:val="-4"/>
          <w:rtl/>
          <w:lang w:val="fr-CH"/>
        </w:rPr>
        <w:t>مواءمة تشريعاتها المنظِّمة للجمعيات والمنظمات غير الحكومية مواءمة تامة مع العهد</w:t>
      </w:r>
      <w:r w:rsidR="00BA42F6" w:rsidRPr="00FC57D5">
        <w:rPr>
          <w:rFonts w:ascii="Times New Roman Bold" w:hAnsi="Times New Roman Bold"/>
          <w:b/>
          <w:bCs/>
          <w:spacing w:val="-4"/>
          <w:rtl/>
          <w:lang w:val="fr-CH"/>
        </w:rPr>
        <w:t>،</w:t>
      </w:r>
      <w:r w:rsidRPr="00FC57D5">
        <w:rPr>
          <w:b/>
          <w:bCs/>
          <w:rtl/>
          <w:lang w:val="fr-CH"/>
        </w:rPr>
        <w:t xml:space="preserve"> </w:t>
      </w:r>
      <w:r w:rsidRPr="00FC57D5">
        <w:rPr>
          <w:rFonts w:ascii="Times New Roman Bold" w:hAnsi="Times New Roman Bold"/>
          <w:b/>
          <w:bCs/>
          <w:spacing w:val="-4"/>
          <w:rtl/>
          <w:lang w:val="fr-CH"/>
        </w:rPr>
        <w:t>واتخاذ تدابير لضمان تمكين تلك الجمعيات</w:t>
      </w:r>
      <w:r w:rsidR="00BA42F6" w:rsidRPr="00FC57D5">
        <w:rPr>
          <w:rFonts w:ascii="Times New Roman Bold" w:hAnsi="Times New Roman Bold"/>
          <w:b/>
          <w:bCs/>
          <w:spacing w:val="-4"/>
          <w:rtl/>
          <w:lang w:val="fr-CH"/>
        </w:rPr>
        <w:t>،</w:t>
      </w:r>
      <w:r w:rsidRPr="00FC57D5">
        <w:rPr>
          <w:rFonts w:ascii="Times New Roman Bold" w:hAnsi="Times New Roman Bold"/>
          <w:b/>
          <w:bCs/>
          <w:spacing w:val="-4"/>
          <w:rtl/>
          <w:lang w:val="fr-CH"/>
        </w:rPr>
        <w:t xml:space="preserve"> بما فيها المنظمات غير الحكومية</w:t>
      </w:r>
      <w:r w:rsidR="00BA42F6" w:rsidRPr="00FC57D5">
        <w:rPr>
          <w:rFonts w:ascii="Times New Roman Bold" w:hAnsi="Times New Roman Bold"/>
          <w:b/>
          <w:bCs/>
          <w:spacing w:val="-4"/>
          <w:rtl/>
          <w:lang w:val="fr-CH"/>
        </w:rPr>
        <w:t>،</w:t>
      </w:r>
      <w:r w:rsidRPr="00FC57D5">
        <w:rPr>
          <w:rFonts w:ascii="Times New Roman Bold" w:hAnsi="Times New Roman Bold"/>
          <w:b/>
          <w:bCs/>
          <w:spacing w:val="-4"/>
          <w:rtl/>
          <w:lang w:val="fr-CH"/>
        </w:rPr>
        <w:t xml:space="preserve"> من العمل بحرية واستقلالية؛</w:t>
      </w:r>
    </w:p>
    <w:p w14:paraId="6CD2CE7E" w14:textId="4AE8E728" w:rsidR="005E157B" w:rsidRPr="00FC57D5" w:rsidRDefault="005E157B" w:rsidP="005E157B">
      <w:pPr>
        <w:pStyle w:val="SingleTxtGA"/>
        <w:rPr>
          <w:b/>
          <w:bCs/>
          <w:lang w:val="fr-CH"/>
        </w:rPr>
      </w:pPr>
      <w:r w:rsidRPr="00436209">
        <w:rPr>
          <w:rtl/>
          <w:lang w:val="fr-CH"/>
        </w:rPr>
        <w:tab/>
        <w:t>(ج)</w:t>
      </w:r>
      <w:r w:rsidRPr="00436209">
        <w:rPr>
          <w:rtl/>
          <w:lang w:val="fr-CH"/>
        </w:rPr>
        <w:tab/>
      </w:r>
      <w:r w:rsidRPr="00FC57D5">
        <w:rPr>
          <w:rFonts w:ascii="Times New Roman Bold" w:hAnsi="Times New Roman Bold"/>
          <w:b/>
          <w:bCs/>
          <w:spacing w:val="-4"/>
          <w:rtl/>
          <w:lang w:val="fr-CH"/>
        </w:rPr>
        <w:t>ضمان أن يمارَس الحق في تشكيل النقابات العمالية والانضمام إليها من دون تمييز</w:t>
      </w:r>
      <w:r w:rsidR="00BA42F6" w:rsidRPr="00FC57D5">
        <w:rPr>
          <w:rFonts w:ascii="Times New Roman Bold" w:hAnsi="Times New Roman Bold"/>
          <w:b/>
          <w:bCs/>
          <w:spacing w:val="-4"/>
          <w:rtl/>
          <w:lang w:val="fr-CH"/>
        </w:rPr>
        <w:t>،</w:t>
      </w:r>
      <w:r w:rsidRPr="00FC57D5">
        <w:rPr>
          <w:rFonts w:ascii="Times New Roman Bold" w:hAnsi="Times New Roman Bold"/>
          <w:b/>
          <w:bCs/>
          <w:spacing w:val="-4"/>
          <w:rtl/>
          <w:lang w:val="fr-CH"/>
        </w:rPr>
        <w:t xml:space="preserve"> </w:t>
      </w:r>
      <w:r w:rsidRPr="00FC57D5">
        <w:rPr>
          <w:b/>
          <w:bCs/>
          <w:rtl/>
          <w:lang w:val="fr-CH"/>
        </w:rPr>
        <w:t xml:space="preserve">وضمان توافق أي قيود تفرض عليه مع أحكام المادة 22 من العهد. </w:t>
      </w:r>
    </w:p>
    <w:p w14:paraId="6E489BBA" w14:textId="77777777" w:rsidR="005E157B" w:rsidRPr="00FC57D5" w:rsidRDefault="005E157B" w:rsidP="005E157B">
      <w:pPr>
        <w:pStyle w:val="H23GA"/>
      </w:pPr>
      <w:r w:rsidRPr="00FC57D5">
        <w:rPr>
          <w:rtl/>
        </w:rPr>
        <w:tab/>
      </w:r>
      <w:r w:rsidRPr="00FC57D5">
        <w:rPr>
          <w:rtl/>
        </w:rPr>
        <w:tab/>
        <w:t>حقوق الطفل</w:t>
      </w:r>
    </w:p>
    <w:p w14:paraId="728B1465" w14:textId="5C8DE11A" w:rsidR="005E157B" w:rsidRPr="00436209" w:rsidRDefault="005E157B" w:rsidP="005E157B">
      <w:pPr>
        <w:pStyle w:val="SingleTxtGA"/>
        <w:rPr>
          <w:lang w:val="fr-CH"/>
        </w:rPr>
      </w:pPr>
      <w:r w:rsidRPr="00FC57D5">
        <w:rPr>
          <w:rtl/>
          <w:lang w:val="fr-CH"/>
        </w:rPr>
        <w:t>42</w:t>
      </w:r>
      <w:r w:rsidRPr="00436209">
        <w:rPr>
          <w:rtl/>
          <w:lang w:val="fr-CH"/>
        </w:rPr>
        <w:t>-</w:t>
      </w:r>
      <w:r w:rsidRPr="00436209">
        <w:rPr>
          <w:rtl/>
          <w:lang w:val="fr-CH"/>
        </w:rPr>
        <w:tab/>
        <w:t xml:space="preserve">تعرب اللجنة عن قلقها لأن سن المسؤولية الجنائية محددة حالياً في </w:t>
      </w:r>
      <w:r w:rsidRPr="00FC57D5">
        <w:rPr>
          <w:rtl/>
          <w:lang w:val="fr-CH"/>
        </w:rPr>
        <w:t>7</w:t>
      </w:r>
      <w:r w:rsidRPr="00436209">
        <w:rPr>
          <w:rtl/>
          <w:lang w:val="fr-CH"/>
        </w:rPr>
        <w:t xml:space="preserve"> سنوات</w:t>
      </w:r>
      <w:r w:rsidR="00BA42F6" w:rsidRPr="00436209">
        <w:rPr>
          <w:rtl/>
          <w:lang w:val="fr-CH"/>
        </w:rPr>
        <w:t>،</w:t>
      </w:r>
      <w:r w:rsidRPr="00436209">
        <w:rPr>
          <w:rtl/>
          <w:lang w:val="fr-CH"/>
        </w:rPr>
        <w:t xml:space="preserve"> وتحيط علماً في الوقت ذاته بأن قانون الطفل الجديد سيكفل مواءمة سن المسؤولية الجنائية مع المعايير الدولية. وتعرب اللجنة عن قلقها أيضاً لعدم وجود تشريع يحظر العقوبة الجسدية للأطفال حظراً صريحاً وواضحاً في جميع الظروف (المادتان </w:t>
      </w:r>
      <w:r w:rsidRPr="00FC57D5">
        <w:rPr>
          <w:rtl/>
          <w:lang w:val="fr-CH"/>
        </w:rPr>
        <w:t>7</w:t>
      </w:r>
      <w:r w:rsidRPr="00436209">
        <w:rPr>
          <w:rtl/>
          <w:lang w:val="fr-CH"/>
        </w:rPr>
        <w:t xml:space="preserve"> و</w:t>
      </w:r>
      <w:r w:rsidRPr="00FC57D5">
        <w:rPr>
          <w:rtl/>
          <w:lang w:val="fr-CH"/>
        </w:rPr>
        <w:t>24</w:t>
      </w:r>
      <w:r w:rsidRPr="00436209">
        <w:rPr>
          <w:rtl/>
          <w:lang w:val="fr-CH"/>
        </w:rPr>
        <w:t>).</w:t>
      </w:r>
    </w:p>
    <w:p w14:paraId="5C9A6133" w14:textId="5A86C94D" w:rsidR="005E157B" w:rsidRPr="00FC57D5" w:rsidRDefault="005E157B" w:rsidP="005E157B">
      <w:pPr>
        <w:pStyle w:val="SingleTxtGA"/>
        <w:rPr>
          <w:b/>
          <w:bCs/>
          <w:lang w:val="fr-CH"/>
        </w:rPr>
      </w:pPr>
      <w:r w:rsidRPr="00FC57D5">
        <w:rPr>
          <w:rtl/>
          <w:lang w:val="fr-CH"/>
        </w:rPr>
        <w:t>43</w:t>
      </w:r>
      <w:r w:rsidRPr="00436209">
        <w:rPr>
          <w:rtl/>
          <w:lang w:val="fr-CH"/>
        </w:rPr>
        <w:t>-</w:t>
      </w:r>
      <w:r w:rsidRPr="00436209">
        <w:rPr>
          <w:rtl/>
          <w:lang w:val="fr-CH"/>
        </w:rPr>
        <w:tab/>
      </w:r>
      <w:r w:rsidRPr="00FC57D5">
        <w:rPr>
          <w:b/>
          <w:bCs/>
          <w:rtl/>
          <w:lang w:val="fr-CH"/>
        </w:rPr>
        <w:t>ينبغي للدولة الطرف أن تعجِّل باعتماد قانون الطفل وأن ترفع سن المسؤولية الجنائية وفقا</w:t>
      </w:r>
      <w:r w:rsidR="00975B5C" w:rsidRPr="00FC57D5">
        <w:rPr>
          <w:rFonts w:hint="cs"/>
          <w:b/>
          <w:bCs/>
          <w:rtl/>
          <w:lang w:val="fr-CH"/>
        </w:rPr>
        <w:t>ً</w:t>
      </w:r>
      <w:r w:rsidRPr="00FC57D5">
        <w:rPr>
          <w:b/>
          <w:bCs/>
          <w:rtl/>
          <w:lang w:val="fr-CH"/>
        </w:rPr>
        <w:t xml:space="preserve"> للمعايير المقبولة دولياً. وينبغي للدولة الطرف أيض</w:t>
      </w:r>
      <w:r w:rsidR="00CA46B9" w:rsidRPr="00FC57D5">
        <w:rPr>
          <w:b/>
          <w:bCs/>
          <w:rtl/>
          <w:lang w:val="fr-CH"/>
        </w:rPr>
        <w:t xml:space="preserve">اً </w:t>
      </w:r>
      <w:r w:rsidRPr="00FC57D5">
        <w:rPr>
          <w:b/>
          <w:bCs/>
          <w:rtl/>
          <w:lang w:val="fr-CH"/>
        </w:rPr>
        <w:t>أن تسن تشريع</w:t>
      </w:r>
      <w:r w:rsidR="00CA46B9" w:rsidRPr="00FC57D5">
        <w:rPr>
          <w:b/>
          <w:bCs/>
          <w:rtl/>
          <w:lang w:val="fr-CH"/>
        </w:rPr>
        <w:t xml:space="preserve">اً </w:t>
      </w:r>
      <w:r w:rsidRPr="00FC57D5">
        <w:rPr>
          <w:b/>
          <w:bCs/>
          <w:rtl/>
          <w:lang w:val="fr-CH"/>
        </w:rPr>
        <w:t>يحظر العقوبة الجسدية للأطفال حظراً صريحاً وواضحاً في جميع الظروف.</w:t>
      </w:r>
    </w:p>
    <w:p w14:paraId="298FBAC5" w14:textId="77777777" w:rsidR="005E157B" w:rsidRPr="00FC57D5" w:rsidRDefault="005E157B" w:rsidP="005E157B">
      <w:pPr>
        <w:pStyle w:val="H23GA"/>
      </w:pPr>
      <w:r w:rsidRPr="00FC57D5">
        <w:rPr>
          <w:rtl/>
        </w:rPr>
        <w:tab/>
      </w:r>
      <w:r w:rsidRPr="00FC57D5">
        <w:rPr>
          <w:rtl/>
        </w:rPr>
        <w:tab/>
        <w:t>المشاركة في الشؤون العامة</w:t>
      </w:r>
    </w:p>
    <w:p w14:paraId="09FCD7DC" w14:textId="4B2849A2" w:rsidR="005E157B" w:rsidRPr="00436209" w:rsidRDefault="005E157B" w:rsidP="005E157B">
      <w:pPr>
        <w:pStyle w:val="SingleTxtGA"/>
        <w:rPr>
          <w:lang w:val="fr-CH"/>
        </w:rPr>
      </w:pPr>
      <w:r w:rsidRPr="00FC57D5">
        <w:rPr>
          <w:rtl/>
          <w:lang w:val="fr-CH"/>
        </w:rPr>
        <w:t>44</w:t>
      </w:r>
      <w:r w:rsidRPr="00436209">
        <w:rPr>
          <w:rtl/>
          <w:lang w:val="fr-CH"/>
        </w:rPr>
        <w:t>-</w:t>
      </w:r>
      <w:r w:rsidRPr="00436209">
        <w:rPr>
          <w:rtl/>
          <w:lang w:val="fr-CH"/>
        </w:rPr>
        <w:tab/>
        <w:t xml:space="preserve">ترحب اللجنة بإجراء أول انتخابات لمجلس الشورى في تشرين الأول/أكتوبر </w:t>
      </w:r>
      <w:r w:rsidRPr="00FC57D5">
        <w:rPr>
          <w:rtl/>
          <w:lang w:val="fr-CH"/>
        </w:rPr>
        <w:t>2021</w:t>
      </w:r>
      <w:r w:rsidRPr="00436209">
        <w:rPr>
          <w:rtl/>
          <w:lang w:val="fr-CH"/>
        </w:rPr>
        <w:t>. ومع ذلك</w:t>
      </w:r>
      <w:r w:rsidR="00BA42F6" w:rsidRPr="00436209">
        <w:rPr>
          <w:rtl/>
          <w:lang w:val="fr-CH"/>
        </w:rPr>
        <w:t>،</w:t>
      </w:r>
      <w:r w:rsidRPr="00436209">
        <w:rPr>
          <w:rtl/>
          <w:lang w:val="fr-CH"/>
        </w:rPr>
        <w:t xml:space="preserve"> يساور اللجنة القلق لأن القوانين الانتخابية المعتمدة في تموز/يوليه </w:t>
      </w:r>
      <w:r w:rsidRPr="00FC57D5">
        <w:rPr>
          <w:rtl/>
          <w:lang w:val="fr-CH"/>
        </w:rPr>
        <w:t>2021</w:t>
      </w:r>
      <w:r w:rsidR="00BA42F6" w:rsidRPr="00436209">
        <w:rPr>
          <w:rtl/>
          <w:lang w:val="fr-CH"/>
        </w:rPr>
        <w:t>،</w:t>
      </w:r>
      <w:r w:rsidRPr="00436209">
        <w:rPr>
          <w:rtl/>
          <w:lang w:val="fr-CH"/>
        </w:rPr>
        <w:t xml:space="preserve"> ولا سيما القانون رقم (</w:t>
      </w:r>
      <w:r w:rsidRPr="00FC57D5">
        <w:rPr>
          <w:rtl/>
          <w:lang w:val="fr-CH"/>
        </w:rPr>
        <w:t>6</w:t>
      </w:r>
      <w:r w:rsidRPr="00436209">
        <w:rPr>
          <w:rtl/>
          <w:lang w:val="fr-CH"/>
        </w:rPr>
        <w:t>) لسنة</w:t>
      </w:r>
      <w:r w:rsidR="0072750D">
        <w:rPr>
          <w:rFonts w:hint="eastAsia"/>
          <w:rtl/>
          <w:lang w:val="fr-CH"/>
        </w:rPr>
        <w:t> </w:t>
      </w:r>
      <w:r w:rsidRPr="00FC57D5">
        <w:rPr>
          <w:rtl/>
          <w:lang w:val="fr-CH"/>
        </w:rPr>
        <w:t>2021</w:t>
      </w:r>
      <w:r w:rsidR="00BA42F6" w:rsidRPr="00436209">
        <w:rPr>
          <w:rtl/>
          <w:lang w:val="fr-CH"/>
        </w:rPr>
        <w:t>،</w:t>
      </w:r>
      <w:r w:rsidRPr="00436209">
        <w:rPr>
          <w:rtl/>
          <w:lang w:val="fr-CH"/>
        </w:rPr>
        <w:t xml:space="preserve"> منحت حق التصويت في تلك الانتخابات للمواطنين القطريين ولمن يكون جدّه قطرياً ومن مواليد قطر</w:t>
      </w:r>
      <w:r w:rsidR="00BA42F6" w:rsidRPr="00436209">
        <w:rPr>
          <w:rtl/>
          <w:lang w:val="fr-CH"/>
        </w:rPr>
        <w:t>،</w:t>
      </w:r>
      <w:r w:rsidRPr="00436209">
        <w:rPr>
          <w:rtl/>
          <w:lang w:val="fr-CH"/>
        </w:rPr>
        <w:t xml:space="preserve"> مستثنية جميع المواطنين القطريين بالتجنُّس (المواد </w:t>
      </w:r>
      <w:r w:rsidRPr="00FC57D5">
        <w:rPr>
          <w:rtl/>
          <w:lang w:val="fr-CH"/>
        </w:rPr>
        <w:t>2</w:t>
      </w:r>
      <w:r w:rsidRPr="00436209">
        <w:rPr>
          <w:rtl/>
          <w:lang w:val="fr-CH"/>
        </w:rPr>
        <w:t xml:space="preserve"> و</w:t>
      </w:r>
      <w:r w:rsidRPr="00FC57D5">
        <w:rPr>
          <w:rtl/>
          <w:lang w:val="fr-CH"/>
        </w:rPr>
        <w:t>25</w:t>
      </w:r>
      <w:r w:rsidRPr="00436209">
        <w:rPr>
          <w:rtl/>
          <w:lang w:val="fr-CH"/>
        </w:rPr>
        <w:t xml:space="preserve"> و</w:t>
      </w:r>
      <w:r w:rsidRPr="00FC57D5">
        <w:rPr>
          <w:rtl/>
          <w:lang w:val="fr-CH"/>
        </w:rPr>
        <w:t>26</w:t>
      </w:r>
      <w:r w:rsidRPr="00436209">
        <w:rPr>
          <w:rtl/>
          <w:lang w:val="fr-CH"/>
        </w:rPr>
        <w:t xml:space="preserve">). </w:t>
      </w:r>
    </w:p>
    <w:p w14:paraId="43F1C08E" w14:textId="78EF6A10" w:rsidR="005E157B" w:rsidRPr="00FC57D5" w:rsidRDefault="005E157B" w:rsidP="005E157B">
      <w:pPr>
        <w:pStyle w:val="SingleTxtGA"/>
        <w:rPr>
          <w:b/>
          <w:bCs/>
          <w:lang w:val="fr-CH"/>
        </w:rPr>
      </w:pPr>
      <w:r w:rsidRPr="00FC57D5">
        <w:rPr>
          <w:rtl/>
          <w:lang w:val="fr-CH"/>
        </w:rPr>
        <w:t>45</w:t>
      </w:r>
      <w:r w:rsidRPr="00436209">
        <w:rPr>
          <w:rtl/>
          <w:lang w:val="fr-CH"/>
        </w:rPr>
        <w:t>-</w:t>
      </w:r>
      <w:r w:rsidRPr="00436209">
        <w:rPr>
          <w:rtl/>
          <w:lang w:val="fr-CH"/>
        </w:rPr>
        <w:tab/>
      </w:r>
      <w:r w:rsidRPr="00FC57D5">
        <w:rPr>
          <w:b/>
          <w:bCs/>
          <w:rtl/>
          <w:lang w:val="fr-CH"/>
        </w:rPr>
        <w:t>ينبغي للدولة الطرف أن توائم إطارها القانوني الانتخابي مواءمة تامةً مع أحكام العهد</w:t>
      </w:r>
      <w:r w:rsidR="00BA42F6" w:rsidRPr="00FC57D5">
        <w:rPr>
          <w:b/>
          <w:bCs/>
          <w:rtl/>
          <w:lang w:val="fr-CH"/>
        </w:rPr>
        <w:t>،</w:t>
      </w:r>
      <w:r w:rsidRPr="00FC57D5">
        <w:rPr>
          <w:b/>
          <w:bCs/>
          <w:rtl/>
          <w:lang w:val="fr-CH"/>
        </w:rPr>
        <w:t xml:space="preserve"> ولا</w:t>
      </w:r>
      <w:r w:rsidR="00C138E0" w:rsidRPr="00FC57D5">
        <w:rPr>
          <w:rFonts w:hint="cs"/>
          <w:b/>
          <w:bCs/>
          <w:rtl/>
          <w:lang w:val="fr-CH"/>
        </w:rPr>
        <w:t> </w:t>
      </w:r>
      <w:r w:rsidRPr="00FC57D5">
        <w:rPr>
          <w:b/>
          <w:bCs/>
          <w:rtl/>
          <w:lang w:val="fr-CH"/>
        </w:rPr>
        <w:t>سيما من خلال إلغاء القيود المفروضة على حق المواطنين القطريين بالتجنُّس في التصويت</w:t>
      </w:r>
      <w:r w:rsidR="00BA42F6" w:rsidRPr="00FC57D5">
        <w:rPr>
          <w:b/>
          <w:bCs/>
          <w:rtl/>
          <w:lang w:val="fr-CH"/>
        </w:rPr>
        <w:t>،</w:t>
      </w:r>
      <w:r w:rsidRPr="00FC57D5">
        <w:rPr>
          <w:b/>
          <w:bCs/>
          <w:rtl/>
          <w:lang w:val="fr-CH"/>
        </w:rPr>
        <w:t xml:space="preserve"> وأن</w:t>
      </w:r>
      <w:r w:rsidR="00C138E0" w:rsidRPr="00FC57D5">
        <w:rPr>
          <w:rFonts w:hint="cs"/>
          <w:b/>
          <w:bCs/>
          <w:rtl/>
          <w:lang w:val="fr-CH"/>
        </w:rPr>
        <w:t> </w:t>
      </w:r>
      <w:r w:rsidRPr="00FC57D5">
        <w:rPr>
          <w:b/>
          <w:bCs/>
          <w:rtl/>
          <w:lang w:val="fr-CH"/>
        </w:rPr>
        <w:t>تكفل تمتع جميع المواطنين على قدم المساواة فيما بينهم بالحقوق المعترف بها في المادة 25 من</w:t>
      </w:r>
      <w:r w:rsidR="00C138E0" w:rsidRPr="00FC57D5">
        <w:rPr>
          <w:rFonts w:hint="cs"/>
          <w:b/>
          <w:bCs/>
          <w:rtl/>
          <w:lang w:val="fr-CH"/>
        </w:rPr>
        <w:t> </w:t>
      </w:r>
      <w:r w:rsidRPr="00FC57D5">
        <w:rPr>
          <w:b/>
          <w:bCs/>
          <w:rtl/>
          <w:lang w:val="fr-CH"/>
        </w:rPr>
        <w:t xml:space="preserve">العهد. </w:t>
      </w:r>
    </w:p>
    <w:p w14:paraId="2C74D2D1" w14:textId="2CEA4485" w:rsidR="005E157B" w:rsidRPr="00FC57D5" w:rsidRDefault="005E157B" w:rsidP="005E157B">
      <w:pPr>
        <w:pStyle w:val="H1GA"/>
      </w:pPr>
      <w:r w:rsidRPr="00FC57D5">
        <w:rPr>
          <w:rtl/>
        </w:rPr>
        <w:lastRenderedPageBreak/>
        <w:tab/>
        <w:t>دال-</w:t>
      </w:r>
      <w:r w:rsidRPr="00FC57D5">
        <w:rPr>
          <w:rtl/>
        </w:rPr>
        <w:tab/>
        <w:t>النشر والمتابعة</w:t>
      </w:r>
    </w:p>
    <w:p w14:paraId="18C85D7E" w14:textId="3F15C0F3" w:rsidR="005E157B" w:rsidRPr="00FC57D5" w:rsidRDefault="005E157B" w:rsidP="005E157B">
      <w:pPr>
        <w:pStyle w:val="SingleTxtGA"/>
        <w:rPr>
          <w:b/>
          <w:bCs/>
          <w:lang w:val="fr-CH"/>
        </w:rPr>
      </w:pPr>
      <w:r w:rsidRPr="00FC57D5">
        <w:rPr>
          <w:rtl/>
          <w:lang w:val="fr-CH"/>
        </w:rPr>
        <w:t>46</w:t>
      </w:r>
      <w:r w:rsidRPr="00436209">
        <w:rPr>
          <w:rtl/>
          <w:lang w:val="fr-CH"/>
        </w:rPr>
        <w:t>-</w:t>
      </w:r>
      <w:r w:rsidRPr="00436209">
        <w:rPr>
          <w:rtl/>
          <w:lang w:val="fr-CH"/>
        </w:rPr>
        <w:tab/>
      </w:r>
      <w:r w:rsidRPr="00FC57D5">
        <w:rPr>
          <w:b/>
          <w:bCs/>
          <w:rtl/>
          <w:lang w:val="fr-CH"/>
        </w:rPr>
        <w:t>ينبغي للدولة الطرف أن تنشر على نطاق واسع نص العهد وتقريرها الأولي وردودها المكتوبة على قائمة المسائل المحالة من اللجنة وهذه الملاحظات الختامية</w:t>
      </w:r>
      <w:r w:rsidR="00BA42F6" w:rsidRPr="00FC57D5">
        <w:rPr>
          <w:b/>
          <w:bCs/>
          <w:rtl/>
          <w:lang w:val="fr-CH"/>
        </w:rPr>
        <w:t>،</w:t>
      </w:r>
      <w:r w:rsidRPr="00FC57D5">
        <w:rPr>
          <w:b/>
          <w:bCs/>
          <w:rtl/>
          <w:lang w:val="fr-CH"/>
        </w:rPr>
        <w:t xml:space="preserve"> بهدف إذكاء وعي السلطات القضائية والتشريعية والإدارية والمجتمع المدني والمنظمات غير الحكومية العاملة في البلد وعامة الجمهور بالحقوق المكرسة في العهد.</w:t>
      </w:r>
    </w:p>
    <w:p w14:paraId="59B75BC6" w14:textId="593026BF" w:rsidR="005E157B" w:rsidRPr="00FC57D5" w:rsidRDefault="005E157B" w:rsidP="005E157B">
      <w:pPr>
        <w:pStyle w:val="SingleTxtGA"/>
        <w:rPr>
          <w:b/>
          <w:bCs/>
          <w:lang w:val="fr-CH"/>
        </w:rPr>
      </w:pPr>
      <w:r w:rsidRPr="00FC57D5">
        <w:rPr>
          <w:rtl/>
          <w:lang w:val="fr-CH"/>
        </w:rPr>
        <w:t>47</w:t>
      </w:r>
      <w:r w:rsidRPr="00436209">
        <w:rPr>
          <w:rtl/>
          <w:lang w:val="fr-CH"/>
        </w:rPr>
        <w:t>-</w:t>
      </w:r>
      <w:r w:rsidRPr="00436209">
        <w:rPr>
          <w:rtl/>
          <w:lang w:val="fr-CH"/>
        </w:rPr>
        <w:tab/>
      </w:r>
      <w:r w:rsidRPr="00FC57D5">
        <w:rPr>
          <w:b/>
          <w:bCs/>
          <w:rtl/>
          <w:lang w:val="fr-CH"/>
        </w:rPr>
        <w:t>ووفقاً للفقرة 1 من المادة 75 من النظام الداخلي للجنة</w:t>
      </w:r>
      <w:r w:rsidR="00BA42F6" w:rsidRPr="00FC57D5">
        <w:rPr>
          <w:b/>
          <w:bCs/>
          <w:rtl/>
          <w:lang w:val="fr-CH"/>
        </w:rPr>
        <w:t>،</w:t>
      </w:r>
      <w:r w:rsidRPr="00FC57D5">
        <w:rPr>
          <w:b/>
          <w:bCs/>
          <w:rtl/>
          <w:lang w:val="fr-CH"/>
        </w:rPr>
        <w:t xml:space="preserve"> يتعين على الدولة الطرف أن تقدم</w:t>
      </w:r>
      <w:r w:rsidR="00BA42F6" w:rsidRPr="00FC57D5">
        <w:rPr>
          <w:b/>
          <w:bCs/>
          <w:rtl/>
          <w:lang w:val="fr-CH"/>
        </w:rPr>
        <w:t>،</w:t>
      </w:r>
      <w:r w:rsidRPr="00FC57D5">
        <w:rPr>
          <w:b/>
          <w:bCs/>
          <w:rtl/>
          <w:lang w:val="fr-CH"/>
        </w:rPr>
        <w:t xml:space="preserve"> بحلول</w:t>
      </w:r>
      <w:r w:rsidR="00D84D8D" w:rsidRPr="00FC57D5">
        <w:rPr>
          <w:rFonts w:hint="cs"/>
          <w:b/>
          <w:bCs/>
          <w:rtl/>
          <w:lang w:val="fr-CH"/>
        </w:rPr>
        <w:t xml:space="preserve"> </w:t>
      </w:r>
      <w:r w:rsidRPr="00FC57D5">
        <w:rPr>
          <w:b/>
          <w:bCs/>
          <w:rtl/>
          <w:lang w:val="fr-CH"/>
        </w:rPr>
        <w:t>25 آذار/مارس 2025</w:t>
      </w:r>
      <w:r w:rsidR="00BA42F6" w:rsidRPr="00FC57D5">
        <w:rPr>
          <w:b/>
          <w:bCs/>
          <w:rtl/>
          <w:lang w:val="fr-CH"/>
        </w:rPr>
        <w:t>،</w:t>
      </w:r>
      <w:r w:rsidRPr="00FC57D5">
        <w:rPr>
          <w:b/>
          <w:bCs/>
          <w:rtl/>
          <w:lang w:val="fr-CH"/>
        </w:rPr>
        <w:t xml:space="preserve"> معلومات عن تنفيذ التوصيات التي قدمتها اللجنة في الفقرات 21 (عقوبة الإعدام) و23 (حالات وفاة العمال المهاجرين) و45 (المشاركة في الشؤون العامة) أعلاه.</w:t>
      </w:r>
    </w:p>
    <w:p w14:paraId="6A48B330" w14:textId="2E2D76F2" w:rsidR="005E157B" w:rsidRPr="00FC57D5" w:rsidRDefault="005E157B" w:rsidP="005E157B">
      <w:pPr>
        <w:pStyle w:val="SingleTxtGA"/>
        <w:rPr>
          <w:b/>
          <w:bCs/>
          <w:rtl/>
          <w:lang w:val="fr-CH"/>
        </w:rPr>
      </w:pPr>
      <w:r w:rsidRPr="00FC57D5">
        <w:rPr>
          <w:rtl/>
          <w:lang w:val="fr-CH"/>
        </w:rPr>
        <w:t>48</w:t>
      </w:r>
      <w:r w:rsidRPr="00436209">
        <w:rPr>
          <w:rtl/>
          <w:lang w:val="fr-CH"/>
        </w:rPr>
        <w:t>-</w:t>
      </w:r>
      <w:r w:rsidRPr="00436209">
        <w:rPr>
          <w:rtl/>
          <w:lang w:val="fr-CH"/>
        </w:rPr>
        <w:tab/>
      </w:r>
      <w:r w:rsidRPr="00FC57D5">
        <w:rPr>
          <w:b/>
          <w:bCs/>
          <w:rtl/>
          <w:lang w:val="fr-CH"/>
        </w:rPr>
        <w:t>ووفقاً لجولة الاستعراض المتوقعة للجنة</w:t>
      </w:r>
      <w:r w:rsidR="00BA42F6" w:rsidRPr="00FC57D5">
        <w:rPr>
          <w:b/>
          <w:bCs/>
          <w:rtl/>
          <w:lang w:val="fr-CH"/>
        </w:rPr>
        <w:t>،</w:t>
      </w:r>
      <w:r w:rsidRPr="00FC57D5">
        <w:rPr>
          <w:b/>
          <w:bCs/>
          <w:rtl/>
          <w:lang w:val="fr-CH"/>
        </w:rPr>
        <w:t xml:space="preserve"> ستتلقى الدولة الطرف في عام 2028 قائمة المسائل التي تضعها اللجنة قبل تقديم التقرير</w:t>
      </w:r>
      <w:r w:rsidR="00BA42F6" w:rsidRPr="00FC57D5">
        <w:rPr>
          <w:b/>
          <w:bCs/>
          <w:rtl/>
          <w:lang w:val="fr-CH"/>
        </w:rPr>
        <w:t>،</w:t>
      </w:r>
      <w:r w:rsidRPr="00FC57D5">
        <w:rPr>
          <w:b/>
          <w:bCs/>
          <w:rtl/>
          <w:lang w:val="fr-CH"/>
        </w:rPr>
        <w:t xml:space="preserve"> ويُتوقع منها أن تقدم ردودها على قائمة المسائل في غضون سنة واحدة</w:t>
      </w:r>
      <w:r w:rsidR="00BA42F6" w:rsidRPr="00FC57D5">
        <w:rPr>
          <w:b/>
          <w:bCs/>
          <w:rtl/>
          <w:lang w:val="fr-CH"/>
        </w:rPr>
        <w:t>،</w:t>
      </w:r>
      <w:r w:rsidRPr="00FC57D5">
        <w:rPr>
          <w:b/>
          <w:bCs/>
          <w:rtl/>
          <w:lang w:val="fr-CH"/>
        </w:rPr>
        <w:t xml:space="preserve"> على أن تشكل تلك الردود تقريرها الدوري الثاني. وتطلب اللجنة أيضاً إلى الدولة الطرف</w:t>
      </w:r>
      <w:r w:rsidR="00BA42F6" w:rsidRPr="00FC57D5">
        <w:rPr>
          <w:b/>
          <w:bCs/>
          <w:rtl/>
          <w:lang w:val="fr-CH"/>
        </w:rPr>
        <w:t>،</w:t>
      </w:r>
      <w:r w:rsidRPr="00FC57D5">
        <w:rPr>
          <w:b/>
          <w:bCs/>
          <w:rtl/>
          <w:lang w:val="fr-CH"/>
        </w:rPr>
        <w:t xml:space="preserve"> في سياق إعداد التقرير</w:t>
      </w:r>
      <w:r w:rsidR="00BA42F6" w:rsidRPr="00FC57D5">
        <w:rPr>
          <w:b/>
          <w:bCs/>
          <w:rtl/>
          <w:lang w:val="fr-CH"/>
        </w:rPr>
        <w:t>،</w:t>
      </w:r>
      <w:r w:rsidRPr="00FC57D5">
        <w:rPr>
          <w:b/>
          <w:bCs/>
          <w:rtl/>
          <w:lang w:val="fr-CH"/>
        </w:rPr>
        <w:t xml:space="preserve"> أن تتشاور على نطاق واسع مع المجتمع المدني والمنظمات غير الحكومية </w:t>
      </w:r>
      <w:r w:rsidRPr="00FC57D5">
        <w:rPr>
          <w:rFonts w:ascii="Times New Roman Bold" w:hAnsi="Times New Roman Bold"/>
          <w:b/>
          <w:bCs/>
          <w:spacing w:val="-4"/>
          <w:rtl/>
          <w:lang w:val="fr-CH"/>
        </w:rPr>
        <w:t>العاملة في البلد. ووفقاً لقرار الجمعية العامة 68/268</w:t>
      </w:r>
      <w:r w:rsidR="00BA42F6" w:rsidRPr="00FC57D5">
        <w:rPr>
          <w:rFonts w:ascii="Times New Roman Bold" w:hAnsi="Times New Roman Bold"/>
          <w:b/>
          <w:bCs/>
          <w:spacing w:val="-4"/>
          <w:rtl/>
          <w:lang w:val="fr-CH"/>
        </w:rPr>
        <w:t>،</w:t>
      </w:r>
      <w:r w:rsidRPr="00FC57D5">
        <w:rPr>
          <w:rFonts w:ascii="Times New Roman Bold" w:hAnsi="Times New Roman Bold"/>
          <w:b/>
          <w:bCs/>
          <w:spacing w:val="-4"/>
          <w:rtl/>
          <w:lang w:val="fr-CH"/>
        </w:rPr>
        <w:t xml:space="preserve"> يبلغ الحد الأقصى لعدد كلمات التقرير 200 21</w:t>
      </w:r>
      <w:r w:rsidRPr="00FC57D5">
        <w:rPr>
          <w:b/>
          <w:bCs/>
          <w:rtl/>
          <w:lang w:val="fr-CH"/>
        </w:rPr>
        <w:t xml:space="preserve"> كلمة. وسوف يُجرى الحوار البنّاء المقبل مع الدولة الطرف في عام 2030 في جنيف.</w:t>
      </w:r>
    </w:p>
    <w:p w14:paraId="0854EFB3" w14:textId="3D7C5AA1" w:rsidR="005E157B" w:rsidRPr="00436209" w:rsidRDefault="005E157B" w:rsidP="005E157B">
      <w:pPr>
        <w:pStyle w:val="SingleTxtGA"/>
        <w:jc w:val="center"/>
        <w:rPr>
          <w:u w:val="single"/>
          <w:rtl/>
        </w:rPr>
      </w:pPr>
      <w:r w:rsidRPr="00436209">
        <w:rPr>
          <w:u w:val="single"/>
          <w:rtl/>
        </w:rPr>
        <w:tab/>
      </w:r>
      <w:r w:rsidRPr="00436209">
        <w:rPr>
          <w:u w:val="single"/>
          <w:rtl/>
        </w:rPr>
        <w:tab/>
      </w:r>
      <w:r w:rsidRPr="00436209">
        <w:rPr>
          <w:u w:val="single"/>
          <w:rtl/>
        </w:rPr>
        <w:tab/>
      </w:r>
    </w:p>
    <w:sectPr w:rsidR="005E157B" w:rsidRPr="00436209" w:rsidSect="00030DB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58B4" w14:textId="77777777" w:rsidR="0060228E" w:rsidRPr="002901D9" w:rsidRDefault="0060228E" w:rsidP="00DC4D4B">
      <w:pPr>
        <w:spacing w:after="60" w:line="240" w:lineRule="auto"/>
        <w:ind w:left="57"/>
        <w:rPr>
          <w:i/>
          <w:iCs/>
        </w:rPr>
      </w:pPr>
      <w:r>
        <w:rPr>
          <w:rFonts w:hint="cs"/>
          <w:i/>
          <w:iCs/>
          <w:rtl/>
        </w:rPr>
        <w:t>الحواشي</w:t>
      </w:r>
    </w:p>
  </w:endnote>
  <w:endnote w:type="continuationSeparator" w:id="0">
    <w:p w14:paraId="75749C01" w14:textId="77777777" w:rsidR="0060228E" w:rsidRDefault="0060228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078A" w14:textId="3EA17214" w:rsidR="00C504FA" w:rsidRPr="00C504FA" w:rsidRDefault="00C504FA" w:rsidP="00C504FA">
    <w:pPr>
      <w:pStyle w:val="Footer"/>
      <w:tabs>
        <w:tab w:val="right" w:pos="9638"/>
      </w:tabs>
      <w:rPr>
        <w:b/>
        <w:sz w:val="18"/>
        <w:lang w:val="en-US"/>
      </w:rPr>
    </w:pPr>
    <w:r>
      <w:rPr>
        <w:lang w:val="en-US"/>
      </w:rPr>
      <w:t>GE.22-06047</w:t>
    </w:r>
    <w:r>
      <w:rPr>
        <w:lang w:val="en-US"/>
      </w:rPr>
      <w:tab/>
    </w:r>
    <w:r w:rsidRPr="00C504FA">
      <w:rPr>
        <w:b/>
        <w:sz w:val="18"/>
        <w:lang w:val="en-US"/>
      </w:rPr>
      <w:fldChar w:fldCharType="begin"/>
    </w:r>
    <w:r w:rsidRPr="00C504FA">
      <w:rPr>
        <w:b/>
        <w:sz w:val="18"/>
        <w:lang w:val="en-US"/>
      </w:rPr>
      <w:instrText xml:space="preserve"> PAGE  \* MERGEFORMAT </w:instrText>
    </w:r>
    <w:r w:rsidRPr="00C504FA">
      <w:rPr>
        <w:b/>
        <w:sz w:val="18"/>
        <w:lang w:val="en-US"/>
      </w:rPr>
      <w:fldChar w:fldCharType="separate"/>
    </w:r>
    <w:r w:rsidRPr="00C504FA">
      <w:rPr>
        <w:b/>
        <w:noProof/>
        <w:sz w:val="18"/>
        <w:lang w:val="en-US"/>
      </w:rPr>
      <w:t>2</w:t>
    </w:r>
    <w:r w:rsidRPr="00C504F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00D8" w14:textId="7E6CDD39" w:rsidR="006959B0" w:rsidRPr="00C504FA" w:rsidRDefault="00C504FA" w:rsidP="00C504F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GE.22-06047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47D1" w14:textId="3F359E56" w:rsidR="00DE50B1" w:rsidRPr="00C504FA" w:rsidRDefault="00C504FA" w:rsidP="00C504FA">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94B78A6" wp14:editId="5E3F8E1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22-06047 (A)</w:t>
    </w:r>
    <w:r>
      <w:rPr>
        <w:noProof/>
        <w:sz w:val="20"/>
        <w:lang w:val="en-US"/>
      </w:rPr>
      <w:drawing>
        <wp:anchor distT="0" distB="0" distL="114300" distR="114300" simplePos="0" relativeHeight="251659264" behindDoc="0" locked="0" layoutInCell="1" allowOverlap="1" wp14:anchorId="44F0FB74" wp14:editId="617E55B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A39B" w14:textId="77777777" w:rsidR="0060228E" w:rsidRPr="008A49D2" w:rsidRDefault="0060228E"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248DC49" w14:textId="77777777" w:rsidR="0060228E" w:rsidRDefault="0060228E" w:rsidP="00656392">
      <w:pPr>
        <w:spacing w:line="240" w:lineRule="auto"/>
      </w:pPr>
      <w:r>
        <w:continuationSeparator/>
      </w:r>
    </w:p>
  </w:footnote>
  <w:footnote w:id="1">
    <w:p w14:paraId="1F8CCA48" w14:textId="1852EB2A" w:rsidR="005E157B" w:rsidRPr="005E157B" w:rsidRDefault="005E157B" w:rsidP="00BA42F6">
      <w:pPr>
        <w:pStyle w:val="FootnoteText1"/>
        <w:spacing w:line="260" w:lineRule="exact"/>
        <w:rPr>
          <w:rtl/>
        </w:rPr>
      </w:pPr>
      <w:r>
        <w:rPr>
          <w:rtl/>
        </w:rPr>
        <w:t>*</w:t>
      </w:r>
      <w:r>
        <w:rPr>
          <w:rtl/>
        </w:rPr>
        <w:tab/>
      </w:r>
      <w:r w:rsidRPr="005E157B">
        <w:rPr>
          <w:rtl/>
        </w:rPr>
        <w:t xml:space="preserve">اعتمدتها اللجنة في دورتها </w:t>
      </w:r>
      <w:r w:rsidRPr="00FC57D5">
        <w:rPr>
          <w:rtl/>
        </w:rPr>
        <w:t>134</w:t>
      </w:r>
      <w:r w:rsidRPr="005E157B">
        <w:rPr>
          <w:rtl/>
        </w:rPr>
        <w:t xml:space="preserve"> (</w:t>
      </w:r>
      <w:r w:rsidRPr="00FC57D5">
        <w:rPr>
          <w:rtl/>
        </w:rPr>
        <w:t>28</w:t>
      </w:r>
      <w:r w:rsidRPr="005E157B">
        <w:rPr>
          <w:rtl/>
        </w:rPr>
        <w:t xml:space="preserve"> شباط/فبراير - </w:t>
      </w:r>
      <w:r w:rsidRPr="00FC57D5">
        <w:rPr>
          <w:rtl/>
        </w:rPr>
        <w:t>25</w:t>
      </w:r>
      <w:r w:rsidRPr="005E157B">
        <w:rPr>
          <w:rtl/>
        </w:rPr>
        <w:t xml:space="preserve"> آذار/مارس </w:t>
      </w:r>
      <w:r w:rsidRPr="00FC57D5">
        <w:rPr>
          <w:rtl/>
        </w:rPr>
        <w:t>2022</w:t>
      </w:r>
      <w:r w:rsidRPr="005E157B">
        <w:rPr>
          <w:rtl/>
        </w:rPr>
        <w:t>).</w:t>
      </w:r>
    </w:p>
  </w:footnote>
  <w:footnote w:id="2">
    <w:p w14:paraId="4E2D9759" w14:textId="2907697D" w:rsidR="005E157B" w:rsidRPr="005E157B" w:rsidRDefault="005E157B" w:rsidP="00BA42F6">
      <w:pPr>
        <w:pStyle w:val="FootnoteText1"/>
        <w:spacing w:line="260" w:lineRule="exact"/>
        <w:rPr>
          <w:rtl/>
        </w:rPr>
      </w:pPr>
      <w:r w:rsidRPr="005E157B">
        <w:rPr>
          <w:rtl/>
        </w:rPr>
        <w:t>(</w:t>
      </w:r>
      <w:r w:rsidRPr="00FC57D5">
        <w:rPr>
          <w:rStyle w:val="FootnoteReference"/>
          <w:vertAlign w:val="baseline"/>
        </w:rPr>
        <w:footnoteRef/>
      </w:r>
      <w:r w:rsidRPr="005E157B">
        <w:rPr>
          <w:rtl/>
        </w:rPr>
        <w:t>)</w:t>
      </w:r>
      <w:r>
        <w:tab/>
      </w:r>
      <w:hyperlink r:id="rId1" w:history="1">
        <w:r w:rsidRPr="00BA42F6">
          <w:rPr>
            <w:rStyle w:val="Hyperlink"/>
          </w:rPr>
          <w:t>CCPR/C/QAT/</w:t>
        </w:r>
        <w:r w:rsidRPr="00FC57D5">
          <w:rPr>
            <w:rStyle w:val="Hyperlink"/>
          </w:rPr>
          <w:t>1</w:t>
        </w:r>
      </w:hyperlink>
      <w:r>
        <w:rPr>
          <w:rFonts w:hint="cs"/>
          <w:rtl/>
        </w:rPr>
        <w:t>.</w:t>
      </w:r>
    </w:p>
  </w:footnote>
  <w:footnote w:id="3">
    <w:p w14:paraId="6FEDF62D" w14:textId="77777777" w:rsidR="00C52B6C" w:rsidRPr="005E157B" w:rsidRDefault="00C52B6C" w:rsidP="00C52B6C">
      <w:pPr>
        <w:pStyle w:val="FootnoteText1"/>
        <w:spacing w:line="260" w:lineRule="exact"/>
        <w:rPr>
          <w:rtl/>
        </w:rPr>
      </w:pPr>
      <w:r w:rsidRPr="005E157B">
        <w:rPr>
          <w:rtl/>
        </w:rPr>
        <w:t>(</w:t>
      </w:r>
      <w:r w:rsidRPr="00FC57D5">
        <w:rPr>
          <w:rStyle w:val="FootnoteReference"/>
          <w:vertAlign w:val="baseline"/>
        </w:rPr>
        <w:footnoteRef/>
      </w:r>
      <w:r w:rsidRPr="005E157B">
        <w:rPr>
          <w:rtl/>
        </w:rPr>
        <w:t>)</w:t>
      </w:r>
      <w:r>
        <w:tab/>
      </w:r>
      <w:r>
        <w:rPr>
          <w:rFonts w:hint="cs"/>
          <w:rtl/>
        </w:rPr>
        <w:t xml:space="preserve">انظر </w:t>
      </w:r>
      <w:hyperlink r:id="rId2" w:history="1">
        <w:r w:rsidRPr="00BA42F6">
          <w:rPr>
            <w:rStyle w:val="Hyperlink"/>
          </w:rPr>
          <w:t>CCPR/C/SR.</w:t>
        </w:r>
        <w:r w:rsidRPr="00FC57D5">
          <w:rPr>
            <w:rStyle w:val="Hyperlink"/>
          </w:rPr>
          <w:t>3837</w:t>
        </w:r>
      </w:hyperlink>
      <w:r>
        <w:rPr>
          <w:rFonts w:hint="cs"/>
          <w:rtl/>
        </w:rPr>
        <w:t xml:space="preserve"> و</w:t>
      </w:r>
      <w:hyperlink r:id="rId3" w:history="1">
        <w:r w:rsidRPr="00BA42F6">
          <w:rPr>
            <w:rStyle w:val="Hyperlink"/>
          </w:rPr>
          <w:t>CCPR/C/SR.</w:t>
        </w:r>
        <w:r w:rsidRPr="00FC57D5">
          <w:rPr>
            <w:rStyle w:val="Hyperlink"/>
          </w:rPr>
          <w:t>3838</w:t>
        </w:r>
      </w:hyperlink>
      <w:r>
        <w:rPr>
          <w:rFonts w:hint="cs"/>
          <w:rtl/>
        </w:rPr>
        <w:t>.</w:t>
      </w:r>
    </w:p>
  </w:footnote>
  <w:footnote w:id="4">
    <w:p w14:paraId="19295E1A" w14:textId="77777777" w:rsidR="00424F14" w:rsidRPr="005E157B" w:rsidRDefault="00424F14" w:rsidP="00424F14">
      <w:pPr>
        <w:pStyle w:val="FootnoteText1"/>
        <w:spacing w:line="260" w:lineRule="exact"/>
        <w:rPr>
          <w:rtl/>
        </w:rPr>
      </w:pPr>
      <w:r w:rsidRPr="005E157B">
        <w:rPr>
          <w:rtl/>
        </w:rPr>
        <w:t>(</w:t>
      </w:r>
      <w:r w:rsidRPr="00FC57D5">
        <w:rPr>
          <w:rStyle w:val="FootnoteReference"/>
          <w:vertAlign w:val="baseline"/>
        </w:rPr>
        <w:footnoteRef/>
      </w:r>
      <w:r w:rsidRPr="005E157B">
        <w:rPr>
          <w:rtl/>
        </w:rPr>
        <w:t>)</w:t>
      </w:r>
      <w:r>
        <w:tab/>
      </w:r>
      <w:hyperlink r:id="rId4" w:history="1">
        <w:r w:rsidRPr="00BA42F6">
          <w:rPr>
            <w:rStyle w:val="Hyperlink"/>
          </w:rPr>
          <w:t>CCPR/C/QAT/RQ/</w:t>
        </w:r>
        <w:r w:rsidRPr="00FC57D5">
          <w:rPr>
            <w:rStyle w:val="Hyperlink"/>
          </w:rPr>
          <w:t>1</w:t>
        </w:r>
      </w:hyperlink>
      <w:r>
        <w:rPr>
          <w:rFonts w:hint="cs"/>
          <w:rtl/>
        </w:rPr>
        <w:t>.</w:t>
      </w:r>
    </w:p>
  </w:footnote>
  <w:footnote w:id="5">
    <w:p w14:paraId="00E12584" w14:textId="77777777" w:rsidR="00424F14" w:rsidRPr="005E157B" w:rsidRDefault="00424F14" w:rsidP="00424F14">
      <w:pPr>
        <w:pStyle w:val="FootnoteText1"/>
        <w:spacing w:line="260" w:lineRule="exact"/>
        <w:rPr>
          <w:rtl/>
        </w:rPr>
      </w:pPr>
      <w:r w:rsidRPr="005E157B">
        <w:rPr>
          <w:rtl/>
        </w:rPr>
        <w:t>(</w:t>
      </w:r>
      <w:r w:rsidRPr="00FC57D5">
        <w:rPr>
          <w:rStyle w:val="FootnoteReference"/>
          <w:vertAlign w:val="baseline"/>
        </w:rPr>
        <w:footnoteRef/>
      </w:r>
      <w:r w:rsidRPr="005E157B">
        <w:rPr>
          <w:rtl/>
        </w:rPr>
        <w:t>)</w:t>
      </w:r>
      <w:r>
        <w:tab/>
      </w:r>
      <w:hyperlink r:id="rId5" w:history="1">
        <w:r w:rsidRPr="00BA42F6">
          <w:rPr>
            <w:rStyle w:val="Hyperlink"/>
          </w:rPr>
          <w:t>CCPR/C/QAT/Q/</w:t>
        </w:r>
        <w:r w:rsidRPr="00FC57D5">
          <w:rPr>
            <w:rStyle w:val="Hyperlink"/>
          </w:rPr>
          <w:t>1</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2445" w14:textId="1BB97827" w:rsidR="00C504FA" w:rsidRPr="00C504FA" w:rsidRDefault="00C504FA" w:rsidP="00C504F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11015">
      <w:t>CCPR/C/QAT/CO/1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3C37" w14:textId="6FF6F1DB" w:rsidR="00C504FA" w:rsidRPr="00C504FA" w:rsidRDefault="00C504FA" w:rsidP="00C504FA">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11015">
      <w:t>CCPR/C/QAT/CO/1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8E"/>
    <w:rsid w:val="000076D5"/>
    <w:rsid w:val="00030DB4"/>
    <w:rsid w:val="00043663"/>
    <w:rsid w:val="000437B8"/>
    <w:rsid w:val="000505CF"/>
    <w:rsid w:val="00085A1B"/>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D1062"/>
    <w:rsid w:val="00402051"/>
    <w:rsid w:val="00420D7B"/>
    <w:rsid w:val="00424F14"/>
    <w:rsid w:val="00436209"/>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157B"/>
    <w:rsid w:val="005E5217"/>
    <w:rsid w:val="005F0FA4"/>
    <w:rsid w:val="005F30EE"/>
    <w:rsid w:val="005F5271"/>
    <w:rsid w:val="0060228E"/>
    <w:rsid w:val="0060473A"/>
    <w:rsid w:val="00617024"/>
    <w:rsid w:val="00621120"/>
    <w:rsid w:val="00646316"/>
    <w:rsid w:val="00652221"/>
    <w:rsid w:val="00656392"/>
    <w:rsid w:val="006645EC"/>
    <w:rsid w:val="0068781D"/>
    <w:rsid w:val="006959B0"/>
    <w:rsid w:val="006B3E27"/>
    <w:rsid w:val="006B6507"/>
    <w:rsid w:val="006C104C"/>
    <w:rsid w:val="006C632E"/>
    <w:rsid w:val="00717FB3"/>
    <w:rsid w:val="0072750D"/>
    <w:rsid w:val="00730446"/>
    <w:rsid w:val="00733704"/>
    <w:rsid w:val="0078071A"/>
    <w:rsid w:val="00787022"/>
    <w:rsid w:val="00787E1E"/>
    <w:rsid w:val="00852A9A"/>
    <w:rsid w:val="008A49D2"/>
    <w:rsid w:val="008F49E1"/>
    <w:rsid w:val="0090370F"/>
    <w:rsid w:val="009269D2"/>
    <w:rsid w:val="00942135"/>
    <w:rsid w:val="009521B0"/>
    <w:rsid w:val="00957437"/>
    <w:rsid w:val="00975B5C"/>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A42F6"/>
    <w:rsid w:val="00BB09A0"/>
    <w:rsid w:val="00C11015"/>
    <w:rsid w:val="00C138E0"/>
    <w:rsid w:val="00C175A6"/>
    <w:rsid w:val="00C41DCF"/>
    <w:rsid w:val="00C42AF7"/>
    <w:rsid w:val="00C438D7"/>
    <w:rsid w:val="00C504FA"/>
    <w:rsid w:val="00C52B6C"/>
    <w:rsid w:val="00C62C20"/>
    <w:rsid w:val="00C81B50"/>
    <w:rsid w:val="00C902EF"/>
    <w:rsid w:val="00CA46B9"/>
    <w:rsid w:val="00CB0011"/>
    <w:rsid w:val="00CB6622"/>
    <w:rsid w:val="00CD1801"/>
    <w:rsid w:val="00CF56F9"/>
    <w:rsid w:val="00CF65C6"/>
    <w:rsid w:val="00D00A89"/>
    <w:rsid w:val="00D10EF1"/>
    <w:rsid w:val="00D42810"/>
    <w:rsid w:val="00D60DD5"/>
    <w:rsid w:val="00D7700E"/>
    <w:rsid w:val="00D84D8D"/>
    <w:rsid w:val="00D900AB"/>
    <w:rsid w:val="00D914A7"/>
    <w:rsid w:val="00DC4D4B"/>
    <w:rsid w:val="00DD13C3"/>
    <w:rsid w:val="00DD596E"/>
    <w:rsid w:val="00DD621E"/>
    <w:rsid w:val="00DE50B1"/>
    <w:rsid w:val="00DF0138"/>
    <w:rsid w:val="00DF0575"/>
    <w:rsid w:val="00E2228E"/>
    <w:rsid w:val="00E67379"/>
    <w:rsid w:val="00E70E04"/>
    <w:rsid w:val="00E77E6C"/>
    <w:rsid w:val="00E83ED5"/>
    <w:rsid w:val="00EC05A7"/>
    <w:rsid w:val="00EC4B6B"/>
    <w:rsid w:val="00EC68A5"/>
    <w:rsid w:val="00ED7442"/>
    <w:rsid w:val="00EF1EE5"/>
    <w:rsid w:val="00EF5C43"/>
    <w:rsid w:val="00F10DAB"/>
    <w:rsid w:val="00F46D42"/>
    <w:rsid w:val="00F763B4"/>
    <w:rsid w:val="00F900C3"/>
    <w:rsid w:val="00FC57D5"/>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122757"/>
  <w15:docId w15:val="{F645FFAB-AA96-4565-B140-CB983559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CPR/C/SR.3838" TargetMode="External"/><Relationship Id="rId2" Type="http://schemas.openxmlformats.org/officeDocument/2006/relationships/hyperlink" Target="http://undocs.org/ar/CCPR/C/SR.3837" TargetMode="External"/><Relationship Id="rId1" Type="http://schemas.openxmlformats.org/officeDocument/2006/relationships/hyperlink" Target="http://undocs.org/ar/CCPR/C/QAT/1" TargetMode="External"/><Relationship Id="rId5" Type="http://schemas.openxmlformats.org/officeDocument/2006/relationships/hyperlink" Target="http://undocs.org/ar/CCPR/C/QAT/Q/1" TargetMode="External"/><Relationship Id="rId4" Type="http://schemas.openxmlformats.org/officeDocument/2006/relationships/hyperlink" Target="http://undocs.org/ar/CCPR/C/QAT/R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CCPR/C/QAT/CO/1</vt:lpstr>
    </vt:vector>
  </TitlesOfParts>
  <Company>DCM</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CCPR/C/QAT/CO/1</dc:title>
  <dc:subject>GE.2206047(A)</dc:subject>
  <dc:creator>Gamal MAHMOUD - SDAHAB</dc:creator>
  <cp:keywords>GE.2232688(A)</cp:keywords>
  <dc:description>Distr.: General_x000d_
25 April 2022_x000d_
Original: English</dc:description>
  <cp:lastModifiedBy>Gamal Mohamed Abdelhamid Mahmoud</cp:lastModifiedBy>
  <cp:revision>3</cp:revision>
  <cp:lastPrinted>2022-05-20T09:58:00Z</cp:lastPrinted>
  <dcterms:created xsi:type="dcterms:W3CDTF">2022-05-20T09:58:00Z</dcterms:created>
  <dcterms:modified xsi:type="dcterms:W3CDTF">2022-05-20T09:58:00Z</dcterms:modified>
  <cp:category>Finale</cp:category>
</cp:coreProperties>
</file>