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321E5A67" w14:textId="77777777" w:rsidTr="004C4D99">
        <w:trPr>
          <w:trHeight w:hRule="exact" w:val="851"/>
        </w:trPr>
        <w:tc>
          <w:tcPr>
            <w:tcW w:w="1276" w:type="dxa"/>
            <w:tcBorders>
              <w:bottom w:val="single" w:sz="4" w:space="0" w:color="auto"/>
            </w:tcBorders>
          </w:tcPr>
          <w:p w14:paraId="6E97EBB9" w14:textId="77777777" w:rsidR="00392B1D" w:rsidRPr="00DB58B5" w:rsidRDefault="00392B1D" w:rsidP="004C4D99"/>
        </w:tc>
        <w:tc>
          <w:tcPr>
            <w:tcW w:w="2268" w:type="dxa"/>
            <w:tcBorders>
              <w:bottom w:val="single" w:sz="4" w:space="0" w:color="auto"/>
            </w:tcBorders>
            <w:vAlign w:val="bottom"/>
          </w:tcPr>
          <w:p w14:paraId="553AFCC3"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FF95B0" w14:textId="526249AB" w:rsidR="00392B1D" w:rsidRPr="00DB58B5" w:rsidRDefault="006F597C" w:rsidP="006F597C">
            <w:pPr>
              <w:jc w:val="right"/>
            </w:pPr>
            <w:r w:rsidRPr="006F597C">
              <w:rPr>
                <w:sz w:val="40"/>
              </w:rPr>
              <w:t>CED</w:t>
            </w:r>
            <w:r>
              <w:t>/C/HND/AI/1</w:t>
            </w:r>
          </w:p>
        </w:tc>
      </w:tr>
      <w:tr w:rsidR="00392B1D" w:rsidRPr="00DB58B5" w14:paraId="04DE4752" w14:textId="77777777" w:rsidTr="004C4D99">
        <w:trPr>
          <w:trHeight w:hRule="exact" w:val="2835"/>
        </w:trPr>
        <w:tc>
          <w:tcPr>
            <w:tcW w:w="1276" w:type="dxa"/>
            <w:tcBorders>
              <w:top w:val="single" w:sz="4" w:space="0" w:color="auto"/>
              <w:bottom w:val="single" w:sz="12" w:space="0" w:color="auto"/>
            </w:tcBorders>
          </w:tcPr>
          <w:p w14:paraId="517EF69C" w14:textId="77777777" w:rsidR="00392B1D" w:rsidRPr="00DB58B5" w:rsidRDefault="00392B1D" w:rsidP="004C4D99">
            <w:pPr>
              <w:spacing w:before="120"/>
              <w:jc w:val="center"/>
            </w:pPr>
            <w:r>
              <w:rPr>
                <w:noProof/>
                <w:lang w:eastAsia="fr-CH"/>
              </w:rPr>
              <w:drawing>
                <wp:inline distT="0" distB="0" distL="0" distR="0" wp14:anchorId="1FA2A81E" wp14:editId="3E1846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C7ACA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2B2AE25F" w14:textId="77777777" w:rsidR="00392B1D" w:rsidRDefault="006F597C" w:rsidP="004C4D99">
            <w:pPr>
              <w:spacing w:before="240"/>
            </w:pPr>
            <w:r>
              <w:t>Distr. générale</w:t>
            </w:r>
          </w:p>
          <w:p w14:paraId="6EDA1761" w14:textId="24B50599" w:rsidR="006F597C" w:rsidRDefault="006F597C" w:rsidP="006F597C">
            <w:pPr>
              <w:spacing w:line="240" w:lineRule="exact"/>
            </w:pPr>
            <w:r>
              <w:t>1</w:t>
            </w:r>
            <w:r w:rsidRPr="003A61DD">
              <w:rPr>
                <w:vertAlign w:val="superscript"/>
              </w:rPr>
              <w:t>er</w:t>
            </w:r>
            <w:r w:rsidR="003A61DD">
              <w:t> </w:t>
            </w:r>
            <w:r>
              <w:t>novembre 2021</w:t>
            </w:r>
          </w:p>
          <w:p w14:paraId="75A9E2B6" w14:textId="77777777" w:rsidR="006F597C" w:rsidRDefault="006F597C" w:rsidP="006F597C">
            <w:pPr>
              <w:spacing w:line="240" w:lineRule="exact"/>
            </w:pPr>
            <w:r>
              <w:t>Français</w:t>
            </w:r>
          </w:p>
          <w:p w14:paraId="6795D5E5" w14:textId="60E74E55" w:rsidR="006F597C" w:rsidRDefault="006F597C" w:rsidP="006F597C">
            <w:pPr>
              <w:spacing w:line="240" w:lineRule="exact"/>
            </w:pPr>
            <w:r>
              <w:t>Original</w:t>
            </w:r>
            <w:r w:rsidR="00286956">
              <w:t> :</w:t>
            </w:r>
            <w:r>
              <w:t xml:space="preserve"> espagnol</w:t>
            </w:r>
          </w:p>
          <w:p w14:paraId="1D37E87A" w14:textId="3E914F23" w:rsidR="006F597C" w:rsidRPr="00DB58B5" w:rsidRDefault="006F597C" w:rsidP="006F597C">
            <w:pPr>
              <w:spacing w:line="240" w:lineRule="exact"/>
            </w:pPr>
            <w:r>
              <w:t>Anglais, espagnol et français seulement</w:t>
            </w:r>
          </w:p>
        </w:tc>
      </w:tr>
    </w:tbl>
    <w:p w14:paraId="5E62D4B4" w14:textId="63CADDBE" w:rsidR="00392B1D" w:rsidRDefault="00392B1D" w:rsidP="00392B1D">
      <w:pPr>
        <w:spacing w:before="120"/>
        <w:rPr>
          <w:b/>
          <w:sz w:val="24"/>
          <w:szCs w:val="24"/>
        </w:rPr>
      </w:pPr>
      <w:r w:rsidRPr="00D55CFF">
        <w:rPr>
          <w:b/>
          <w:sz w:val="24"/>
          <w:szCs w:val="24"/>
        </w:rPr>
        <w:t>Comité des disparitions forcées</w:t>
      </w:r>
    </w:p>
    <w:p w14:paraId="743A6948" w14:textId="40A04E44" w:rsidR="00286956" w:rsidRPr="008516D1" w:rsidRDefault="00286956" w:rsidP="003A61DD">
      <w:pPr>
        <w:pStyle w:val="HMG"/>
      </w:pPr>
      <w:r w:rsidRPr="008516D1">
        <w:rPr>
          <w:b w:val="0"/>
          <w:color w:val="000000"/>
        </w:rPr>
        <w:tab/>
      </w:r>
      <w:r w:rsidRPr="008516D1">
        <w:rPr>
          <w:b w:val="0"/>
          <w:color w:val="000000"/>
        </w:rPr>
        <w:tab/>
      </w:r>
      <w:r w:rsidRPr="008516D1">
        <w:t>Renseignements</w:t>
      </w:r>
      <w:r>
        <w:t xml:space="preserve"> </w:t>
      </w:r>
      <w:r w:rsidRPr="008516D1">
        <w:t>complémentaires</w:t>
      </w:r>
      <w:r>
        <w:t xml:space="preserve"> </w:t>
      </w:r>
      <w:r w:rsidRPr="008516D1">
        <w:t>soumis</w:t>
      </w:r>
      <w:r>
        <w:t xml:space="preserve"> </w:t>
      </w:r>
      <w:r w:rsidRPr="008516D1">
        <w:t>par</w:t>
      </w:r>
      <w:r>
        <w:t xml:space="preserve"> </w:t>
      </w:r>
      <w:r w:rsidRPr="008516D1">
        <w:t>le</w:t>
      </w:r>
      <w:r w:rsidR="003A61DD">
        <w:t> </w:t>
      </w:r>
      <w:r w:rsidRPr="008516D1">
        <w:t>Honduras</w:t>
      </w:r>
      <w:r>
        <w:t xml:space="preserve"> </w:t>
      </w:r>
      <w:r w:rsidRPr="008516D1">
        <w:t>en</w:t>
      </w:r>
      <w:r>
        <w:t xml:space="preserve"> </w:t>
      </w:r>
      <w:r w:rsidRPr="008516D1">
        <w:t>application</w:t>
      </w:r>
      <w:r>
        <w:t xml:space="preserve"> </w:t>
      </w:r>
      <w:r w:rsidRPr="008516D1">
        <w:t>de</w:t>
      </w:r>
      <w:r>
        <w:t xml:space="preserve"> </w:t>
      </w:r>
      <w:r w:rsidRPr="008516D1">
        <w:t>l</w:t>
      </w:r>
      <w:r>
        <w:t>’</w:t>
      </w:r>
      <w:r w:rsidRPr="008516D1">
        <w:t>article</w:t>
      </w:r>
      <w:r>
        <w:t xml:space="preserve"> </w:t>
      </w:r>
      <w:r w:rsidRPr="008516D1">
        <w:t>29</w:t>
      </w:r>
      <w:r>
        <w:t xml:space="preserve"> </w:t>
      </w:r>
      <w:r w:rsidRPr="008516D1">
        <w:t>(</w:t>
      </w:r>
      <w:r w:rsidR="003A61DD">
        <w:t>par. </w:t>
      </w:r>
      <w:r w:rsidRPr="008516D1">
        <w:t>4)</w:t>
      </w:r>
      <w:r>
        <w:t xml:space="preserve"> </w:t>
      </w:r>
      <w:r w:rsidRPr="008516D1">
        <w:t>de</w:t>
      </w:r>
      <w:r>
        <w:t xml:space="preserve"> </w:t>
      </w:r>
      <w:r w:rsidRPr="008516D1">
        <w:t>la</w:t>
      </w:r>
      <w:r>
        <w:t xml:space="preserve"> </w:t>
      </w:r>
      <w:r w:rsidRPr="008516D1">
        <w:t>Convention</w:t>
      </w:r>
      <w:r w:rsidRPr="003A61DD">
        <w:rPr>
          <w:rStyle w:val="Appelnotedebasdep"/>
          <w:b w:val="0"/>
          <w:sz w:val="20"/>
          <w:vertAlign w:val="baseline"/>
        </w:rPr>
        <w:footnoteReference w:customMarkFollows="1" w:id="2"/>
        <w:t>*</w:t>
      </w:r>
    </w:p>
    <w:p w14:paraId="7FE5EB02" w14:textId="111B0DEE" w:rsidR="00286956" w:rsidRPr="008516D1" w:rsidRDefault="00286956" w:rsidP="003A61DD">
      <w:pPr>
        <w:pStyle w:val="SingleTxtG"/>
        <w:jc w:val="right"/>
      </w:pPr>
      <w:r w:rsidRPr="008516D1">
        <w:t>[Date</w:t>
      </w:r>
      <w:r>
        <w:t xml:space="preserve"> </w:t>
      </w:r>
      <w:r w:rsidRPr="008516D1">
        <w:t>de</w:t>
      </w:r>
      <w:r>
        <w:t xml:space="preserve"> </w:t>
      </w:r>
      <w:r w:rsidRPr="008516D1">
        <w:t>réception</w:t>
      </w:r>
      <w:r>
        <w:t xml:space="preserve"> : </w:t>
      </w:r>
      <w:r w:rsidRPr="008516D1">
        <w:t>19</w:t>
      </w:r>
      <w:r>
        <w:t xml:space="preserve"> </w:t>
      </w:r>
      <w:r w:rsidRPr="008516D1">
        <w:t>juillet</w:t>
      </w:r>
      <w:r>
        <w:t xml:space="preserve"> </w:t>
      </w:r>
      <w:r w:rsidRPr="008516D1">
        <w:t>2021]</w:t>
      </w:r>
    </w:p>
    <w:p w14:paraId="3275B5AC" w14:textId="77777777" w:rsidR="00286956" w:rsidRPr="008516D1" w:rsidRDefault="00286956" w:rsidP="00286956">
      <w:pPr>
        <w:spacing w:line="240" w:lineRule="auto"/>
        <w:rPr>
          <w:sz w:val="28"/>
        </w:rPr>
      </w:pPr>
      <w:r w:rsidRPr="008516D1">
        <w:rPr>
          <w:sz w:val="28"/>
        </w:rPr>
        <w:br w:type="page"/>
      </w:r>
    </w:p>
    <w:p w14:paraId="747F4260" w14:textId="77777777" w:rsidR="0013732F" w:rsidRPr="0013732F" w:rsidRDefault="0013732F" w:rsidP="0013732F">
      <w:pPr>
        <w:spacing w:after="120"/>
        <w:rPr>
          <w:sz w:val="28"/>
        </w:rPr>
      </w:pPr>
      <w:r w:rsidRPr="0013732F">
        <w:rPr>
          <w:sz w:val="28"/>
        </w:rPr>
        <w:lastRenderedPageBreak/>
        <w:t>Table des matières</w:t>
      </w:r>
    </w:p>
    <w:p w14:paraId="407DE666" w14:textId="77777777" w:rsidR="00286956" w:rsidRPr="008516D1" w:rsidRDefault="00286956" w:rsidP="003A61DD">
      <w:pPr>
        <w:tabs>
          <w:tab w:val="right" w:pos="9638"/>
        </w:tabs>
        <w:spacing w:after="120"/>
        <w:ind w:left="283"/>
        <w:rPr>
          <w:sz w:val="18"/>
        </w:rPr>
      </w:pPr>
      <w:r w:rsidRPr="008516D1">
        <w:rPr>
          <w:sz w:val="18"/>
        </w:rPr>
        <w:tab/>
      </w:r>
      <w:r w:rsidRPr="008516D1">
        <w:rPr>
          <w:i/>
          <w:sz w:val="18"/>
        </w:rPr>
        <w:t>Page</w:t>
      </w:r>
    </w:p>
    <w:p w14:paraId="38FCAB80" w14:textId="5B2DDE17" w:rsidR="00286956" w:rsidRPr="008516D1" w:rsidRDefault="00286956" w:rsidP="003A61DD">
      <w:pPr>
        <w:tabs>
          <w:tab w:val="right" w:pos="850"/>
          <w:tab w:val="right" w:leader="dot" w:pos="8787"/>
          <w:tab w:val="right" w:pos="9638"/>
        </w:tabs>
        <w:spacing w:after="120"/>
        <w:ind w:left="1134" w:hanging="1134"/>
      </w:pPr>
      <w:r w:rsidRPr="008516D1">
        <w:tab/>
        <w:t>I.</w:t>
      </w:r>
      <w:r w:rsidRPr="008516D1">
        <w:tab/>
        <w:t>Introduction</w:t>
      </w:r>
      <w:r w:rsidRPr="008516D1">
        <w:tab/>
      </w:r>
      <w:r w:rsidRPr="008516D1">
        <w:tab/>
      </w:r>
      <w:r w:rsidR="00F2321E">
        <w:t>3</w:t>
      </w:r>
    </w:p>
    <w:p w14:paraId="504C1C2D" w14:textId="09ADF8F1" w:rsidR="00286956" w:rsidRPr="008516D1" w:rsidRDefault="00286956" w:rsidP="003A61DD">
      <w:pPr>
        <w:tabs>
          <w:tab w:val="right" w:pos="850"/>
          <w:tab w:val="right" w:leader="dot" w:pos="8787"/>
          <w:tab w:val="right" w:pos="9638"/>
        </w:tabs>
        <w:spacing w:after="120"/>
        <w:ind w:left="1134" w:hanging="1134"/>
      </w:pPr>
      <w:r w:rsidRPr="008516D1">
        <w:tab/>
        <w:t>II.</w:t>
      </w:r>
      <w:r w:rsidRPr="008516D1">
        <w:tab/>
        <w:t>Cadre</w:t>
      </w:r>
      <w:r>
        <w:t xml:space="preserve"> </w:t>
      </w:r>
      <w:r w:rsidRPr="008516D1">
        <w:t>juridique</w:t>
      </w:r>
      <w:r>
        <w:t xml:space="preserve"> </w:t>
      </w:r>
      <w:r w:rsidRPr="008516D1">
        <w:t>général</w:t>
      </w:r>
      <w:r>
        <w:t xml:space="preserve"> </w:t>
      </w:r>
      <w:r w:rsidRPr="008516D1">
        <w:t>de</w:t>
      </w:r>
      <w:r>
        <w:t xml:space="preserve"> </w:t>
      </w:r>
      <w:r w:rsidRPr="008516D1">
        <w:t>l</w:t>
      </w:r>
      <w:r>
        <w:t>’</w:t>
      </w:r>
      <w:r w:rsidRPr="008516D1">
        <w:t>interdiction</w:t>
      </w:r>
      <w:r>
        <w:t xml:space="preserve"> </w:t>
      </w:r>
      <w:r w:rsidRPr="008516D1">
        <w:t>de</w:t>
      </w:r>
      <w:r>
        <w:t xml:space="preserve"> </w:t>
      </w:r>
      <w:r w:rsidRPr="008516D1">
        <w:t>la</w:t>
      </w:r>
      <w:r>
        <w:t xml:space="preserve"> </w:t>
      </w:r>
      <w:r w:rsidRPr="008516D1">
        <w:t>disparition</w:t>
      </w:r>
      <w:r>
        <w:t xml:space="preserve"> </w:t>
      </w:r>
      <w:r w:rsidRPr="008516D1">
        <w:t>forcée</w:t>
      </w:r>
      <w:r w:rsidRPr="008516D1">
        <w:tab/>
      </w:r>
      <w:r w:rsidRPr="008516D1">
        <w:tab/>
      </w:r>
      <w:r w:rsidR="00F2321E">
        <w:t>3</w:t>
      </w:r>
    </w:p>
    <w:p w14:paraId="12E1B98D" w14:textId="7233EE32" w:rsidR="00286956" w:rsidRPr="008516D1" w:rsidRDefault="00286956" w:rsidP="003A61DD">
      <w:pPr>
        <w:tabs>
          <w:tab w:val="right" w:leader="dot" w:pos="8787"/>
          <w:tab w:val="right" w:pos="9638"/>
        </w:tabs>
        <w:spacing w:after="120"/>
        <w:ind w:left="1559" w:hanging="425"/>
      </w:pPr>
      <w:r w:rsidRPr="008516D1">
        <w:t>A.</w:t>
      </w:r>
      <w:r w:rsidRPr="008516D1">
        <w:tab/>
        <w:t>Instruments</w:t>
      </w:r>
      <w:r>
        <w:t xml:space="preserve"> </w:t>
      </w:r>
      <w:r w:rsidRPr="008516D1">
        <w:t>internationaux</w:t>
      </w:r>
      <w:r w:rsidRPr="008516D1">
        <w:tab/>
      </w:r>
      <w:r w:rsidRPr="008516D1">
        <w:tab/>
      </w:r>
      <w:r w:rsidR="00F2321E">
        <w:t>3</w:t>
      </w:r>
    </w:p>
    <w:p w14:paraId="78980978" w14:textId="4D45DA4A" w:rsidR="00286956" w:rsidRPr="008516D1" w:rsidRDefault="00286956" w:rsidP="003A61DD">
      <w:pPr>
        <w:tabs>
          <w:tab w:val="right" w:leader="dot" w:pos="8787"/>
          <w:tab w:val="right" w:pos="9638"/>
        </w:tabs>
        <w:spacing w:after="120"/>
        <w:ind w:left="1559" w:hanging="425"/>
      </w:pPr>
      <w:r w:rsidRPr="008516D1">
        <w:t>B.</w:t>
      </w:r>
      <w:r w:rsidRPr="008516D1">
        <w:tab/>
        <w:t>Droit</w:t>
      </w:r>
      <w:r>
        <w:t xml:space="preserve"> </w:t>
      </w:r>
      <w:r w:rsidRPr="008516D1">
        <w:t>interne,</w:t>
      </w:r>
      <w:r>
        <w:t xml:space="preserve"> </w:t>
      </w:r>
      <w:r w:rsidRPr="008516D1">
        <w:t>règlements</w:t>
      </w:r>
      <w:r>
        <w:t xml:space="preserve"> </w:t>
      </w:r>
      <w:r w:rsidRPr="008516D1">
        <w:t>nationaux</w:t>
      </w:r>
      <w:r>
        <w:t xml:space="preserve"> </w:t>
      </w:r>
      <w:r w:rsidRPr="008516D1">
        <w:t>et</w:t>
      </w:r>
      <w:r>
        <w:t xml:space="preserve"> </w:t>
      </w:r>
      <w:r w:rsidRPr="008516D1">
        <w:t>autres</w:t>
      </w:r>
      <w:r>
        <w:t xml:space="preserve"> </w:t>
      </w:r>
      <w:r w:rsidRPr="008516D1">
        <w:t>règles</w:t>
      </w:r>
      <w:r>
        <w:t xml:space="preserve"> </w:t>
      </w:r>
      <w:r w:rsidRPr="008516D1">
        <w:t>nationales</w:t>
      </w:r>
      <w:r w:rsidRPr="008516D1">
        <w:tab/>
      </w:r>
      <w:r w:rsidRPr="008516D1">
        <w:tab/>
      </w:r>
      <w:r w:rsidR="00F2321E">
        <w:t>3</w:t>
      </w:r>
    </w:p>
    <w:p w14:paraId="7BB04A15" w14:textId="0BD438E7" w:rsidR="00286956" w:rsidRPr="008516D1" w:rsidRDefault="00286956" w:rsidP="003A61DD">
      <w:pPr>
        <w:tabs>
          <w:tab w:val="right" w:leader="dot" w:pos="8787"/>
          <w:tab w:val="right" w:pos="9638"/>
        </w:tabs>
        <w:spacing w:after="120"/>
        <w:ind w:left="1559" w:hanging="425"/>
      </w:pPr>
      <w:r w:rsidRPr="008516D1">
        <w:t>C.</w:t>
      </w:r>
      <w:r w:rsidRPr="008516D1">
        <w:tab/>
        <w:t>Politiques,</w:t>
      </w:r>
      <w:r>
        <w:t xml:space="preserve"> </w:t>
      </w:r>
      <w:r w:rsidRPr="008516D1">
        <w:t>plans</w:t>
      </w:r>
      <w:r>
        <w:t xml:space="preserve"> </w:t>
      </w:r>
      <w:r w:rsidRPr="008516D1">
        <w:t>et</w:t>
      </w:r>
      <w:r>
        <w:t xml:space="preserve"> </w:t>
      </w:r>
      <w:r w:rsidRPr="008516D1">
        <w:t>stratégies</w:t>
      </w:r>
      <w:r w:rsidRPr="008516D1">
        <w:tab/>
      </w:r>
      <w:r w:rsidRPr="008516D1">
        <w:tab/>
      </w:r>
      <w:r w:rsidR="00F2321E">
        <w:t>5</w:t>
      </w:r>
    </w:p>
    <w:p w14:paraId="351713D2" w14:textId="6797BE99" w:rsidR="00286956" w:rsidRPr="008516D1" w:rsidRDefault="00286956" w:rsidP="003A61DD">
      <w:pPr>
        <w:tabs>
          <w:tab w:val="right" w:pos="850"/>
          <w:tab w:val="right" w:leader="dot" w:pos="8787"/>
          <w:tab w:val="right" w:pos="9638"/>
        </w:tabs>
        <w:spacing w:after="120"/>
        <w:ind w:left="1134" w:hanging="1134"/>
      </w:pPr>
      <w:r w:rsidRPr="008516D1">
        <w:tab/>
        <w:t>III.</w:t>
      </w:r>
      <w:r w:rsidRPr="008516D1">
        <w:tab/>
        <w:t>Renseignements</w:t>
      </w:r>
      <w:r>
        <w:t xml:space="preserve"> </w:t>
      </w:r>
      <w:r w:rsidRPr="008516D1">
        <w:t>relatifs</w:t>
      </w:r>
      <w:r>
        <w:t xml:space="preserve"> </w:t>
      </w:r>
      <w:r w:rsidRPr="008516D1">
        <w:t>à</w:t>
      </w:r>
      <w:r>
        <w:t xml:space="preserve"> </w:t>
      </w:r>
      <w:r w:rsidRPr="008516D1">
        <w:t>l</w:t>
      </w:r>
      <w:r>
        <w:t>’</w:t>
      </w:r>
      <w:r w:rsidRPr="008516D1">
        <w:t>application</w:t>
      </w:r>
      <w:r>
        <w:t xml:space="preserve"> </w:t>
      </w:r>
      <w:r w:rsidRPr="008516D1">
        <w:t>de</w:t>
      </w:r>
      <w:r>
        <w:t xml:space="preserve"> </w:t>
      </w:r>
      <w:r w:rsidRPr="008516D1">
        <w:t>la</w:t>
      </w:r>
      <w:r>
        <w:t xml:space="preserve"> </w:t>
      </w:r>
      <w:r w:rsidRPr="008516D1">
        <w:t>Convention</w:t>
      </w:r>
      <w:r w:rsidRPr="008516D1">
        <w:tab/>
      </w:r>
      <w:r w:rsidRPr="008516D1">
        <w:tab/>
      </w:r>
      <w:r w:rsidR="00F2321E">
        <w:t>5</w:t>
      </w:r>
    </w:p>
    <w:p w14:paraId="5160336F" w14:textId="4377D4C4" w:rsidR="00286956" w:rsidRPr="008516D1" w:rsidRDefault="00286956" w:rsidP="003A61DD">
      <w:pPr>
        <w:tabs>
          <w:tab w:val="right" w:leader="dot" w:pos="8787"/>
          <w:tab w:val="right" w:pos="9638"/>
        </w:tabs>
        <w:spacing w:after="120"/>
        <w:ind w:left="1559" w:hanging="425"/>
      </w:pPr>
      <w:r w:rsidRPr="008516D1">
        <w:t>A.</w:t>
      </w:r>
      <w:r w:rsidRPr="008516D1">
        <w:tab/>
        <w:t>Interdiction</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w:t>
      </w:r>
      <w:r w:rsidR="003A61DD">
        <w:t>art. </w:t>
      </w:r>
      <w:r w:rsidRPr="008516D1">
        <w:t>1)</w:t>
      </w:r>
      <w:r w:rsidRPr="008516D1">
        <w:tab/>
      </w:r>
      <w:r w:rsidRPr="008516D1">
        <w:tab/>
      </w:r>
      <w:r w:rsidR="00F2321E">
        <w:t>5</w:t>
      </w:r>
    </w:p>
    <w:p w14:paraId="72A2027C" w14:textId="672A2D3B" w:rsidR="00286956" w:rsidRPr="008516D1" w:rsidRDefault="00286956" w:rsidP="003A61DD">
      <w:pPr>
        <w:tabs>
          <w:tab w:val="right" w:leader="dot" w:pos="8787"/>
          <w:tab w:val="right" w:pos="9638"/>
        </w:tabs>
        <w:spacing w:after="120"/>
        <w:ind w:left="1559" w:hanging="425"/>
      </w:pPr>
      <w:r w:rsidRPr="008516D1">
        <w:t>B.</w:t>
      </w:r>
      <w:r w:rsidRPr="008516D1">
        <w:tab/>
        <w:t>Définition</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w:t>
      </w:r>
      <w:r w:rsidR="003A61DD">
        <w:t>art. </w:t>
      </w:r>
      <w:r w:rsidRPr="008516D1">
        <w:t>2,</w:t>
      </w:r>
      <w:r>
        <w:t xml:space="preserve"> </w:t>
      </w:r>
      <w:r w:rsidRPr="008516D1">
        <w:t>4,</w:t>
      </w:r>
      <w:r>
        <w:t xml:space="preserve"> </w:t>
      </w:r>
      <w:r w:rsidRPr="008516D1">
        <w:t>5</w:t>
      </w:r>
      <w:r>
        <w:t xml:space="preserve"> </w:t>
      </w:r>
      <w:r w:rsidRPr="008516D1">
        <w:t>et</w:t>
      </w:r>
      <w:r>
        <w:t xml:space="preserve"> </w:t>
      </w:r>
      <w:r w:rsidRPr="008516D1">
        <w:t>7)</w:t>
      </w:r>
      <w:r w:rsidRPr="008516D1">
        <w:tab/>
      </w:r>
      <w:r w:rsidRPr="008516D1">
        <w:tab/>
      </w:r>
      <w:r w:rsidR="00F2321E">
        <w:t>6</w:t>
      </w:r>
    </w:p>
    <w:p w14:paraId="4C465518" w14:textId="58161BF4" w:rsidR="00286956" w:rsidRPr="008516D1" w:rsidRDefault="00286956" w:rsidP="003A61DD">
      <w:pPr>
        <w:tabs>
          <w:tab w:val="right" w:leader="dot" w:pos="8787"/>
          <w:tab w:val="right" w:pos="9638"/>
        </w:tabs>
        <w:spacing w:after="120"/>
        <w:ind w:left="1559" w:hanging="425"/>
      </w:pPr>
      <w:r w:rsidRPr="008516D1">
        <w:t>C.</w:t>
      </w:r>
      <w:r w:rsidRPr="008516D1">
        <w:tab/>
        <w:t>Responsabilité</w:t>
      </w:r>
      <w:r>
        <w:t xml:space="preserve"> </w:t>
      </w:r>
      <w:r w:rsidRPr="008516D1">
        <w:t>pénale</w:t>
      </w:r>
      <w:r>
        <w:t xml:space="preserve"> </w:t>
      </w:r>
      <w:r w:rsidRPr="008516D1">
        <w:t>des</w:t>
      </w:r>
      <w:r>
        <w:t xml:space="preserve"> </w:t>
      </w:r>
      <w:r w:rsidRPr="008516D1">
        <w:t>supérieurs</w:t>
      </w:r>
      <w:r>
        <w:t xml:space="preserve"> </w:t>
      </w:r>
      <w:r w:rsidRPr="008516D1">
        <w:t>hiérarchiques</w:t>
      </w:r>
      <w:r>
        <w:t xml:space="preserve"> </w:t>
      </w:r>
      <w:r w:rsidRPr="008516D1">
        <w:t>et</w:t>
      </w:r>
      <w:r>
        <w:t xml:space="preserve"> </w:t>
      </w:r>
      <w:r w:rsidRPr="008516D1">
        <w:t>devoir</w:t>
      </w:r>
      <w:r>
        <w:t xml:space="preserve"> </w:t>
      </w:r>
      <w:r w:rsidRPr="008516D1">
        <w:t>d</w:t>
      </w:r>
      <w:r>
        <w:t>’</w:t>
      </w:r>
      <w:r w:rsidRPr="008516D1">
        <w:t>obéissance</w:t>
      </w:r>
      <w:r>
        <w:t xml:space="preserve"> </w:t>
      </w:r>
      <w:r w:rsidRPr="008516D1">
        <w:t>(</w:t>
      </w:r>
      <w:r w:rsidR="003A61DD">
        <w:t>art. </w:t>
      </w:r>
      <w:r w:rsidRPr="008516D1">
        <w:t>6)</w:t>
      </w:r>
      <w:r w:rsidRPr="008516D1">
        <w:tab/>
      </w:r>
      <w:r w:rsidRPr="008516D1">
        <w:tab/>
      </w:r>
      <w:r w:rsidR="00F2321E">
        <w:t>7</w:t>
      </w:r>
    </w:p>
    <w:p w14:paraId="413B51E9" w14:textId="633B5294" w:rsidR="00286956" w:rsidRPr="008516D1" w:rsidRDefault="00286956" w:rsidP="003A61DD">
      <w:pPr>
        <w:tabs>
          <w:tab w:val="right" w:leader="dot" w:pos="8787"/>
          <w:tab w:val="right" w:pos="9638"/>
        </w:tabs>
        <w:spacing w:after="120"/>
        <w:ind w:left="1559" w:hanging="425"/>
      </w:pPr>
      <w:r w:rsidRPr="008516D1">
        <w:t>D.</w:t>
      </w:r>
      <w:r w:rsidRPr="008516D1">
        <w:tab/>
        <w:t>Caractère</w:t>
      </w:r>
      <w:r>
        <w:t xml:space="preserve"> </w:t>
      </w:r>
      <w:r w:rsidRPr="008516D1">
        <w:t>continu</w:t>
      </w:r>
      <w:r>
        <w:t xml:space="preserve"> </w:t>
      </w:r>
      <w:r w:rsidRPr="008516D1">
        <w:t>de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8)</w:t>
      </w:r>
      <w:r w:rsidRPr="008516D1">
        <w:tab/>
      </w:r>
      <w:r w:rsidRPr="008516D1">
        <w:tab/>
      </w:r>
      <w:r w:rsidR="00F2321E">
        <w:t>8</w:t>
      </w:r>
    </w:p>
    <w:p w14:paraId="1BC22978" w14:textId="75DBEA07" w:rsidR="00286956" w:rsidRPr="008516D1" w:rsidRDefault="00286956" w:rsidP="003A61DD">
      <w:pPr>
        <w:tabs>
          <w:tab w:val="right" w:leader="dot" w:pos="8787"/>
          <w:tab w:val="right" w:pos="9638"/>
        </w:tabs>
        <w:spacing w:after="120"/>
        <w:ind w:left="1559" w:hanging="425"/>
      </w:pPr>
      <w:r w:rsidRPr="008516D1">
        <w:t>E.</w:t>
      </w:r>
      <w:r w:rsidRPr="008516D1">
        <w:tab/>
        <w:t>Compétence</w:t>
      </w:r>
      <w:r>
        <w:t xml:space="preserve"> </w:t>
      </w:r>
      <w:r w:rsidRPr="008516D1">
        <w:t>pour</w:t>
      </w:r>
      <w:r>
        <w:t xml:space="preserve"> </w:t>
      </w:r>
      <w:r w:rsidRPr="008516D1">
        <w:t>connaître</w:t>
      </w:r>
      <w:r>
        <w:t xml:space="preserve"> </w:t>
      </w:r>
      <w:r w:rsidRPr="008516D1">
        <w:t>de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9,</w:t>
      </w:r>
      <w:r>
        <w:t xml:space="preserve"> </w:t>
      </w:r>
      <w:r w:rsidRPr="008516D1">
        <w:t>14</w:t>
      </w:r>
      <w:r>
        <w:t xml:space="preserve"> </w:t>
      </w:r>
      <w:r w:rsidRPr="008516D1">
        <w:t>et</w:t>
      </w:r>
      <w:r>
        <w:t xml:space="preserve"> </w:t>
      </w:r>
      <w:r w:rsidRPr="008516D1">
        <w:t>15)</w:t>
      </w:r>
      <w:r w:rsidRPr="008516D1">
        <w:tab/>
      </w:r>
      <w:r w:rsidRPr="008516D1">
        <w:tab/>
      </w:r>
      <w:r w:rsidR="00F2321E">
        <w:t>9</w:t>
      </w:r>
    </w:p>
    <w:p w14:paraId="02BDA190" w14:textId="10AE0ED3" w:rsidR="00286956" w:rsidRPr="008516D1" w:rsidRDefault="00286956" w:rsidP="003A61DD">
      <w:pPr>
        <w:tabs>
          <w:tab w:val="right" w:leader="dot" w:pos="8787"/>
          <w:tab w:val="right" w:pos="9638"/>
        </w:tabs>
        <w:spacing w:after="120"/>
        <w:ind w:left="1559" w:hanging="425"/>
      </w:pPr>
      <w:r w:rsidRPr="008516D1">
        <w:t>F.</w:t>
      </w:r>
      <w:r w:rsidRPr="008516D1">
        <w:tab/>
        <w:t>Enquête</w:t>
      </w:r>
      <w:r>
        <w:t xml:space="preserve"> </w:t>
      </w:r>
      <w:r w:rsidRPr="008516D1">
        <w:t>indépendante</w:t>
      </w:r>
      <w:r>
        <w:t xml:space="preserve"> </w:t>
      </w:r>
      <w:r w:rsidRPr="008516D1">
        <w:t>et</w:t>
      </w:r>
      <w:r>
        <w:t xml:space="preserve"> </w:t>
      </w:r>
      <w:r w:rsidRPr="008516D1">
        <w:t>impartiale</w:t>
      </w:r>
      <w:r>
        <w:t xml:space="preserve"> </w:t>
      </w:r>
      <w:r w:rsidRPr="008516D1">
        <w:t>(</w:t>
      </w:r>
      <w:r w:rsidR="003A61DD">
        <w:t>art. </w:t>
      </w:r>
      <w:r w:rsidRPr="008516D1">
        <w:t>3)</w:t>
      </w:r>
      <w:r w:rsidRPr="008516D1">
        <w:tab/>
      </w:r>
      <w:r w:rsidRPr="008516D1">
        <w:tab/>
      </w:r>
      <w:r w:rsidR="00F2321E">
        <w:t>9</w:t>
      </w:r>
    </w:p>
    <w:p w14:paraId="3FEBB0EF" w14:textId="19288DBB" w:rsidR="00286956" w:rsidRPr="008516D1" w:rsidRDefault="00286956" w:rsidP="003A61DD">
      <w:pPr>
        <w:tabs>
          <w:tab w:val="right" w:leader="dot" w:pos="8787"/>
          <w:tab w:val="right" w:pos="9638"/>
        </w:tabs>
        <w:spacing w:after="120"/>
        <w:ind w:left="1559" w:hanging="425"/>
      </w:pPr>
      <w:r w:rsidRPr="008516D1">
        <w:t>G.</w:t>
      </w:r>
      <w:r w:rsidRPr="008516D1">
        <w:tab/>
        <w:t>Registre</w:t>
      </w:r>
      <w:r>
        <w:t xml:space="preserve"> </w:t>
      </w:r>
      <w:r w:rsidRPr="008516D1">
        <w:t>consolidé</w:t>
      </w:r>
      <w:r>
        <w:t xml:space="preserve"> </w:t>
      </w:r>
      <w:r w:rsidRPr="008516D1">
        <w:t>des</w:t>
      </w:r>
      <w:r>
        <w:t xml:space="preserve"> </w:t>
      </w:r>
      <w:r w:rsidRPr="008516D1">
        <w:t>cas</w:t>
      </w:r>
      <w:r>
        <w:t xml:space="preserve"> </w:t>
      </w:r>
      <w:r w:rsidRPr="008516D1">
        <w:t>de</w:t>
      </w:r>
      <w:r>
        <w:t xml:space="preserve"> </w:t>
      </w:r>
      <w:r w:rsidRPr="008516D1">
        <w:t>disparition</w:t>
      </w:r>
      <w:r>
        <w:t xml:space="preserve"> </w:t>
      </w:r>
      <w:r w:rsidRPr="008516D1">
        <w:t>forcée</w:t>
      </w:r>
      <w:r w:rsidRPr="008516D1">
        <w:tab/>
      </w:r>
      <w:r w:rsidRPr="008516D1">
        <w:tab/>
      </w:r>
      <w:r w:rsidR="00F2321E">
        <w:t>10</w:t>
      </w:r>
    </w:p>
    <w:p w14:paraId="4FEF8D54" w14:textId="6C5E1480" w:rsidR="00286956" w:rsidRPr="008516D1" w:rsidRDefault="00286956" w:rsidP="003A61DD">
      <w:pPr>
        <w:tabs>
          <w:tab w:val="right" w:leader="dot" w:pos="8787"/>
          <w:tab w:val="right" w:pos="9638"/>
        </w:tabs>
        <w:spacing w:after="120"/>
        <w:ind w:left="1559" w:hanging="425"/>
      </w:pPr>
      <w:r w:rsidRPr="008516D1">
        <w:t>H.</w:t>
      </w:r>
      <w:r w:rsidRPr="008516D1">
        <w:tab/>
        <w:t>Signalement</w:t>
      </w:r>
      <w:r>
        <w:t xml:space="preserve"> </w:t>
      </w:r>
      <w:r w:rsidRPr="008516D1">
        <w:t>des</w:t>
      </w:r>
      <w:r>
        <w:t xml:space="preserve"> </w:t>
      </w:r>
      <w:r w:rsidRPr="008516D1">
        <w:t>disparitions</w:t>
      </w:r>
      <w:r>
        <w:t xml:space="preserve"> </w:t>
      </w:r>
      <w:r w:rsidRPr="008516D1">
        <w:t>forcées</w:t>
      </w:r>
      <w:r>
        <w:t xml:space="preserve"> </w:t>
      </w:r>
      <w:r w:rsidRPr="008516D1">
        <w:t>et</w:t>
      </w:r>
      <w:r>
        <w:t xml:space="preserve"> </w:t>
      </w:r>
      <w:r w:rsidRPr="008516D1">
        <w:t>enquête</w:t>
      </w:r>
      <w:r>
        <w:t xml:space="preserve"> </w:t>
      </w:r>
      <w:r w:rsidRPr="008516D1">
        <w:t>(</w:t>
      </w:r>
      <w:r w:rsidR="003A61DD">
        <w:t>art. </w:t>
      </w:r>
      <w:r w:rsidRPr="008516D1">
        <w:t>10,</w:t>
      </w:r>
      <w:r>
        <w:t xml:space="preserve"> </w:t>
      </w:r>
      <w:r w:rsidRPr="008516D1">
        <w:t>11</w:t>
      </w:r>
      <w:r>
        <w:t xml:space="preserve"> </w:t>
      </w:r>
      <w:r w:rsidRPr="008516D1">
        <w:t>et</w:t>
      </w:r>
      <w:r>
        <w:t xml:space="preserve"> </w:t>
      </w:r>
      <w:r w:rsidRPr="008516D1">
        <w:t>12)</w:t>
      </w:r>
      <w:r w:rsidRPr="008516D1">
        <w:tab/>
      </w:r>
      <w:r w:rsidRPr="008516D1">
        <w:tab/>
      </w:r>
      <w:r w:rsidR="00F2321E">
        <w:t>10</w:t>
      </w:r>
    </w:p>
    <w:p w14:paraId="340DAB74" w14:textId="3054777C" w:rsidR="00286956" w:rsidRPr="008516D1" w:rsidRDefault="00286956" w:rsidP="003A61DD">
      <w:pPr>
        <w:tabs>
          <w:tab w:val="right" w:leader="dot" w:pos="8787"/>
          <w:tab w:val="right" w:pos="9638"/>
        </w:tabs>
        <w:spacing w:after="120"/>
        <w:ind w:left="1559" w:hanging="425"/>
      </w:pPr>
      <w:r w:rsidRPr="008516D1">
        <w:t>I.</w:t>
      </w:r>
      <w:r w:rsidRPr="008516D1">
        <w:tab/>
        <w:t>Mesures</w:t>
      </w:r>
      <w:r>
        <w:t xml:space="preserve"> </w:t>
      </w:r>
      <w:r w:rsidRPr="008516D1">
        <w:t>visant</w:t>
      </w:r>
      <w:r>
        <w:t xml:space="preserve"> </w:t>
      </w:r>
      <w:r w:rsidRPr="008516D1">
        <w:t>à</w:t>
      </w:r>
      <w:r>
        <w:t xml:space="preserve"> </w:t>
      </w:r>
      <w:r w:rsidRPr="008516D1">
        <w:t>assurer</w:t>
      </w:r>
      <w:r>
        <w:t xml:space="preserve"> </w:t>
      </w:r>
      <w:r w:rsidRPr="008516D1">
        <w:t>la</w:t>
      </w:r>
      <w:r>
        <w:t xml:space="preserve"> </w:t>
      </w:r>
      <w:r w:rsidRPr="008516D1">
        <w:t>protection</w:t>
      </w:r>
      <w:r>
        <w:t xml:space="preserve"> </w:t>
      </w:r>
      <w:r w:rsidRPr="008516D1">
        <w:t>des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12)</w:t>
      </w:r>
      <w:r w:rsidRPr="008516D1">
        <w:tab/>
      </w:r>
      <w:r w:rsidRPr="008516D1">
        <w:tab/>
      </w:r>
      <w:r w:rsidR="00F2321E">
        <w:t>16</w:t>
      </w:r>
    </w:p>
    <w:p w14:paraId="0B77561D" w14:textId="3611C709" w:rsidR="00286956" w:rsidRPr="008516D1" w:rsidRDefault="00286956" w:rsidP="003A61DD">
      <w:pPr>
        <w:tabs>
          <w:tab w:val="right" w:leader="dot" w:pos="8787"/>
          <w:tab w:val="right" w:pos="9638"/>
        </w:tabs>
        <w:spacing w:after="120"/>
        <w:ind w:left="1559" w:hanging="425"/>
      </w:pPr>
      <w:r w:rsidRPr="008516D1">
        <w:t>J.</w:t>
      </w:r>
      <w:r w:rsidRPr="008516D1">
        <w:tab/>
        <w:t>Enquête</w:t>
      </w:r>
      <w:r>
        <w:t xml:space="preserve"> </w:t>
      </w:r>
      <w:r w:rsidRPr="008516D1">
        <w:t>sur</w:t>
      </w:r>
      <w:r>
        <w:t xml:space="preserve"> </w:t>
      </w:r>
      <w:r w:rsidRPr="008516D1">
        <w:t>les</w:t>
      </w:r>
      <w:r>
        <w:t xml:space="preserve"> </w:t>
      </w:r>
      <w:r w:rsidRPr="008516D1">
        <w:t>cas</w:t>
      </w:r>
      <w:r>
        <w:t xml:space="preserve"> </w:t>
      </w:r>
      <w:r w:rsidRPr="008516D1">
        <w:t>de</w:t>
      </w:r>
      <w:r>
        <w:t xml:space="preserve"> </w:t>
      </w:r>
      <w:r w:rsidRPr="008516D1">
        <w:t>disparition</w:t>
      </w:r>
      <w:r>
        <w:t xml:space="preserve"> </w:t>
      </w:r>
      <w:r w:rsidRPr="008516D1">
        <w:t>de</w:t>
      </w:r>
      <w:r>
        <w:t xml:space="preserve"> </w:t>
      </w:r>
      <w:r w:rsidRPr="008516D1">
        <w:t>migrants</w:t>
      </w:r>
      <w:r w:rsidRPr="008516D1">
        <w:tab/>
      </w:r>
      <w:r w:rsidRPr="008516D1">
        <w:tab/>
      </w:r>
      <w:r w:rsidR="00F2321E">
        <w:t>17</w:t>
      </w:r>
    </w:p>
    <w:p w14:paraId="7C2F4942" w14:textId="02E13E0B" w:rsidR="00286956" w:rsidRPr="008516D1" w:rsidRDefault="00286956" w:rsidP="003A61DD">
      <w:pPr>
        <w:tabs>
          <w:tab w:val="right" w:leader="dot" w:pos="8787"/>
          <w:tab w:val="right" w:pos="9638"/>
        </w:tabs>
        <w:spacing w:after="120"/>
        <w:ind w:left="1559" w:hanging="425"/>
      </w:pPr>
      <w:r w:rsidRPr="008516D1">
        <w:t>K.</w:t>
      </w:r>
      <w:r w:rsidRPr="008516D1">
        <w:tab/>
        <w:t>Mesures</w:t>
      </w:r>
      <w:r>
        <w:t xml:space="preserve"> </w:t>
      </w:r>
      <w:r w:rsidRPr="008516D1">
        <w:t>visant</w:t>
      </w:r>
      <w:r>
        <w:t xml:space="preserve"> </w:t>
      </w:r>
      <w:r w:rsidRPr="008516D1">
        <w:t>à</w:t>
      </w:r>
      <w:r>
        <w:t xml:space="preserve"> </w:t>
      </w:r>
      <w:r w:rsidRPr="008516D1">
        <w:t>prévenir</w:t>
      </w:r>
      <w:r>
        <w:t xml:space="preserve"> </w:t>
      </w:r>
      <w:r w:rsidRPr="008516D1">
        <w:t>la</w:t>
      </w:r>
      <w:r>
        <w:t xml:space="preserve"> </w:t>
      </w:r>
      <w:r w:rsidRPr="008516D1">
        <w:t>disparition</w:t>
      </w:r>
      <w:r>
        <w:t xml:space="preserve"> </w:t>
      </w:r>
      <w:r w:rsidRPr="008516D1">
        <w:t>forcée</w:t>
      </w:r>
      <w:r>
        <w:t xml:space="preserve"> </w:t>
      </w:r>
      <w:r w:rsidRPr="008516D1">
        <w:t>de</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w:t>
      </w:r>
      <w:r w:rsidR="003A61DD">
        <w:t>art. </w:t>
      </w:r>
      <w:r w:rsidRPr="008516D1">
        <w:t>17)</w:t>
      </w:r>
      <w:r w:rsidRPr="008516D1">
        <w:tab/>
      </w:r>
      <w:r w:rsidRPr="008516D1">
        <w:tab/>
      </w:r>
      <w:r w:rsidR="008A5387">
        <w:t>22</w:t>
      </w:r>
    </w:p>
    <w:p w14:paraId="3D1A680E" w14:textId="5EAF87B3" w:rsidR="00286956" w:rsidRPr="008516D1" w:rsidRDefault="00286956" w:rsidP="003A61DD">
      <w:pPr>
        <w:tabs>
          <w:tab w:val="right" w:leader="dot" w:pos="8787"/>
          <w:tab w:val="right" w:pos="9638"/>
        </w:tabs>
        <w:spacing w:after="120"/>
        <w:ind w:left="1559" w:hanging="425"/>
      </w:pPr>
      <w:r w:rsidRPr="008516D1">
        <w:t>L.</w:t>
      </w:r>
      <w:r w:rsidRPr="008516D1">
        <w:tab/>
        <w:t>Mesures</w:t>
      </w:r>
      <w:r>
        <w:t xml:space="preserve"> </w:t>
      </w:r>
      <w:r w:rsidRPr="008516D1">
        <w:t>visant</w:t>
      </w:r>
      <w:r>
        <w:t xml:space="preserve"> </w:t>
      </w:r>
      <w:r w:rsidRPr="008516D1">
        <w:t>à</w:t>
      </w:r>
      <w:r>
        <w:t xml:space="preserve"> </w:t>
      </w:r>
      <w:r w:rsidRPr="008516D1">
        <w:t>assurer</w:t>
      </w:r>
      <w:r>
        <w:t xml:space="preserve"> </w:t>
      </w:r>
      <w:r w:rsidRPr="008516D1">
        <w:t>la</w:t>
      </w:r>
      <w:r>
        <w:t xml:space="preserve"> </w:t>
      </w:r>
      <w:r w:rsidRPr="008516D1">
        <w:t>protection</w:t>
      </w:r>
      <w:r>
        <w:t xml:space="preserve"> </w:t>
      </w:r>
      <w:r w:rsidRPr="008516D1">
        <w:t>des</w:t>
      </w:r>
      <w:r>
        <w:t xml:space="preserve"> </w:t>
      </w:r>
      <w:r w:rsidRPr="008516D1">
        <w:t>enfants</w:t>
      </w:r>
      <w:r>
        <w:t xml:space="preserve"> </w:t>
      </w:r>
      <w:r w:rsidRPr="008516D1">
        <w:t>et</w:t>
      </w:r>
      <w:r>
        <w:t xml:space="preserve"> </w:t>
      </w:r>
      <w:r w:rsidRPr="008516D1">
        <w:t>des</w:t>
      </w:r>
      <w:r>
        <w:t xml:space="preserve"> </w:t>
      </w:r>
      <w:r w:rsidRPr="008516D1">
        <w:t>adolescents</w:t>
      </w:r>
      <w:r>
        <w:t xml:space="preserve"> </w:t>
      </w:r>
      <w:r w:rsidRPr="008516D1">
        <w:t>victimes</w:t>
      </w:r>
      <w:r>
        <w:t xml:space="preserve"> </w:t>
      </w:r>
      <w:r w:rsidRPr="008516D1">
        <w:t>de</w:t>
      </w:r>
      <w:r>
        <w:t xml:space="preserve"> </w:t>
      </w:r>
      <w:r w:rsidRPr="008516D1">
        <w:br/>
        <w:t>disparition</w:t>
      </w:r>
      <w:r>
        <w:t xml:space="preserve"> </w:t>
      </w:r>
      <w:r w:rsidRPr="008516D1">
        <w:t>forcée</w:t>
      </w:r>
      <w:r>
        <w:t xml:space="preserve"> </w:t>
      </w:r>
      <w:r w:rsidRPr="008516D1">
        <w:t>(</w:t>
      </w:r>
      <w:r w:rsidR="003A61DD">
        <w:t>art. </w:t>
      </w:r>
      <w:r w:rsidRPr="008516D1">
        <w:t>25)</w:t>
      </w:r>
      <w:r w:rsidRPr="008516D1">
        <w:tab/>
      </w:r>
      <w:r w:rsidRPr="008516D1">
        <w:tab/>
      </w:r>
      <w:r w:rsidR="008A5387">
        <w:t>26</w:t>
      </w:r>
    </w:p>
    <w:p w14:paraId="3916BD53" w14:textId="08053E80" w:rsidR="00286956" w:rsidRPr="008516D1" w:rsidRDefault="00286956" w:rsidP="003A61DD">
      <w:pPr>
        <w:tabs>
          <w:tab w:val="right" w:leader="dot" w:pos="8787"/>
          <w:tab w:val="right" w:pos="9638"/>
        </w:tabs>
        <w:spacing w:after="120"/>
        <w:ind w:left="1559" w:hanging="425"/>
      </w:pPr>
      <w:r w:rsidRPr="008516D1">
        <w:t>M.</w:t>
      </w:r>
      <w:r w:rsidRPr="008516D1">
        <w:tab/>
        <w:t>Formation</w:t>
      </w:r>
      <w:r>
        <w:t xml:space="preserve"> </w:t>
      </w:r>
      <w:r w:rsidRPr="008516D1">
        <w:t>des</w:t>
      </w:r>
      <w:r>
        <w:t xml:space="preserve"> </w:t>
      </w:r>
      <w:r w:rsidRPr="008516D1">
        <w:t>agents</w:t>
      </w:r>
      <w:r>
        <w:t xml:space="preserve"> </w:t>
      </w:r>
      <w:r w:rsidRPr="008516D1">
        <w:t>de</w:t>
      </w:r>
      <w:r>
        <w:t xml:space="preserve"> </w:t>
      </w:r>
      <w:r w:rsidRPr="008516D1">
        <w:t>la</w:t>
      </w:r>
      <w:r>
        <w:t xml:space="preserve"> </w:t>
      </w:r>
      <w:r w:rsidRPr="008516D1">
        <w:t>fonction</w:t>
      </w:r>
      <w:r>
        <w:t xml:space="preserve"> </w:t>
      </w:r>
      <w:r w:rsidRPr="008516D1">
        <w:t>publique,</w:t>
      </w:r>
      <w:r>
        <w:t xml:space="preserve"> </w:t>
      </w:r>
      <w:r w:rsidRPr="008516D1">
        <w:t>du</w:t>
      </w:r>
      <w:r>
        <w:t xml:space="preserve"> </w:t>
      </w:r>
      <w:r w:rsidRPr="008516D1">
        <w:t>personnel</w:t>
      </w:r>
      <w:r>
        <w:t xml:space="preserve"> </w:t>
      </w:r>
      <w:r w:rsidRPr="008516D1">
        <w:t>des</w:t>
      </w:r>
      <w:r>
        <w:t xml:space="preserve"> </w:t>
      </w:r>
      <w:r w:rsidRPr="008516D1">
        <w:t>services</w:t>
      </w:r>
      <w:r>
        <w:t xml:space="preserve"> </w:t>
      </w:r>
      <w:r w:rsidRPr="008516D1">
        <w:t>judiciaires</w:t>
      </w:r>
      <w:r>
        <w:t xml:space="preserve"> </w:t>
      </w:r>
      <w:r w:rsidRPr="008516D1">
        <w:br/>
        <w:t>et</w:t>
      </w:r>
      <w:r>
        <w:t xml:space="preserve"> </w:t>
      </w:r>
      <w:r w:rsidRPr="008516D1">
        <w:t>du</w:t>
      </w:r>
      <w:r>
        <w:t xml:space="preserve"> </w:t>
      </w:r>
      <w:r w:rsidRPr="008516D1">
        <w:t>personnel</w:t>
      </w:r>
      <w:r>
        <w:t xml:space="preserve"> </w:t>
      </w:r>
      <w:r w:rsidRPr="008516D1">
        <w:t>chargé</w:t>
      </w:r>
      <w:r>
        <w:t xml:space="preserve"> </w:t>
      </w:r>
      <w:r w:rsidRPr="008516D1">
        <w:t>de</w:t>
      </w:r>
      <w:r>
        <w:t xml:space="preserve"> </w:t>
      </w:r>
      <w:r w:rsidRPr="008516D1">
        <w:t>l</w:t>
      </w:r>
      <w:r>
        <w:t>’</w:t>
      </w:r>
      <w:r w:rsidRPr="008516D1">
        <w:t>application</w:t>
      </w:r>
      <w:r>
        <w:t xml:space="preserve"> </w:t>
      </w:r>
      <w:r w:rsidRPr="008516D1">
        <w:t>des</w:t>
      </w:r>
      <w:r>
        <w:t xml:space="preserve"> </w:t>
      </w:r>
      <w:r w:rsidRPr="008516D1">
        <w:t>lois</w:t>
      </w:r>
      <w:r>
        <w:t xml:space="preserve"> </w:t>
      </w:r>
      <w:r w:rsidRPr="008516D1">
        <w:t>(</w:t>
      </w:r>
      <w:r w:rsidR="003A61DD">
        <w:t>art. </w:t>
      </w:r>
      <w:r w:rsidRPr="008516D1">
        <w:t>23)</w:t>
      </w:r>
      <w:r w:rsidRPr="008516D1">
        <w:tab/>
      </w:r>
      <w:r w:rsidRPr="008516D1">
        <w:tab/>
      </w:r>
      <w:r w:rsidR="008A5387">
        <w:t>28</w:t>
      </w:r>
    </w:p>
    <w:p w14:paraId="3869E3A2" w14:textId="1CC062A0" w:rsidR="00286956" w:rsidRPr="008516D1" w:rsidRDefault="00286956" w:rsidP="003A61DD">
      <w:pPr>
        <w:tabs>
          <w:tab w:val="right" w:leader="dot" w:pos="8787"/>
          <w:tab w:val="right" w:pos="9638"/>
        </w:tabs>
        <w:spacing w:after="120"/>
        <w:ind w:left="1559" w:hanging="425"/>
      </w:pPr>
      <w:r w:rsidRPr="008516D1">
        <w:t>N.</w:t>
      </w:r>
      <w:r w:rsidRPr="008516D1">
        <w:tab/>
        <w:t>Droits</w:t>
      </w:r>
      <w:r>
        <w:t xml:space="preserve"> </w:t>
      </w:r>
      <w:r w:rsidRPr="008516D1">
        <w:t>des</w:t>
      </w:r>
      <w:r>
        <w:t xml:space="preserve"> </w:t>
      </w:r>
      <w:r w:rsidRPr="008516D1">
        <w:t>personnes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24)</w:t>
      </w:r>
      <w:r w:rsidRPr="008516D1">
        <w:tab/>
      </w:r>
      <w:r w:rsidRPr="008516D1">
        <w:tab/>
      </w:r>
      <w:r w:rsidR="008A5387">
        <w:t>31</w:t>
      </w:r>
    </w:p>
    <w:p w14:paraId="514E8675" w14:textId="25BEEBC3" w:rsidR="00286956" w:rsidRPr="008516D1" w:rsidRDefault="00286956" w:rsidP="003A61DD">
      <w:pPr>
        <w:tabs>
          <w:tab w:val="right" w:leader="dot" w:pos="8787"/>
          <w:tab w:val="right" w:pos="9638"/>
        </w:tabs>
        <w:spacing w:after="120"/>
        <w:ind w:left="1559" w:hanging="425"/>
      </w:pPr>
      <w:r w:rsidRPr="008516D1">
        <w:t>O.</w:t>
      </w:r>
      <w:r w:rsidRPr="008516D1">
        <w:tab/>
        <w:t>Règles</w:t>
      </w:r>
      <w:r>
        <w:t xml:space="preserve"> </w:t>
      </w:r>
      <w:r w:rsidRPr="008516D1">
        <w:t>applicables</w:t>
      </w:r>
      <w:r>
        <w:t xml:space="preserve"> </w:t>
      </w:r>
      <w:r w:rsidRPr="008516D1">
        <w:t>aux</w:t>
      </w:r>
      <w:r>
        <w:t xml:space="preserve"> </w:t>
      </w:r>
      <w:r w:rsidRPr="008516D1">
        <w:t>communications</w:t>
      </w:r>
      <w:r>
        <w:t xml:space="preserve"> </w:t>
      </w:r>
      <w:r w:rsidRPr="008516D1">
        <w:t>(</w:t>
      </w:r>
      <w:r w:rsidR="003A61DD">
        <w:t>art. </w:t>
      </w:r>
      <w:r w:rsidRPr="008516D1">
        <w:t>30,</w:t>
      </w:r>
      <w:r>
        <w:t xml:space="preserve"> </w:t>
      </w:r>
      <w:r w:rsidRPr="008516D1">
        <w:t>31</w:t>
      </w:r>
      <w:r>
        <w:t xml:space="preserve"> </w:t>
      </w:r>
      <w:r w:rsidRPr="008516D1">
        <w:t>et</w:t>
      </w:r>
      <w:r>
        <w:t xml:space="preserve"> </w:t>
      </w:r>
      <w:r w:rsidRPr="008516D1">
        <w:t>32)</w:t>
      </w:r>
      <w:r w:rsidRPr="008516D1">
        <w:tab/>
      </w:r>
      <w:r w:rsidRPr="008516D1">
        <w:tab/>
      </w:r>
      <w:r w:rsidR="008A5387">
        <w:t>31</w:t>
      </w:r>
    </w:p>
    <w:p w14:paraId="4C8910B8" w14:textId="1FE63B66" w:rsidR="00286956" w:rsidRPr="008516D1" w:rsidRDefault="00286956" w:rsidP="003A61DD">
      <w:pPr>
        <w:tabs>
          <w:tab w:val="right" w:leader="dot" w:pos="8787"/>
          <w:tab w:val="right" w:pos="9638"/>
        </w:tabs>
        <w:spacing w:after="120"/>
        <w:ind w:left="1559" w:hanging="425"/>
      </w:pPr>
      <w:r w:rsidRPr="008516D1">
        <w:t>P.</w:t>
      </w:r>
      <w:r w:rsidRPr="008516D1">
        <w:tab/>
        <w:t>Diffusion</w:t>
      </w:r>
      <w:r>
        <w:t xml:space="preserve"> </w:t>
      </w:r>
      <w:r w:rsidRPr="008516D1">
        <w:t>et</w:t>
      </w:r>
      <w:r>
        <w:t xml:space="preserve"> </w:t>
      </w:r>
      <w:r w:rsidRPr="008516D1">
        <w:t>suivi</w:t>
      </w:r>
      <w:r w:rsidRPr="008516D1">
        <w:tab/>
      </w:r>
      <w:r w:rsidRPr="008516D1">
        <w:tab/>
      </w:r>
      <w:r w:rsidR="008A5387">
        <w:t>32</w:t>
      </w:r>
    </w:p>
    <w:p w14:paraId="415330FF" w14:textId="77777777" w:rsidR="00286956" w:rsidRPr="008516D1" w:rsidRDefault="00286956" w:rsidP="00286956">
      <w:pPr>
        <w:spacing w:line="240" w:lineRule="auto"/>
      </w:pPr>
      <w:r w:rsidRPr="008516D1">
        <w:br w:type="page"/>
      </w:r>
    </w:p>
    <w:p w14:paraId="2F8B6B6C" w14:textId="2E5FF8AA" w:rsidR="00286956" w:rsidRPr="008516D1" w:rsidRDefault="0013732F" w:rsidP="0013732F">
      <w:pPr>
        <w:pStyle w:val="HChG"/>
      </w:pPr>
      <w:bookmarkStart w:id="0" w:name="_Toc76740415"/>
      <w:bookmarkStart w:id="1" w:name="_Hlk70676270"/>
      <w:r>
        <w:lastRenderedPageBreak/>
        <w:tab/>
      </w:r>
      <w:r w:rsidR="00286956" w:rsidRPr="008516D1">
        <w:t>I.</w:t>
      </w:r>
      <w:r w:rsidR="00286956" w:rsidRPr="008516D1">
        <w:tab/>
        <w:t>Introduction</w:t>
      </w:r>
      <w:bookmarkEnd w:id="0"/>
    </w:p>
    <w:bookmarkEnd w:id="1"/>
    <w:p w14:paraId="12A4DE56" w14:textId="372D9F66" w:rsidR="00286956" w:rsidRPr="008516D1" w:rsidRDefault="00286956" w:rsidP="0013732F">
      <w:pPr>
        <w:pStyle w:val="SingleTxtG"/>
      </w:pPr>
      <w:r w:rsidRPr="008516D1">
        <w:t>1.</w:t>
      </w:r>
      <w:r w:rsidRPr="008516D1">
        <w:tab/>
        <w:t>Le</w:t>
      </w:r>
      <w:r>
        <w:t xml:space="preserve"> </w:t>
      </w:r>
      <w:r w:rsidRPr="008516D1">
        <w:t>Honduras</w:t>
      </w:r>
      <w:r>
        <w:t xml:space="preserve"> </w:t>
      </w:r>
      <w:r w:rsidRPr="008516D1">
        <w:t>a</w:t>
      </w:r>
      <w:r>
        <w:t xml:space="preserve"> </w:t>
      </w:r>
      <w:r w:rsidRPr="008516D1">
        <w:t>le</w:t>
      </w:r>
      <w:r>
        <w:t xml:space="preserve"> </w:t>
      </w:r>
      <w:r w:rsidRPr="008516D1">
        <w:t>plaisir</w:t>
      </w:r>
      <w:r>
        <w:t xml:space="preserve"> </w:t>
      </w:r>
      <w:r w:rsidRPr="008516D1">
        <w:t>de</w:t>
      </w:r>
      <w:r>
        <w:t xml:space="preserve"> </w:t>
      </w:r>
      <w:r w:rsidRPr="008516D1">
        <w:t>soumettre</w:t>
      </w:r>
      <w:r>
        <w:t xml:space="preserve"> </w:t>
      </w:r>
      <w:r w:rsidRPr="008516D1">
        <w:t>son</w:t>
      </w:r>
      <w:r>
        <w:t xml:space="preserve"> </w:t>
      </w:r>
      <w:r w:rsidRPr="008516D1">
        <w:t>rapport</w:t>
      </w:r>
      <w:r>
        <w:t xml:space="preserve"> </w:t>
      </w:r>
      <w:r w:rsidRPr="008516D1">
        <w:t>périodique</w:t>
      </w:r>
      <w:r>
        <w:rPr>
          <w:b/>
          <w:bCs/>
        </w:rPr>
        <w:t xml:space="preserve"> </w:t>
      </w:r>
      <w:r w:rsidRPr="008516D1">
        <w:t>au</w:t>
      </w:r>
      <w:r>
        <w:t xml:space="preserve"> </w:t>
      </w:r>
      <w:r w:rsidRPr="008516D1">
        <w:t>Comité</w:t>
      </w:r>
      <w:r>
        <w:t xml:space="preserve"> </w:t>
      </w:r>
      <w:r w:rsidRPr="008516D1">
        <w:t>des</w:t>
      </w:r>
      <w:r>
        <w:t xml:space="preserve"> </w:t>
      </w:r>
      <w:r w:rsidRPr="008516D1">
        <w:t>disparitions</w:t>
      </w:r>
      <w:r>
        <w:t xml:space="preserve"> </w:t>
      </w:r>
      <w:r w:rsidRPr="008516D1">
        <w:t>forcées,</w:t>
      </w:r>
      <w:r>
        <w:t xml:space="preserve"> </w:t>
      </w:r>
      <w:r w:rsidRPr="008516D1">
        <w:t>conformément</w:t>
      </w:r>
      <w:r>
        <w:t xml:space="preserve"> </w:t>
      </w:r>
      <w:r w:rsidRPr="008516D1">
        <w:t>aux</w:t>
      </w:r>
      <w:r>
        <w:t xml:space="preserve"> </w:t>
      </w:r>
      <w:r w:rsidRPr="008516D1">
        <w:t>engagements</w:t>
      </w:r>
      <w:r>
        <w:t xml:space="preserve"> </w:t>
      </w:r>
      <w:r w:rsidRPr="008516D1">
        <w:t>internationaux</w:t>
      </w:r>
      <w:r>
        <w:t xml:space="preserve"> </w:t>
      </w:r>
      <w:r w:rsidRPr="008516D1">
        <w:t>découlant</w:t>
      </w:r>
      <w:r>
        <w:t xml:space="preserve"> </w:t>
      </w:r>
      <w:r w:rsidRPr="008516D1">
        <w:t>de</w:t>
      </w:r>
      <w:r>
        <w:t xml:space="preserve"> </w:t>
      </w:r>
      <w:r w:rsidRPr="008516D1">
        <w:t>la</w:t>
      </w:r>
      <w:r>
        <w:t xml:space="preserve"> </w:t>
      </w:r>
      <w:r w:rsidRPr="008516D1">
        <w:t>Convention</w:t>
      </w:r>
      <w:r>
        <w:t xml:space="preserve"> </w:t>
      </w:r>
      <w:r w:rsidRPr="008516D1">
        <w:t>internationale</w:t>
      </w:r>
      <w:r>
        <w:t xml:space="preserve"> </w:t>
      </w:r>
      <w:r w:rsidRPr="008516D1">
        <w:t>pour</w:t>
      </w:r>
      <w:r>
        <w:t xml:space="preserve"> </w:t>
      </w:r>
      <w:r w:rsidRPr="008516D1">
        <w:t>la</w:t>
      </w:r>
      <w:r>
        <w:t xml:space="preserve"> </w:t>
      </w:r>
      <w:r w:rsidRPr="008516D1">
        <w:t>protection</w:t>
      </w:r>
      <w:r>
        <w:t xml:space="preserve"> </w:t>
      </w:r>
      <w:r w:rsidRPr="008516D1">
        <w:t>de</w:t>
      </w:r>
      <w:r>
        <w:t xml:space="preserve"> </w:t>
      </w:r>
      <w:r w:rsidRPr="008516D1">
        <w:t>toutes</w:t>
      </w:r>
      <w:r>
        <w:t xml:space="preserve"> </w:t>
      </w:r>
      <w:r w:rsidRPr="008516D1">
        <w:t>les</w:t>
      </w:r>
      <w:r>
        <w:t xml:space="preserve"> </w:t>
      </w:r>
      <w:r w:rsidRPr="008516D1">
        <w:t>personnes</w:t>
      </w:r>
      <w:r>
        <w:t xml:space="preserve"> </w:t>
      </w:r>
      <w:r w:rsidRPr="008516D1">
        <w:t>contre</w:t>
      </w:r>
      <w:r>
        <w:t xml:space="preserve"> </w:t>
      </w:r>
      <w:r w:rsidRPr="008516D1">
        <w:t>les</w:t>
      </w:r>
      <w:r>
        <w:t xml:space="preserve"> </w:t>
      </w:r>
      <w:r w:rsidRPr="008516D1">
        <w:t>disparitions</w:t>
      </w:r>
      <w:r>
        <w:t xml:space="preserve"> </w:t>
      </w:r>
      <w:r w:rsidRPr="008516D1">
        <w:t>forcées</w:t>
      </w:r>
      <w:r>
        <w:t xml:space="preserve"> </w:t>
      </w:r>
      <w:r w:rsidRPr="008516D1">
        <w:t>et</w:t>
      </w:r>
      <w:r>
        <w:t xml:space="preserve"> </w:t>
      </w:r>
      <w:r w:rsidRPr="008516D1">
        <w:t>des</w:t>
      </w:r>
      <w:r>
        <w:t xml:space="preserve"> </w:t>
      </w:r>
      <w:r w:rsidRPr="008516D1">
        <w:t>observations</w:t>
      </w:r>
      <w:r>
        <w:t xml:space="preserve"> </w:t>
      </w:r>
      <w:r w:rsidRPr="008516D1">
        <w:t>finales</w:t>
      </w:r>
      <w:r>
        <w:t xml:space="preserve"> </w:t>
      </w:r>
      <w:r w:rsidRPr="008516D1">
        <w:t>que</w:t>
      </w:r>
      <w:r>
        <w:t xml:space="preserve"> </w:t>
      </w:r>
      <w:r w:rsidRPr="008516D1">
        <w:t>le</w:t>
      </w:r>
      <w:r>
        <w:t xml:space="preserve"> </w:t>
      </w:r>
      <w:r w:rsidRPr="008516D1">
        <w:t>Comité</w:t>
      </w:r>
      <w:r>
        <w:t xml:space="preserve"> </w:t>
      </w:r>
      <w:r w:rsidRPr="008516D1">
        <w:t>a</w:t>
      </w:r>
      <w:r>
        <w:t xml:space="preserve"> </w:t>
      </w:r>
      <w:r w:rsidRPr="008516D1">
        <w:t>adoptées</w:t>
      </w:r>
      <w:r>
        <w:t xml:space="preserve"> </w:t>
      </w:r>
      <w:r w:rsidRPr="008516D1">
        <w:t>le</w:t>
      </w:r>
      <w:r>
        <w:t xml:space="preserve"> </w:t>
      </w:r>
      <w:r w:rsidRPr="008516D1">
        <w:t>4</w:t>
      </w:r>
      <w:r w:rsidR="003A61DD">
        <w:t> </w:t>
      </w:r>
      <w:r w:rsidRPr="008516D1">
        <w:t>juillet</w:t>
      </w:r>
      <w:r>
        <w:t xml:space="preserve"> </w:t>
      </w:r>
      <w:r w:rsidRPr="008516D1">
        <w:t>2018</w:t>
      </w:r>
      <w:r>
        <w:t xml:space="preserve"> </w:t>
      </w:r>
      <w:r w:rsidRPr="008516D1">
        <w:t>(CED/C/HND/CO/1,</w:t>
      </w:r>
      <w:r>
        <w:t xml:space="preserve"> </w:t>
      </w:r>
      <w:r w:rsidRPr="008516D1">
        <w:t>ci-après</w:t>
      </w:r>
      <w:r>
        <w:t xml:space="preserve"> </w:t>
      </w:r>
      <w:r w:rsidR="0013732F">
        <w:t>« </w:t>
      </w:r>
      <w:r w:rsidRPr="008516D1">
        <w:t>observations</w:t>
      </w:r>
      <w:r>
        <w:t xml:space="preserve"> </w:t>
      </w:r>
      <w:r w:rsidRPr="008516D1">
        <w:t>finales</w:t>
      </w:r>
      <w:r w:rsidR="0013732F">
        <w:t> »</w:t>
      </w:r>
      <w:r w:rsidRPr="008516D1">
        <w:t>).</w:t>
      </w:r>
    </w:p>
    <w:p w14:paraId="59F24363" w14:textId="77777777" w:rsidR="00286956" w:rsidRPr="008516D1" w:rsidRDefault="00286956" w:rsidP="0013732F">
      <w:pPr>
        <w:pStyle w:val="SingleTxtG"/>
      </w:pPr>
      <w:r w:rsidRPr="008516D1">
        <w:t>2.</w:t>
      </w:r>
      <w:r w:rsidRPr="008516D1">
        <w:tab/>
        <w:t>Établi</w:t>
      </w:r>
      <w:r>
        <w:t xml:space="preserve"> </w:t>
      </w:r>
      <w:r w:rsidRPr="008516D1">
        <w:t>conformément</w:t>
      </w:r>
      <w:r>
        <w:t xml:space="preserve"> </w:t>
      </w:r>
      <w:r w:rsidRPr="008516D1">
        <w:t>aux</w:t>
      </w:r>
      <w:r>
        <w:t xml:space="preserve"> </w:t>
      </w:r>
      <w:r w:rsidRPr="008516D1">
        <w:t>directives</w:t>
      </w:r>
      <w:r>
        <w:t xml:space="preserve"> </w:t>
      </w:r>
      <w:r w:rsidRPr="008516D1">
        <w:t>concernant</w:t>
      </w:r>
      <w:r>
        <w:t xml:space="preserve"> </w:t>
      </w:r>
      <w:r w:rsidRPr="008516D1">
        <w:t>la</w:t>
      </w:r>
      <w:r>
        <w:t xml:space="preserve"> </w:t>
      </w:r>
      <w:r w:rsidRPr="008516D1">
        <w:t>forme</w:t>
      </w:r>
      <w:r>
        <w:t xml:space="preserve"> </w:t>
      </w:r>
      <w:r w:rsidRPr="008516D1">
        <w:t>et</w:t>
      </w:r>
      <w:r>
        <w:t xml:space="preserve"> </w:t>
      </w:r>
      <w:r w:rsidRPr="008516D1">
        <w:t>le</w:t>
      </w:r>
      <w:r>
        <w:t xml:space="preserve"> </w:t>
      </w:r>
      <w:r w:rsidRPr="008516D1">
        <w:t>contenu</w:t>
      </w:r>
      <w:r>
        <w:t xml:space="preserve"> </w:t>
      </w:r>
      <w:r w:rsidRPr="008516D1">
        <w:t>des</w:t>
      </w:r>
      <w:r>
        <w:t xml:space="preserve"> </w:t>
      </w:r>
      <w:r w:rsidRPr="008516D1">
        <w:t>rapports</w:t>
      </w:r>
      <w:r>
        <w:t xml:space="preserve"> </w:t>
      </w:r>
      <w:r w:rsidRPr="008516D1">
        <w:t>(CED/C/2),</w:t>
      </w:r>
      <w:r>
        <w:t xml:space="preserve"> </w:t>
      </w:r>
      <w:r w:rsidRPr="008516D1">
        <w:t>le</w:t>
      </w:r>
      <w:r>
        <w:t xml:space="preserve"> </w:t>
      </w:r>
      <w:r w:rsidRPr="008516D1">
        <w:t>présent</w:t>
      </w:r>
      <w:r>
        <w:t xml:space="preserve"> </w:t>
      </w:r>
      <w:r w:rsidRPr="008516D1">
        <w:t>document</w:t>
      </w:r>
      <w:r>
        <w:t xml:space="preserve"> </w:t>
      </w:r>
      <w:r w:rsidRPr="008516D1">
        <w:t>couvre</w:t>
      </w:r>
      <w:r>
        <w:t xml:space="preserve"> </w:t>
      </w:r>
      <w:r w:rsidRPr="008516D1">
        <w:t>la</w:t>
      </w:r>
      <w:r>
        <w:t xml:space="preserve"> </w:t>
      </w:r>
      <w:r w:rsidRPr="008516D1">
        <w:t>période</w:t>
      </w:r>
      <w:r>
        <w:t xml:space="preserve"> </w:t>
      </w:r>
      <w:r w:rsidRPr="008516D1">
        <w:t>2016-2021.</w:t>
      </w:r>
      <w:r>
        <w:t xml:space="preserve"> </w:t>
      </w:r>
      <w:r w:rsidRPr="008516D1">
        <w:t>Il</w:t>
      </w:r>
      <w:r>
        <w:t xml:space="preserve"> </w:t>
      </w:r>
      <w:r w:rsidRPr="008516D1">
        <w:t>expose</w:t>
      </w:r>
      <w:r>
        <w:t xml:space="preserve"> </w:t>
      </w:r>
      <w:r w:rsidRPr="008516D1">
        <w:t>les</w:t>
      </w:r>
      <w:r>
        <w:t xml:space="preserve"> </w:t>
      </w:r>
      <w:r w:rsidRPr="008516D1">
        <w:t>principales</w:t>
      </w:r>
      <w:r>
        <w:t xml:space="preserve"> </w:t>
      </w:r>
      <w:r w:rsidRPr="008516D1">
        <w:t>mesures</w:t>
      </w:r>
      <w:r>
        <w:t xml:space="preserve"> </w:t>
      </w:r>
      <w:r w:rsidRPr="008516D1">
        <w:t>adoptées,</w:t>
      </w:r>
      <w:r>
        <w:t xml:space="preserve"> </w:t>
      </w:r>
      <w:r w:rsidRPr="008516D1">
        <w:t>les</w:t>
      </w:r>
      <w:r>
        <w:t xml:space="preserve"> </w:t>
      </w:r>
      <w:r w:rsidRPr="008516D1">
        <w:t>progrès</w:t>
      </w:r>
      <w:r>
        <w:t xml:space="preserve"> </w:t>
      </w:r>
      <w:r w:rsidRPr="008516D1">
        <w:t>accomplis</w:t>
      </w:r>
      <w:r>
        <w:t xml:space="preserve"> </w:t>
      </w:r>
      <w:r w:rsidRPr="008516D1">
        <w:t>et</w:t>
      </w:r>
      <w:r>
        <w:t xml:space="preserve"> </w:t>
      </w:r>
      <w:r w:rsidRPr="008516D1">
        <w:t>les</w:t>
      </w:r>
      <w:r>
        <w:t xml:space="preserve"> </w:t>
      </w:r>
      <w:r w:rsidRPr="008516D1">
        <w:t>défis</w:t>
      </w:r>
      <w:r>
        <w:t xml:space="preserve"> </w:t>
      </w:r>
      <w:r w:rsidRPr="008516D1">
        <w:t>à</w:t>
      </w:r>
      <w:r>
        <w:t xml:space="preserve"> </w:t>
      </w:r>
      <w:r w:rsidRPr="008516D1">
        <w:t>relever</w:t>
      </w:r>
      <w:r>
        <w:t xml:space="preserve"> </w:t>
      </w:r>
      <w:r w:rsidRPr="008516D1">
        <w:t>pour</w:t>
      </w:r>
      <w:r>
        <w:t xml:space="preserve"> </w:t>
      </w:r>
      <w:r w:rsidRPr="008516D1">
        <w:t>garantir</w:t>
      </w:r>
      <w:r>
        <w:t xml:space="preserve"> </w:t>
      </w:r>
      <w:r w:rsidRPr="008516D1">
        <w:t>les</w:t>
      </w:r>
      <w:r>
        <w:t xml:space="preserve"> </w:t>
      </w:r>
      <w:r w:rsidRPr="008516D1">
        <w:t>droits</w:t>
      </w:r>
      <w:r>
        <w:t xml:space="preserve"> </w:t>
      </w:r>
      <w:r w:rsidRPr="008516D1">
        <w:t>consacrés</w:t>
      </w:r>
      <w:r>
        <w:t xml:space="preserve"> </w:t>
      </w:r>
      <w:r w:rsidRPr="008516D1">
        <w:t>par</w:t>
      </w:r>
      <w:r>
        <w:t xml:space="preserve"> </w:t>
      </w:r>
      <w:r w:rsidRPr="008516D1">
        <w:t>la</w:t>
      </w:r>
      <w:r>
        <w:t xml:space="preserve"> </w:t>
      </w:r>
      <w:r w:rsidRPr="008516D1">
        <w:t>Convention,</w:t>
      </w:r>
      <w:r>
        <w:t xml:space="preserve"> </w:t>
      </w:r>
      <w:r w:rsidRPr="008516D1">
        <w:t>ainsi</w:t>
      </w:r>
      <w:r>
        <w:t xml:space="preserve"> </w:t>
      </w:r>
      <w:r w:rsidRPr="008516D1">
        <w:t>que</w:t>
      </w:r>
      <w:r>
        <w:t xml:space="preserve"> </w:t>
      </w:r>
      <w:r w:rsidRPr="008516D1">
        <w:t>les</w:t>
      </w:r>
      <w:r>
        <w:t xml:space="preserve"> </w:t>
      </w:r>
      <w:r w:rsidRPr="008516D1">
        <w:t>mesures</w:t>
      </w:r>
      <w:r>
        <w:t xml:space="preserve"> </w:t>
      </w:r>
      <w:r w:rsidRPr="008516D1">
        <w:t>prises</w:t>
      </w:r>
      <w:r>
        <w:t xml:space="preserve"> </w:t>
      </w:r>
      <w:r w:rsidRPr="008516D1">
        <w:t>pour</w:t>
      </w:r>
      <w:r>
        <w:t xml:space="preserve"> </w:t>
      </w:r>
      <w:r w:rsidRPr="008516D1">
        <w:t>prévenir</w:t>
      </w:r>
      <w:r>
        <w:t xml:space="preserve"> </w:t>
      </w:r>
      <w:r w:rsidRPr="008516D1">
        <w:t>les</w:t>
      </w:r>
      <w:r>
        <w:t xml:space="preserve"> </w:t>
      </w:r>
      <w:r w:rsidRPr="008516D1">
        <w:t>disparitions</w:t>
      </w:r>
      <w:r>
        <w:t xml:space="preserve"> </w:t>
      </w:r>
      <w:r w:rsidRPr="008516D1">
        <w:t>forcées,</w:t>
      </w:r>
      <w:r>
        <w:t xml:space="preserve"> </w:t>
      </w:r>
      <w:r w:rsidRPr="008516D1">
        <w:t>enquêter</w:t>
      </w:r>
      <w:r>
        <w:t xml:space="preserve"> </w:t>
      </w:r>
      <w:r w:rsidRPr="008516D1">
        <w:t>en</w:t>
      </w:r>
      <w:r>
        <w:t xml:space="preserve"> </w:t>
      </w:r>
      <w:r w:rsidRPr="008516D1">
        <w:t>cas</w:t>
      </w:r>
      <w:r>
        <w:t xml:space="preserve"> </w:t>
      </w:r>
      <w:r w:rsidRPr="008516D1">
        <w:t>de</w:t>
      </w:r>
      <w:r>
        <w:t xml:space="preserve"> </w:t>
      </w:r>
      <w:r w:rsidRPr="008516D1">
        <w:t>suspicion</w:t>
      </w:r>
      <w:r>
        <w:t xml:space="preserve"> </w:t>
      </w:r>
      <w:r w:rsidRPr="008516D1">
        <w:t>de</w:t>
      </w:r>
      <w:r>
        <w:t xml:space="preserve"> </w:t>
      </w:r>
      <w:r w:rsidRPr="008516D1">
        <w:t>disparition</w:t>
      </w:r>
      <w:r>
        <w:t xml:space="preserve"> </w:t>
      </w:r>
      <w:r w:rsidRPr="008516D1">
        <w:t>forcée</w:t>
      </w:r>
      <w:r>
        <w:t xml:space="preserve"> </w:t>
      </w:r>
      <w:r w:rsidRPr="008516D1">
        <w:t>et</w:t>
      </w:r>
      <w:r>
        <w:t xml:space="preserve"> </w:t>
      </w:r>
      <w:r w:rsidRPr="008516D1">
        <w:t>punir</w:t>
      </w:r>
      <w:r>
        <w:t xml:space="preserve"> </w:t>
      </w:r>
      <w:r w:rsidRPr="008516D1">
        <w:t>les</w:t>
      </w:r>
      <w:r>
        <w:t xml:space="preserve"> </w:t>
      </w:r>
      <w:r w:rsidRPr="008516D1">
        <w:t>auteurs</w:t>
      </w:r>
      <w:r>
        <w:t xml:space="preserve"> </w:t>
      </w:r>
      <w:r w:rsidRPr="008516D1">
        <w:t>de</w:t>
      </w:r>
      <w:r>
        <w:t xml:space="preserve"> </w:t>
      </w:r>
      <w:r w:rsidRPr="008516D1">
        <w:t>tels</w:t>
      </w:r>
      <w:r>
        <w:t xml:space="preserve"> </w:t>
      </w:r>
      <w:r w:rsidRPr="008516D1">
        <w:t>actes.</w:t>
      </w:r>
    </w:p>
    <w:p w14:paraId="3E100502" w14:textId="77777777" w:rsidR="00286956" w:rsidRPr="008516D1" w:rsidRDefault="00286956" w:rsidP="0013732F">
      <w:pPr>
        <w:pStyle w:val="SingleTxtG"/>
      </w:pPr>
      <w:r w:rsidRPr="008516D1">
        <w:t>3.</w:t>
      </w:r>
      <w:r w:rsidRPr="008516D1">
        <w:tab/>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sa</w:t>
      </w:r>
      <w:r>
        <w:t xml:space="preserve"> </w:t>
      </w:r>
      <w:r w:rsidRPr="008516D1">
        <w:t>qualité</w:t>
      </w:r>
      <w:r>
        <w:t xml:space="preserve"> </w:t>
      </w:r>
      <w:r w:rsidRPr="008516D1">
        <w:t>d</w:t>
      </w:r>
      <w:r>
        <w:t>’</w:t>
      </w:r>
      <w:r w:rsidRPr="008516D1">
        <w:t>institution</w:t>
      </w:r>
      <w:r>
        <w:t xml:space="preserve"> </w:t>
      </w:r>
      <w:r w:rsidRPr="008516D1">
        <w:t>responsable</w:t>
      </w:r>
      <w:r>
        <w:t xml:space="preserve"> </w:t>
      </w:r>
      <w:r w:rsidRPr="008516D1">
        <w:t>de</w:t>
      </w:r>
      <w:r>
        <w:t xml:space="preserve"> </w:t>
      </w:r>
      <w:r w:rsidRPr="008516D1">
        <w:t>la</w:t>
      </w:r>
      <w:r>
        <w:t xml:space="preserve"> </w:t>
      </w:r>
      <w:r w:rsidRPr="008516D1">
        <w:t>soumission</w:t>
      </w:r>
      <w:r>
        <w:t xml:space="preserve"> </w:t>
      </w:r>
      <w:r w:rsidRPr="008516D1">
        <w:t>des</w:t>
      </w:r>
      <w:r>
        <w:t xml:space="preserve"> </w:t>
      </w:r>
      <w:r w:rsidRPr="008516D1">
        <w:t>rapports</w:t>
      </w:r>
      <w:r>
        <w:t xml:space="preserve"> </w:t>
      </w:r>
      <w:r w:rsidRPr="008516D1">
        <w:t>aux</w:t>
      </w:r>
      <w:r>
        <w:t xml:space="preserve"> </w:t>
      </w:r>
      <w:r w:rsidRPr="008516D1">
        <w:t>organes</w:t>
      </w:r>
      <w:r>
        <w:t xml:space="preserve"> </w:t>
      </w:r>
      <w:r w:rsidRPr="008516D1">
        <w:t>conventionnels,</w:t>
      </w:r>
      <w:r>
        <w:t xml:space="preserve"> </w:t>
      </w:r>
      <w:r w:rsidRPr="008516D1">
        <w:t>a</w:t>
      </w:r>
      <w:r>
        <w:t xml:space="preserve"> </w:t>
      </w:r>
      <w:r w:rsidRPr="008516D1">
        <w:t>établi</w:t>
      </w:r>
      <w:r>
        <w:t xml:space="preserve"> </w:t>
      </w:r>
      <w:r w:rsidRPr="008516D1">
        <w:t>le</w:t>
      </w:r>
      <w:r>
        <w:t xml:space="preserve"> </w:t>
      </w:r>
      <w:r w:rsidRPr="008516D1">
        <w:t>présent</w:t>
      </w:r>
      <w:r>
        <w:t xml:space="preserve"> </w:t>
      </w:r>
      <w:r w:rsidRPr="008516D1">
        <w:t>rapport</w:t>
      </w:r>
      <w:r>
        <w:t xml:space="preserve"> </w:t>
      </w:r>
      <w:r w:rsidRPr="008516D1">
        <w:t>en</w:t>
      </w:r>
      <w:r>
        <w:t xml:space="preserve"> </w:t>
      </w:r>
      <w:r w:rsidRPr="008516D1">
        <w:t>coordination</w:t>
      </w:r>
      <w:r>
        <w:t xml:space="preserve"> </w:t>
      </w:r>
      <w:r w:rsidRPr="008516D1">
        <w:t>avec</w:t>
      </w:r>
      <w:r>
        <w:t xml:space="preserve"> </w:t>
      </w:r>
      <w:r w:rsidRPr="008516D1">
        <w:t>le</w:t>
      </w:r>
      <w:r>
        <w:t xml:space="preserve"> </w:t>
      </w:r>
      <w:r w:rsidRPr="008516D1">
        <w:t>Groupe</w:t>
      </w:r>
      <w:r>
        <w:t xml:space="preserve"> </w:t>
      </w:r>
      <w:r w:rsidRPr="008516D1">
        <w:t>spécial</w:t>
      </w:r>
      <w:r>
        <w:t xml:space="preserve"> </w:t>
      </w:r>
      <w:r w:rsidRPr="008516D1">
        <w:t>de</w:t>
      </w:r>
      <w:r>
        <w:t xml:space="preserve"> </w:t>
      </w:r>
      <w:r w:rsidRPr="008516D1">
        <w:t>réponse</w:t>
      </w:r>
      <w:r>
        <w:t xml:space="preserve"> </w:t>
      </w:r>
      <w:r w:rsidRPr="008516D1">
        <w:t>dans</w:t>
      </w:r>
      <w:r>
        <w:t xml:space="preserve"> </w:t>
      </w:r>
      <w:r w:rsidRPr="008516D1">
        <w:t>le</w:t>
      </w:r>
      <w:r>
        <w:t xml:space="preserve"> </w:t>
      </w:r>
      <w:r w:rsidRPr="008516D1">
        <w:t>domaine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qui,</w:t>
      </w:r>
      <w:r>
        <w:t xml:space="preserve"> </w:t>
      </w:r>
      <w:r w:rsidRPr="008516D1">
        <w:t>au</w:t>
      </w:r>
      <w:r>
        <w:t xml:space="preserve"> </w:t>
      </w:r>
      <w:r w:rsidRPr="008516D1">
        <w:t>sein</w:t>
      </w:r>
      <w:r>
        <w:t xml:space="preserve"> </w:t>
      </w:r>
      <w:r w:rsidRPr="008516D1">
        <w:t>du</w:t>
      </w:r>
      <w:r>
        <w:t xml:space="preserve"> </w:t>
      </w:r>
      <w:r w:rsidRPr="008516D1">
        <w:t>Système</w:t>
      </w:r>
      <w:r>
        <w:t xml:space="preserve"> </w:t>
      </w:r>
      <w:r w:rsidRPr="008516D1">
        <w:t>hondurien</w:t>
      </w:r>
      <w:r>
        <w:t xml:space="preserve"> </w:t>
      </w:r>
      <w:r w:rsidRPr="008516D1">
        <w:t>de</w:t>
      </w:r>
      <w:r>
        <w:t xml:space="preserve"> </w:t>
      </w:r>
      <w:r w:rsidRPr="008516D1">
        <w:t>suivi</w:t>
      </w:r>
      <w:r>
        <w:t xml:space="preserve"> </w:t>
      </w:r>
      <w:r w:rsidRPr="008516D1">
        <w:t>des</w:t>
      </w:r>
      <w:r>
        <w:t xml:space="preserve"> </w:t>
      </w:r>
      <w:r w:rsidRPr="008516D1">
        <w:t>recommandations,</w:t>
      </w:r>
      <w:r>
        <w:t xml:space="preserve"> </w:t>
      </w:r>
      <w:r w:rsidRPr="008516D1">
        <w:t>est</w:t>
      </w:r>
      <w:r>
        <w:t xml:space="preserve"> </w:t>
      </w:r>
      <w:r w:rsidRPr="008516D1">
        <w:t>chargé</w:t>
      </w:r>
      <w:r>
        <w:t xml:space="preserve"> </w:t>
      </w:r>
      <w:r w:rsidRPr="008516D1">
        <w:t>de</w:t>
      </w:r>
      <w:r>
        <w:t xml:space="preserve"> </w:t>
      </w:r>
      <w:r w:rsidRPr="008516D1">
        <w:t>fournir</w:t>
      </w:r>
      <w:r>
        <w:t xml:space="preserve"> </w:t>
      </w:r>
      <w:r w:rsidRPr="008516D1">
        <w:t>les</w:t>
      </w:r>
      <w:r>
        <w:t xml:space="preserve"> </w:t>
      </w:r>
      <w:r w:rsidRPr="008516D1">
        <w:t>informations</w:t>
      </w:r>
      <w:r>
        <w:t xml:space="preserve"> </w:t>
      </w:r>
      <w:r w:rsidRPr="008516D1">
        <w:t>nécessaires.</w:t>
      </w:r>
    </w:p>
    <w:p w14:paraId="079CE19E" w14:textId="32D35D83" w:rsidR="00286956" w:rsidRPr="008516D1" w:rsidRDefault="00286956" w:rsidP="0013732F">
      <w:pPr>
        <w:pStyle w:val="SingleTxtG"/>
      </w:pPr>
      <w:r w:rsidRPr="008516D1">
        <w:t>4.</w:t>
      </w:r>
      <w:r w:rsidRPr="008516D1">
        <w:tab/>
        <w:t>Dans</w:t>
      </w:r>
      <w:r>
        <w:t xml:space="preserve"> </w:t>
      </w:r>
      <w:r w:rsidRPr="008516D1">
        <w:t>sa</w:t>
      </w:r>
      <w:r>
        <w:t xml:space="preserve"> </w:t>
      </w:r>
      <w:r w:rsidRPr="008516D1">
        <w:t>politique</w:t>
      </w:r>
      <w:r>
        <w:t xml:space="preserve"> </w:t>
      </w:r>
      <w:r w:rsidRPr="008516D1">
        <w:t>publique</w:t>
      </w:r>
      <w:r>
        <w:t xml:space="preserve"> </w:t>
      </w:r>
      <w:r w:rsidRPr="008516D1">
        <w:t>relative</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Honduras</w:t>
      </w:r>
      <w:r>
        <w:t xml:space="preserve"> </w:t>
      </w:r>
      <w:r w:rsidRPr="008516D1">
        <w:t>réaffirme</w:t>
      </w:r>
      <w:r>
        <w:t xml:space="preserve"> </w:t>
      </w:r>
      <w:r w:rsidRPr="008516D1">
        <w:t>sa</w:t>
      </w:r>
      <w:r>
        <w:t xml:space="preserve"> </w:t>
      </w:r>
      <w:r w:rsidRPr="008516D1">
        <w:t>volonté</w:t>
      </w:r>
      <w:r>
        <w:t xml:space="preserve"> </w:t>
      </w:r>
      <w:r w:rsidRPr="008516D1">
        <w:t>de</w:t>
      </w:r>
      <w:r>
        <w:t xml:space="preserve"> </w:t>
      </w:r>
      <w:r w:rsidRPr="008516D1">
        <w:t>collaborer,</w:t>
      </w:r>
      <w:r>
        <w:t xml:space="preserve"> </w:t>
      </w:r>
      <w:r w:rsidRPr="008516D1">
        <w:t>d</w:t>
      </w:r>
      <w:r>
        <w:t>’</w:t>
      </w:r>
      <w:r w:rsidRPr="008516D1">
        <w:t>œuvrer</w:t>
      </w:r>
      <w:r>
        <w:t xml:space="preserve"> </w:t>
      </w:r>
      <w:r w:rsidRPr="008516D1">
        <w:t>en</w:t>
      </w:r>
      <w:r>
        <w:t xml:space="preserve"> </w:t>
      </w:r>
      <w:r w:rsidRPr="008516D1">
        <w:t>faveur</w:t>
      </w:r>
      <w:r>
        <w:t xml:space="preserve"> </w:t>
      </w:r>
      <w:r w:rsidRPr="008516D1">
        <w:t>de</w:t>
      </w:r>
      <w:r>
        <w:t xml:space="preserve"> </w:t>
      </w:r>
      <w:r w:rsidRPr="008516D1">
        <w:t>la</w:t>
      </w:r>
      <w:r>
        <w:t xml:space="preserve"> </w:t>
      </w:r>
      <w:r w:rsidRPr="008516D1">
        <w:t>transparence</w:t>
      </w:r>
      <w:r>
        <w:t xml:space="preserve"> </w:t>
      </w:r>
      <w:r w:rsidRPr="008516D1">
        <w:t>et</w:t>
      </w:r>
      <w:r>
        <w:t xml:space="preserve"> </w:t>
      </w:r>
      <w:r w:rsidRPr="008516D1">
        <w:t>de</w:t>
      </w:r>
      <w:r>
        <w:t xml:space="preserve"> </w:t>
      </w:r>
      <w:r w:rsidRPr="008516D1">
        <w:t>rendre</w:t>
      </w:r>
      <w:r w:rsidR="0013732F">
        <w:t>-</w:t>
      </w:r>
      <w:r w:rsidRPr="008516D1">
        <w:t>compte</w:t>
      </w:r>
      <w:r>
        <w:t xml:space="preserve"> </w:t>
      </w:r>
      <w:r w:rsidRPr="008516D1">
        <w:t>aux</w:t>
      </w:r>
      <w:r>
        <w:t xml:space="preserve"> </w:t>
      </w:r>
      <w:r w:rsidRPr="008516D1">
        <w:t>mécanismes</w:t>
      </w:r>
      <w:r>
        <w:t xml:space="preserve"> </w:t>
      </w:r>
      <w:r w:rsidRPr="008516D1">
        <w:t>nationaux</w:t>
      </w:r>
      <w:r>
        <w:t xml:space="preserve"> </w:t>
      </w:r>
      <w:r w:rsidRPr="008516D1">
        <w:t>et</w:t>
      </w:r>
      <w:r>
        <w:t xml:space="preserve"> </w:t>
      </w:r>
      <w:r w:rsidRPr="008516D1">
        <w:t>internationaux</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28880D3E" w14:textId="77777777" w:rsidR="00286956" w:rsidRPr="008516D1" w:rsidRDefault="00286956" w:rsidP="0013732F">
      <w:pPr>
        <w:pStyle w:val="HChG"/>
      </w:pPr>
      <w:bookmarkStart w:id="2" w:name="_Toc76740416"/>
      <w:r w:rsidRPr="008516D1">
        <w:tab/>
        <w:t>II.</w:t>
      </w:r>
      <w:r w:rsidRPr="008516D1">
        <w:tab/>
        <w:t>Cadre</w:t>
      </w:r>
      <w:r>
        <w:t xml:space="preserve"> </w:t>
      </w:r>
      <w:r w:rsidRPr="008516D1">
        <w:t>juridique</w:t>
      </w:r>
      <w:r>
        <w:t xml:space="preserve"> </w:t>
      </w:r>
      <w:r w:rsidRPr="008516D1">
        <w:t>général</w:t>
      </w:r>
      <w:r>
        <w:t xml:space="preserve"> </w:t>
      </w:r>
      <w:r w:rsidRPr="008516D1">
        <w:t>de</w:t>
      </w:r>
      <w:r>
        <w:t xml:space="preserve"> </w:t>
      </w:r>
      <w:r w:rsidRPr="008516D1">
        <w:t>l</w:t>
      </w:r>
      <w:r>
        <w:t>’</w:t>
      </w:r>
      <w:r w:rsidRPr="008516D1">
        <w:t>interdiction</w:t>
      </w:r>
      <w:r>
        <w:t xml:space="preserve"> </w:t>
      </w:r>
      <w:r w:rsidRPr="008516D1">
        <w:t>de</w:t>
      </w:r>
      <w:r>
        <w:t xml:space="preserve"> </w:t>
      </w:r>
      <w:r w:rsidRPr="008516D1">
        <w:t>la</w:t>
      </w:r>
      <w:r>
        <w:t xml:space="preserve"> </w:t>
      </w:r>
      <w:r w:rsidRPr="008516D1">
        <w:t>disparition</w:t>
      </w:r>
      <w:r>
        <w:t xml:space="preserve"> </w:t>
      </w:r>
      <w:r w:rsidRPr="008516D1">
        <w:t>forcée</w:t>
      </w:r>
      <w:bookmarkEnd w:id="2"/>
    </w:p>
    <w:p w14:paraId="0670C8C3" w14:textId="77777777" w:rsidR="00286956" w:rsidRPr="008516D1" w:rsidRDefault="00286956" w:rsidP="0013732F">
      <w:pPr>
        <w:pStyle w:val="H1G"/>
      </w:pPr>
      <w:bookmarkStart w:id="3" w:name="_Toc76740417"/>
      <w:r w:rsidRPr="008516D1">
        <w:tab/>
        <w:t>A.</w:t>
      </w:r>
      <w:r w:rsidRPr="008516D1">
        <w:tab/>
        <w:t>Instruments</w:t>
      </w:r>
      <w:r>
        <w:t xml:space="preserve"> </w:t>
      </w:r>
      <w:r w:rsidRPr="008516D1">
        <w:t>internationaux</w:t>
      </w:r>
      <w:bookmarkEnd w:id="3"/>
    </w:p>
    <w:p w14:paraId="2FD28E06" w14:textId="47325B26" w:rsidR="00286956" w:rsidRPr="008516D1" w:rsidRDefault="00286956" w:rsidP="0013732F">
      <w:pPr>
        <w:pStyle w:val="SingleTxtG"/>
        <w:keepNext/>
      </w:pPr>
      <w:r w:rsidRPr="008516D1">
        <w:t>5.</w:t>
      </w:r>
      <w:r w:rsidRPr="008516D1">
        <w:tab/>
        <w:t>Le</w:t>
      </w:r>
      <w:r>
        <w:t xml:space="preserve"> </w:t>
      </w:r>
      <w:r w:rsidRPr="008516D1">
        <w:t>Honduras</w:t>
      </w:r>
      <w:r>
        <w:t xml:space="preserve"> </w:t>
      </w:r>
      <w:r w:rsidRPr="008516D1">
        <w:t>signale</w:t>
      </w:r>
      <w:r>
        <w:t xml:space="preserve"> </w:t>
      </w:r>
      <w:r w:rsidRPr="008516D1">
        <w:t>au</w:t>
      </w:r>
      <w:r>
        <w:t xml:space="preserve"> </w:t>
      </w:r>
      <w:r w:rsidRPr="008516D1">
        <w:t>Comité</w:t>
      </w:r>
      <w:r>
        <w:t xml:space="preserve"> </w:t>
      </w:r>
      <w:r w:rsidRPr="008516D1">
        <w:t>que</w:t>
      </w:r>
      <w:r>
        <w:t xml:space="preserve"> </w:t>
      </w:r>
      <w:r w:rsidRPr="008516D1">
        <w:t>les</w:t>
      </w:r>
      <w:r>
        <w:t xml:space="preserve"> </w:t>
      </w:r>
      <w:r w:rsidRPr="008516D1">
        <w:t>instruments</w:t>
      </w:r>
      <w:r>
        <w:t xml:space="preserve"> </w:t>
      </w:r>
      <w:r w:rsidRPr="008516D1">
        <w:t>suivants</w:t>
      </w:r>
      <w:r>
        <w:t xml:space="preserve"> </w:t>
      </w:r>
      <w:r w:rsidRPr="008516D1">
        <w:t>ont</w:t>
      </w:r>
      <w:r>
        <w:t xml:space="preserve"> </w:t>
      </w:r>
      <w:r w:rsidRPr="008516D1">
        <w:t>été</w:t>
      </w:r>
      <w:r>
        <w:t xml:space="preserve"> </w:t>
      </w:r>
      <w:r w:rsidRPr="008516D1">
        <w:t>ratifiés</w:t>
      </w:r>
      <w:r>
        <w:t xml:space="preserve"> </w:t>
      </w:r>
      <w:r w:rsidRPr="008516D1">
        <w:t>au</w:t>
      </w:r>
      <w:r>
        <w:t xml:space="preserve"> </w:t>
      </w:r>
      <w:r w:rsidRPr="008516D1">
        <w:t>cours</w:t>
      </w:r>
      <w:r>
        <w:t xml:space="preserve"> </w:t>
      </w:r>
      <w:r w:rsidRPr="008516D1">
        <w:t>de</w:t>
      </w:r>
      <w:r>
        <w:t xml:space="preserve"> </w:t>
      </w:r>
      <w:r w:rsidRPr="008516D1">
        <w:t>la</w:t>
      </w:r>
      <w:r>
        <w:t xml:space="preserve"> </w:t>
      </w:r>
      <w:r w:rsidRPr="008516D1">
        <w:t>période</w:t>
      </w:r>
      <w:r>
        <w:t xml:space="preserve"> </w:t>
      </w:r>
      <w:r w:rsidRPr="008516D1">
        <w:t>considérée</w:t>
      </w:r>
      <w:r>
        <w:t> :</w:t>
      </w:r>
    </w:p>
    <w:p w14:paraId="3B9F43F6" w14:textId="4AE00AFA" w:rsidR="00286956" w:rsidRPr="008516D1" w:rsidRDefault="00286956" w:rsidP="0013732F">
      <w:pPr>
        <w:pStyle w:val="SingleTxtG"/>
        <w:ind w:firstLine="567"/>
      </w:pPr>
      <w:r w:rsidRPr="008516D1">
        <w:t>a)</w:t>
      </w:r>
      <w:r w:rsidRPr="008516D1">
        <w:tab/>
        <w:t>Traité</w:t>
      </w:r>
      <w:r>
        <w:t xml:space="preserve"> </w:t>
      </w:r>
      <w:r w:rsidRPr="008516D1">
        <w:t>sur</w:t>
      </w:r>
      <w:r>
        <w:t xml:space="preserve"> </w:t>
      </w:r>
      <w:r w:rsidRPr="008516D1">
        <w:t>le</w:t>
      </w:r>
      <w:r>
        <w:t xml:space="preserve"> </w:t>
      </w:r>
      <w:r w:rsidRPr="008516D1">
        <w:t>commerce</w:t>
      </w:r>
      <w:r>
        <w:t xml:space="preserve"> </w:t>
      </w:r>
      <w:r w:rsidRPr="008516D1">
        <w:t>des</w:t>
      </w:r>
      <w:r>
        <w:t xml:space="preserve"> </w:t>
      </w:r>
      <w:r w:rsidRPr="008516D1">
        <w:t>armes</w:t>
      </w:r>
      <w:r w:rsidRPr="008516D1">
        <w:rPr>
          <w:rStyle w:val="Appelnotedebasdep"/>
        </w:rPr>
        <w:footnoteReference w:id="3"/>
      </w:r>
      <w:r>
        <w:t> ;</w:t>
      </w:r>
    </w:p>
    <w:p w14:paraId="67FF0EA7" w14:textId="518DE03B" w:rsidR="00286956" w:rsidRPr="008516D1" w:rsidRDefault="00286956" w:rsidP="0013732F">
      <w:pPr>
        <w:pStyle w:val="SingleTxtG"/>
        <w:ind w:firstLine="567"/>
      </w:pPr>
      <w:r w:rsidRPr="008516D1">
        <w:t>b)</w:t>
      </w:r>
      <w:r w:rsidRPr="008516D1">
        <w:tab/>
        <w:t>Protocole</w:t>
      </w:r>
      <w:r>
        <w:t xml:space="preserve"> </w:t>
      </w:r>
      <w:r w:rsidRPr="008516D1">
        <w:t>facultatif</w:t>
      </w:r>
      <w:r>
        <w:t xml:space="preserve"> </w:t>
      </w:r>
      <w:r w:rsidRPr="008516D1">
        <w:t>se</w:t>
      </w:r>
      <w:r>
        <w:t xml:space="preserve"> </w:t>
      </w:r>
      <w:r w:rsidRPr="008516D1">
        <w:t>rapportant</w:t>
      </w:r>
      <w:r>
        <w:t xml:space="preserve"> </w:t>
      </w:r>
      <w:r w:rsidRPr="008516D1">
        <w:t>au</w:t>
      </w:r>
      <w:r>
        <w:t xml:space="preserve"> </w:t>
      </w:r>
      <w:r w:rsidRPr="008516D1">
        <w:t>Pacte</w:t>
      </w:r>
      <w:r>
        <w:t xml:space="preserve"> </w:t>
      </w:r>
      <w:r w:rsidRPr="008516D1">
        <w:t>international</w:t>
      </w:r>
      <w:r>
        <w:t xml:space="preserve"> </w:t>
      </w:r>
      <w:r w:rsidRPr="008516D1">
        <w:t>relatif</w:t>
      </w:r>
      <w:r>
        <w:t xml:space="preserve"> </w:t>
      </w:r>
      <w:r w:rsidRPr="008516D1">
        <w:t>aux</w:t>
      </w:r>
      <w:r>
        <w:t xml:space="preserve"> </w:t>
      </w:r>
      <w:r w:rsidRPr="008516D1">
        <w:t>droits</w:t>
      </w:r>
      <w:r>
        <w:t xml:space="preserve"> </w:t>
      </w:r>
      <w:r w:rsidRPr="008516D1">
        <w:t>économiques,</w:t>
      </w:r>
      <w:r>
        <w:t xml:space="preserve"> </w:t>
      </w:r>
      <w:r w:rsidRPr="008516D1">
        <w:t>sociaux</w:t>
      </w:r>
      <w:r>
        <w:t xml:space="preserve"> </w:t>
      </w:r>
      <w:r w:rsidRPr="008516D1">
        <w:t>et</w:t>
      </w:r>
      <w:r>
        <w:t xml:space="preserve"> </w:t>
      </w:r>
      <w:r w:rsidRPr="008516D1">
        <w:t>culturels</w:t>
      </w:r>
      <w:r w:rsidRPr="008516D1">
        <w:rPr>
          <w:rStyle w:val="Appelnotedebasdep"/>
        </w:rPr>
        <w:footnoteReference w:id="4"/>
      </w:r>
      <w:r>
        <w:t> ;</w:t>
      </w:r>
    </w:p>
    <w:p w14:paraId="3EE21826" w14:textId="04FBF90B" w:rsidR="00286956" w:rsidRPr="008516D1" w:rsidRDefault="00286956" w:rsidP="0013732F">
      <w:pPr>
        <w:pStyle w:val="SingleTxtG"/>
        <w:ind w:firstLine="567"/>
      </w:pPr>
      <w:r w:rsidRPr="008516D1">
        <w:t>c)</w:t>
      </w:r>
      <w:r w:rsidRPr="008516D1">
        <w:tab/>
        <w:t>Traité</w:t>
      </w:r>
      <w:r>
        <w:t xml:space="preserve"> </w:t>
      </w:r>
      <w:r w:rsidRPr="008516D1">
        <w:t>sur</w:t>
      </w:r>
      <w:r>
        <w:t xml:space="preserve"> </w:t>
      </w:r>
      <w:r w:rsidRPr="008516D1">
        <w:t>l</w:t>
      </w:r>
      <w:r>
        <w:t>’</w:t>
      </w:r>
      <w:r w:rsidRPr="008516D1">
        <w:t>interdiction</w:t>
      </w:r>
      <w:r>
        <w:t xml:space="preserve"> </w:t>
      </w:r>
      <w:r w:rsidRPr="008516D1">
        <w:t>des</w:t>
      </w:r>
      <w:r>
        <w:t xml:space="preserve"> </w:t>
      </w:r>
      <w:r w:rsidRPr="008516D1">
        <w:t>armes</w:t>
      </w:r>
      <w:r>
        <w:t xml:space="preserve"> </w:t>
      </w:r>
      <w:r w:rsidRPr="008516D1">
        <w:t>nucléaires</w:t>
      </w:r>
      <w:r w:rsidRPr="008516D1">
        <w:rPr>
          <w:rStyle w:val="Appelnotedebasdep"/>
        </w:rPr>
        <w:footnoteReference w:id="5"/>
      </w:r>
      <w:r>
        <w:t> ;</w:t>
      </w:r>
    </w:p>
    <w:p w14:paraId="02C550D6" w14:textId="4B4A85CD" w:rsidR="00286956" w:rsidRPr="008516D1" w:rsidRDefault="00286956" w:rsidP="0013732F">
      <w:pPr>
        <w:pStyle w:val="SingleTxtG"/>
        <w:ind w:firstLine="567"/>
      </w:pPr>
      <w:r w:rsidRPr="008516D1">
        <w:t>d)</w:t>
      </w:r>
      <w:r w:rsidRPr="008516D1">
        <w:tab/>
        <w:t>Adoption</w:t>
      </w:r>
      <w:r>
        <w:t xml:space="preserve"> </w:t>
      </w:r>
      <w:r w:rsidRPr="008516D1">
        <w:t>du</w:t>
      </w:r>
      <w:r>
        <w:t xml:space="preserve"> </w:t>
      </w:r>
      <w:r w:rsidRPr="008516D1">
        <w:t>Programme</w:t>
      </w:r>
      <w:r>
        <w:t xml:space="preserve"> </w:t>
      </w:r>
      <w:r w:rsidRPr="008516D1">
        <w:t>national</w:t>
      </w:r>
      <w:r>
        <w:t xml:space="preserve"> </w:t>
      </w:r>
      <w:r w:rsidRPr="008516D1">
        <w:t>de</w:t>
      </w:r>
      <w:r>
        <w:t xml:space="preserve"> </w:t>
      </w:r>
      <w:r w:rsidRPr="008516D1">
        <w:t>développement</w:t>
      </w:r>
      <w:r>
        <w:t xml:space="preserve"> </w:t>
      </w:r>
      <w:r w:rsidRPr="008516D1">
        <w:t>durable</w:t>
      </w:r>
      <w:r>
        <w:t xml:space="preserve"> </w:t>
      </w:r>
      <w:r w:rsidRPr="008516D1">
        <w:t>à</w:t>
      </w:r>
      <w:r>
        <w:t xml:space="preserve"> </w:t>
      </w:r>
      <w:r w:rsidRPr="008516D1">
        <w:t>l</w:t>
      </w:r>
      <w:r>
        <w:t>’</w:t>
      </w:r>
      <w:r w:rsidRPr="008516D1">
        <w:t>horizon</w:t>
      </w:r>
      <w:r>
        <w:t xml:space="preserve"> </w:t>
      </w:r>
      <w:r w:rsidRPr="008516D1">
        <w:t>2030</w:t>
      </w:r>
      <w:r w:rsidRPr="008516D1">
        <w:rPr>
          <w:rStyle w:val="Appelnotedebasdep"/>
        </w:rPr>
        <w:footnoteReference w:id="6"/>
      </w:r>
      <w:r>
        <w:t xml:space="preserve"> ; </w:t>
      </w:r>
      <w:r w:rsidRPr="008516D1">
        <w:t>et</w:t>
      </w:r>
    </w:p>
    <w:p w14:paraId="66BACBDA" w14:textId="78E383F7" w:rsidR="00286956" w:rsidRPr="008516D1" w:rsidRDefault="00286956" w:rsidP="0013732F">
      <w:pPr>
        <w:pStyle w:val="SingleTxtG"/>
        <w:ind w:firstLine="567"/>
      </w:pPr>
      <w:r w:rsidRPr="008516D1">
        <w:t>e)</w:t>
      </w:r>
      <w:r w:rsidRPr="008516D1">
        <w:tab/>
        <w:t>Convention</w:t>
      </w:r>
      <w:r>
        <w:t xml:space="preserve"> </w:t>
      </w:r>
      <w:r w:rsidRPr="008516D1">
        <w:t>sur</w:t>
      </w:r>
      <w:r>
        <w:t xml:space="preserve"> </w:t>
      </w:r>
      <w:r w:rsidRPr="008516D1">
        <w:t>la</w:t>
      </w:r>
      <w:r>
        <w:t xml:space="preserve"> </w:t>
      </w:r>
      <w:r w:rsidRPr="008516D1">
        <w:t>protection</w:t>
      </w:r>
      <w:r>
        <w:t xml:space="preserve"> </w:t>
      </w:r>
      <w:r w:rsidRPr="008516D1">
        <w:t>des</w:t>
      </w:r>
      <w:r>
        <w:t xml:space="preserve"> </w:t>
      </w:r>
      <w:r w:rsidRPr="008516D1">
        <w:t>enfants</w:t>
      </w:r>
      <w:r>
        <w:t xml:space="preserve"> </w:t>
      </w:r>
      <w:r w:rsidRPr="008516D1">
        <w:t>et</w:t>
      </w:r>
      <w:r>
        <w:t xml:space="preserve"> </w:t>
      </w:r>
      <w:r w:rsidRPr="008516D1">
        <w:t>la</w:t>
      </w:r>
      <w:r>
        <w:t xml:space="preserve"> </w:t>
      </w:r>
      <w:r w:rsidRPr="008516D1">
        <w:t>coopération</w:t>
      </w:r>
      <w:r>
        <w:t xml:space="preserve"> </w:t>
      </w:r>
      <w:r w:rsidRPr="008516D1">
        <w:t>en</w:t>
      </w:r>
      <w:r>
        <w:t xml:space="preserve"> </w:t>
      </w:r>
      <w:r w:rsidRPr="008516D1">
        <w:t>matière</w:t>
      </w:r>
      <w:r>
        <w:t xml:space="preserve"> </w:t>
      </w:r>
      <w:r w:rsidRPr="008516D1">
        <w:t>d</w:t>
      </w:r>
      <w:r>
        <w:t>’</w:t>
      </w:r>
      <w:r w:rsidRPr="008516D1">
        <w:t>adoption</w:t>
      </w:r>
      <w:r>
        <w:t xml:space="preserve"> </w:t>
      </w:r>
      <w:r w:rsidRPr="008516D1">
        <w:t>internationale</w:t>
      </w:r>
      <w:r>
        <w:t xml:space="preserve"> </w:t>
      </w:r>
      <w:r w:rsidRPr="008516D1">
        <w:t>(La</w:t>
      </w:r>
      <w:r>
        <w:t xml:space="preserve"> </w:t>
      </w:r>
      <w:r w:rsidRPr="008516D1">
        <w:t>Haye,</w:t>
      </w:r>
      <w:r>
        <w:t xml:space="preserve"> </w:t>
      </w:r>
      <w:r w:rsidRPr="008516D1">
        <w:t>1993)</w:t>
      </w:r>
      <w:r w:rsidRPr="008516D1">
        <w:rPr>
          <w:rStyle w:val="Appelnotedebasdep"/>
        </w:rPr>
        <w:footnoteReference w:id="7"/>
      </w:r>
      <w:r w:rsidRPr="008516D1">
        <w:t>.</w:t>
      </w:r>
    </w:p>
    <w:p w14:paraId="272B472F" w14:textId="77777777" w:rsidR="00286956" w:rsidRPr="008516D1" w:rsidRDefault="00286956" w:rsidP="0013732F">
      <w:pPr>
        <w:pStyle w:val="H1G"/>
      </w:pPr>
      <w:bookmarkStart w:id="4" w:name="_Toc76740418"/>
      <w:r w:rsidRPr="008516D1">
        <w:tab/>
        <w:t>B.</w:t>
      </w:r>
      <w:r w:rsidRPr="008516D1">
        <w:tab/>
        <w:t>Droit</w:t>
      </w:r>
      <w:r>
        <w:t xml:space="preserve"> </w:t>
      </w:r>
      <w:r w:rsidRPr="008516D1">
        <w:t>interne,</w:t>
      </w:r>
      <w:r>
        <w:t xml:space="preserve"> </w:t>
      </w:r>
      <w:r w:rsidRPr="008516D1">
        <w:t>règlements</w:t>
      </w:r>
      <w:r>
        <w:t xml:space="preserve"> </w:t>
      </w:r>
      <w:r w:rsidRPr="008516D1">
        <w:t>nationaux</w:t>
      </w:r>
      <w:r>
        <w:t xml:space="preserve"> </w:t>
      </w:r>
      <w:r w:rsidRPr="008516D1">
        <w:t>et</w:t>
      </w:r>
      <w:r>
        <w:t xml:space="preserve"> </w:t>
      </w:r>
      <w:r w:rsidRPr="008516D1">
        <w:t>autres</w:t>
      </w:r>
      <w:r>
        <w:t xml:space="preserve"> </w:t>
      </w:r>
      <w:r w:rsidRPr="008516D1">
        <w:t>règles</w:t>
      </w:r>
      <w:r>
        <w:t xml:space="preserve"> </w:t>
      </w:r>
      <w:r w:rsidRPr="008516D1">
        <w:t>nationales</w:t>
      </w:r>
      <w:bookmarkEnd w:id="4"/>
    </w:p>
    <w:p w14:paraId="4256B083" w14:textId="286512D3" w:rsidR="00286956" w:rsidRPr="008516D1" w:rsidRDefault="00286956" w:rsidP="0013732F">
      <w:pPr>
        <w:pStyle w:val="SingleTxtG"/>
        <w:keepNext/>
      </w:pPr>
      <w:r w:rsidRPr="008516D1">
        <w:t>6.</w:t>
      </w:r>
      <w:r w:rsidRPr="008516D1">
        <w:tab/>
        <w:t>Les</w:t>
      </w:r>
      <w:r>
        <w:t xml:space="preserve"> </w:t>
      </w:r>
      <w:r w:rsidRPr="008516D1">
        <w:t>instruments</w:t>
      </w:r>
      <w:r>
        <w:t xml:space="preserve"> </w:t>
      </w:r>
      <w:r w:rsidRPr="008516D1">
        <w:t>juridiques</w:t>
      </w:r>
      <w:r>
        <w:t xml:space="preserve"> </w:t>
      </w:r>
      <w:r w:rsidRPr="008516D1">
        <w:t>suivants</w:t>
      </w:r>
      <w:r>
        <w:t xml:space="preserve"> </w:t>
      </w:r>
      <w:r w:rsidRPr="008516D1">
        <w:t>ont</w:t>
      </w:r>
      <w:r>
        <w:t xml:space="preserve"> </w:t>
      </w:r>
      <w:r w:rsidRPr="008516D1">
        <w:t>été</w:t>
      </w:r>
      <w:r>
        <w:t xml:space="preserve"> </w:t>
      </w:r>
      <w:r w:rsidRPr="008516D1">
        <w:t>adoptés</w:t>
      </w:r>
      <w:r>
        <w:t xml:space="preserve"> </w:t>
      </w:r>
      <w:r w:rsidRPr="008516D1">
        <w:t>au</w:t>
      </w:r>
      <w:r>
        <w:t xml:space="preserve"> </w:t>
      </w:r>
      <w:r w:rsidRPr="008516D1">
        <w:t>cours</w:t>
      </w:r>
      <w:r>
        <w:t xml:space="preserve"> </w:t>
      </w:r>
      <w:r w:rsidRPr="008516D1">
        <w:t>de</w:t>
      </w:r>
      <w:r>
        <w:t xml:space="preserve"> </w:t>
      </w:r>
      <w:r w:rsidRPr="008516D1">
        <w:t>la</w:t>
      </w:r>
      <w:r>
        <w:t xml:space="preserve"> </w:t>
      </w:r>
      <w:r w:rsidRPr="008516D1">
        <w:t>période</w:t>
      </w:r>
      <w:r>
        <w:t xml:space="preserve"> </w:t>
      </w:r>
      <w:r w:rsidRPr="008516D1">
        <w:t>considérée</w:t>
      </w:r>
      <w:r>
        <w:t> :</w:t>
      </w:r>
    </w:p>
    <w:p w14:paraId="12BE74A6" w14:textId="5E0ABF40" w:rsidR="00286956" w:rsidRPr="008516D1" w:rsidRDefault="00286956" w:rsidP="0013732F">
      <w:pPr>
        <w:pStyle w:val="SingleTxtG"/>
        <w:ind w:firstLine="567"/>
      </w:pPr>
      <w:r w:rsidRPr="008516D1">
        <w:t>a)</w:t>
      </w:r>
      <w:r w:rsidRPr="008516D1">
        <w:tab/>
        <w:t>Loi</w:t>
      </w:r>
      <w:r>
        <w:t xml:space="preserve"> </w:t>
      </w:r>
      <w:r w:rsidRPr="008516D1">
        <w:t>relative</w:t>
      </w:r>
      <w:r>
        <w:t xml:space="preserve"> </w:t>
      </w:r>
      <w:r w:rsidRPr="008516D1">
        <w:t>à</w:t>
      </w:r>
      <w:r>
        <w:t xml:space="preserve"> </w:t>
      </w:r>
      <w:r w:rsidRPr="008516D1">
        <w:t>l</w:t>
      </w:r>
      <w:r>
        <w:t>’</w:t>
      </w:r>
      <w:r w:rsidRPr="008516D1">
        <w:t>alerte</w:t>
      </w:r>
      <w:r>
        <w:t xml:space="preserve"> </w:t>
      </w:r>
      <w:r w:rsidRPr="008516D1">
        <w:t>précoce</w:t>
      </w:r>
      <w:r>
        <w:t xml:space="preserve"> </w:t>
      </w:r>
      <w:r w:rsidRPr="008516D1">
        <w:t>Amber</w:t>
      </w:r>
      <w:r>
        <w:t xml:space="preserve"> </w:t>
      </w:r>
      <w:r w:rsidRPr="008516D1">
        <w:t>(</w:t>
      </w:r>
      <w:r w:rsidRPr="003A61DD">
        <w:rPr>
          <w:i/>
          <w:lang w:val="en-GB"/>
        </w:rPr>
        <w:t>America’s Missing: Broadcast Emergency Response</w:t>
      </w:r>
      <w:r w:rsidRPr="008516D1">
        <w:t>)</w:t>
      </w:r>
      <w:r>
        <w:t xml:space="preserve"> </w:t>
      </w:r>
      <w:r w:rsidRPr="008516D1">
        <w:t>visant</w:t>
      </w:r>
      <w:r>
        <w:t xml:space="preserve"> </w:t>
      </w:r>
      <w:r w:rsidRPr="008516D1">
        <w:t>à</w:t>
      </w:r>
      <w:r>
        <w:t xml:space="preserve"> </w:t>
      </w:r>
      <w:r w:rsidRPr="008516D1">
        <w:t>localiser</w:t>
      </w:r>
      <w:r>
        <w:t xml:space="preserve"> </w:t>
      </w:r>
      <w:r w:rsidRPr="008516D1">
        <w:t>et</w:t>
      </w:r>
      <w:r>
        <w:t xml:space="preserve"> </w:t>
      </w:r>
      <w:r w:rsidRPr="008516D1">
        <w:t>à</w:t>
      </w:r>
      <w:r>
        <w:t xml:space="preserve"> </w:t>
      </w:r>
      <w:r w:rsidRPr="008516D1">
        <w:t>protéger</w:t>
      </w:r>
      <w:r>
        <w:t xml:space="preserve"> </w:t>
      </w:r>
      <w:r w:rsidRPr="008516D1">
        <w:t>les</w:t>
      </w:r>
      <w:r>
        <w:t xml:space="preserve"> </w:t>
      </w:r>
      <w:r w:rsidRPr="008516D1">
        <w:t>enfants</w:t>
      </w:r>
      <w:r>
        <w:t xml:space="preserve"> </w:t>
      </w:r>
      <w:r w:rsidRPr="008516D1">
        <w:t>et</w:t>
      </w:r>
      <w:r>
        <w:t xml:space="preserve"> </w:t>
      </w:r>
      <w:r w:rsidRPr="008516D1">
        <w:t>les</w:t>
      </w:r>
      <w:r>
        <w:t xml:space="preserve"> </w:t>
      </w:r>
      <w:r w:rsidRPr="008516D1">
        <w:t>adolescents</w:t>
      </w:r>
      <w:r>
        <w:t xml:space="preserve"> </w:t>
      </w:r>
      <w:r w:rsidRPr="008516D1">
        <w:t>disparus</w:t>
      </w:r>
      <w:r>
        <w:t xml:space="preserve"> </w:t>
      </w:r>
      <w:r w:rsidRPr="008516D1">
        <w:t>ou</w:t>
      </w:r>
      <w:r>
        <w:t xml:space="preserve"> </w:t>
      </w:r>
      <w:r w:rsidRPr="008516D1">
        <w:t>enlevés</w:t>
      </w:r>
      <w:r w:rsidRPr="008516D1">
        <w:rPr>
          <w:rStyle w:val="Appelnotedebasdep"/>
        </w:rPr>
        <w:footnoteReference w:id="8"/>
      </w:r>
      <w:r>
        <w:t> ;</w:t>
      </w:r>
    </w:p>
    <w:p w14:paraId="2F8DBCBA" w14:textId="2F1D9EFA" w:rsidR="00286956" w:rsidRPr="008516D1" w:rsidRDefault="00286956" w:rsidP="0013732F">
      <w:pPr>
        <w:pStyle w:val="SingleTxtG"/>
        <w:ind w:firstLine="567"/>
      </w:pPr>
      <w:r w:rsidRPr="008516D1">
        <w:lastRenderedPageBreak/>
        <w:t>b)</w:t>
      </w:r>
      <w:r w:rsidRPr="008516D1">
        <w:tab/>
        <w:t>Loi</w:t>
      </w:r>
      <w:r>
        <w:t xml:space="preserve"> </w:t>
      </w:r>
      <w:r w:rsidRPr="008516D1">
        <w:t>organique</w:t>
      </w:r>
      <w:r>
        <w:t xml:space="preserve"> </w:t>
      </w:r>
      <w:r w:rsidRPr="008516D1">
        <w:t>relative</w:t>
      </w:r>
      <w:r>
        <w:t xml:space="preserve"> </w:t>
      </w:r>
      <w:r w:rsidRPr="008516D1">
        <w:t>au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et</w:t>
      </w:r>
      <w:r>
        <w:t xml:space="preserve"> </w:t>
      </w:r>
      <w:r w:rsidRPr="008516D1">
        <w:t>de</w:t>
      </w:r>
      <w:r>
        <w:t xml:space="preserve"> </w:t>
      </w:r>
      <w:r w:rsidRPr="008516D1">
        <w:t>la</w:t>
      </w:r>
      <w:r>
        <w:t xml:space="preserve"> </w:t>
      </w:r>
      <w:r w:rsidR="00AB2CD9">
        <w:t>Police nationale</w:t>
      </w:r>
      <w:r>
        <w:t xml:space="preserve"> </w:t>
      </w:r>
      <w:r w:rsidRPr="008516D1">
        <w:t>du</w:t>
      </w:r>
      <w:r>
        <w:t xml:space="preserve"> </w:t>
      </w:r>
      <w:r w:rsidRPr="008516D1">
        <w:t>Honduras</w:t>
      </w:r>
      <w:r w:rsidRPr="008516D1">
        <w:rPr>
          <w:rStyle w:val="Appelnotedebasdep"/>
        </w:rPr>
        <w:footnoteReference w:id="9"/>
      </w:r>
      <w:r>
        <w:t> ;</w:t>
      </w:r>
    </w:p>
    <w:p w14:paraId="6B8DFCCA" w14:textId="7343E04E" w:rsidR="00286956" w:rsidRPr="008516D1" w:rsidRDefault="00286956" w:rsidP="0013732F">
      <w:pPr>
        <w:pStyle w:val="SingleTxtG"/>
        <w:ind w:firstLine="567"/>
      </w:pPr>
      <w:r w:rsidRPr="008516D1">
        <w:t>c)</w:t>
      </w:r>
      <w:r w:rsidRPr="008516D1">
        <w:tab/>
        <w:t>Loi</w:t>
      </w:r>
      <w:r>
        <w:t xml:space="preserve"> </w:t>
      </w:r>
      <w:r w:rsidRPr="008516D1">
        <w:t>relative</w:t>
      </w:r>
      <w:r>
        <w:t xml:space="preserve"> </w:t>
      </w:r>
      <w:r w:rsidRPr="008516D1">
        <w:t>aux</w:t>
      </w:r>
      <w:r>
        <w:t xml:space="preserve"> </w:t>
      </w:r>
      <w:r w:rsidRPr="008516D1">
        <w:t>carrières</w:t>
      </w:r>
      <w:r>
        <w:t xml:space="preserve"> </w:t>
      </w:r>
      <w:r w:rsidRPr="008516D1">
        <w:t>de</w:t>
      </w:r>
      <w:r>
        <w:t xml:space="preserve"> </w:t>
      </w:r>
      <w:r w:rsidRPr="008516D1">
        <w:t>la</w:t>
      </w:r>
      <w:r>
        <w:t xml:space="preserve"> </w:t>
      </w:r>
      <w:r w:rsidRPr="008516D1">
        <w:t>police</w:t>
      </w:r>
      <w:r w:rsidRPr="008516D1">
        <w:rPr>
          <w:rStyle w:val="Appelnotedebasdep"/>
        </w:rPr>
        <w:footnoteReference w:id="10"/>
      </w:r>
      <w:r>
        <w:t xml:space="preserve"> </w:t>
      </w:r>
      <w:r w:rsidRPr="008516D1">
        <w:t>et</w:t>
      </w:r>
      <w:r>
        <w:t xml:space="preserve"> </w:t>
      </w:r>
      <w:r w:rsidRPr="008516D1">
        <w:t>son</w:t>
      </w:r>
      <w:r>
        <w:t xml:space="preserve"> </w:t>
      </w:r>
      <w:r w:rsidRPr="008516D1">
        <w:t>règlement</w:t>
      </w:r>
      <w:r>
        <w:t xml:space="preserve"> </w:t>
      </w:r>
      <w:r w:rsidRPr="008516D1">
        <w:t>d</w:t>
      </w:r>
      <w:r>
        <w:t>’</w:t>
      </w:r>
      <w:r w:rsidRPr="008516D1">
        <w:t>application</w:t>
      </w:r>
      <w:r w:rsidRPr="008516D1">
        <w:rPr>
          <w:rStyle w:val="Appelnotedebasdep"/>
        </w:rPr>
        <w:footnoteReference w:id="11"/>
      </w:r>
      <w:r>
        <w:t> ;</w:t>
      </w:r>
    </w:p>
    <w:p w14:paraId="4127CDB0" w14:textId="428B40DB" w:rsidR="00286956" w:rsidRPr="008516D1" w:rsidRDefault="00286956" w:rsidP="0013732F">
      <w:pPr>
        <w:pStyle w:val="SingleTxtG"/>
        <w:ind w:firstLine="567"/>
      </w:pPr>
      <w:r w:rsidRPr="008516D1">
        <w:t>d)</w:t>
      </w:r>
      <w:r w:rsidRPr="008516D1">
        <w:tab/>
        <w:t>Loi</w:t>
      </w:r>
      <w:r>
        <w:t xml:space="preserve"> </w:t>
      </w:r>
      <w:r w:rsidRPr="008516D1">
        <w:t>relative</w:t>
      </w:r>
      <w:r>
        <w:t xml:space="preserve"> </w:t>
      </w:r>
      <w:r w:rsidRPr="008516D1">
        <w:t>au</w:t>
      </w:r>
      <w:r>
        <w:t xml:space="preserve"> </w:t>
      </w:r>
      <w:r w:rsidRPr="008516D1">
        <w:t>contrôle</w:t>
      </w:r>
      <w:r>
        <w:t xml:space="preserve"> </w:t>
      </w:r>
      <w:r w:rsidRPr="008516D1">
        <w:t>des</w:t>
      </w:r>
      <w:r>
        <w:t xml:space="preserve"> </w:t>
      </w:r>
      <w:r w:rsidRPr="008516D1">
        <w:t>armes</w:t>
      </w:r>
      <w:r>
        <w:t xml:space="preserve"> </w:t>
      </w:r>
      <w:r w:rsidRPr="008516D1">
        <w:t>à</w:t>
      </w:r>
      <w:r>
        <w:t xml:space="preserve"> </w:t>
      </w:r>
      <w:r w:rsidRPr="008516D1">
        <w:t>feu,</w:t>
      </w:r>
      <w:r>
        <w:t xml:space="preserve"> </w:t>
      </w:r>
      <w:r w:rsidRPr="008516D1">
        <w:t>munitions,</w:t>
      </w:r>
      <w:r>
        <w:t xml:space="preserve"> </w:t>
      </w:r>
      <w:r w:rsidRPr="008516D1">
        <w:t>explosifs</w:t>
      </w:r>
      <w:r>
        <w:t xml:space="preserve"> </w:t>
      </w:r>
      <w:r w:rsidRPr="008516D1">
        <w:t>et</w:t>
      </w:r>
      <w:r>
        <w:t xml:space="preserve"> </w:t>
      </w:r>
      <w:r w:rsidRPr="008516D1">
        <w:t>autres</w:t>
      </w:r>
      <w:r>
        <w:t xml:space="preserve"> </w:t>
      </w:r>
      <w:r w:rsidRPr="008516D1">
        <w:t>produits</w:t>
      </w:r>
      <w:r>
        <w:t xml:space="preserve"> </w:t>
      </w:r>
      <w:r w:rsidRPr="008516D1">
        <w:t>similaires</w:t>
      </w:r>
      <w:r w:rsidRPr="008516D1">
        <w:rPr>
          <w:rStyle w:val="Appelnotedebasdep"/>
        </w:rPr>
        <w:footnoteReference w:id="12"/>
      </w:r>
      <w:r>
        <w:t> ;</w:t>
      </w:r>
    </w:p>
    <w:p w14:paraId="2F0ABFF7" w14:textId="6607566B" w:rsidR="00286956" w:rsidRPr="008516D1" w:rsidRDefault="0013732F" w:rsidP="0013732F">
      <w:pPr>
        <w:pStyle w:val="SingleTxtG"/>
        <w:ind w:firstLine="567"/>
      </w:pPr>
      <w:r>
        <w:t>e</w:t>
      </w:r>
      <w:r w:rsidR="00286956" w:rsidRPr="008516D1">
        <w:t>)</w:t>
      </w:r>
      <w:r w:rsidR="00286956" w:rsidRPr="008516D1">
        <w:tab/>
        <w:t>Loi</w:t>
      </w:r>
      <w:r w:rsidR="00286956">
        <w:t xml:space="preserve"> </w:t>
      </w:r>
      <w:r w:rsidR="00286956" w:rsidRPr="008516D1">
        <w:t>spéciale</w:t>
      </w:r>
      <w:r w:rsidR="00286956">
        <w:t xml:space="preserve"> </w:t>
      </w:r>
      <w:r w:rsidR="00286956" w:rsidRPr="008516D1">
        <w:t>relative</w:t>
      </w:r>
      <w:r w:rsidR="00286956">
        <w:t xml:space="preserve"> </w:t>
      </w:r>
      <w:r w:rsidR="00286956" w:rsidRPr="008516D1">
        <w:t>à</w:t>
      </w:r>
      <w:r w:rsidR="00286956">
        <w:t xml:space="preserve"> </w:t>
      </w:r>
      <w:r w:rsidR="00286956" w:rsidRPr="008516D1">
        <w:t>l</w:t>
      </w:r>
      <w:r w:rsidR="00286956">
        <w:t>’</w:t>
      </w:r>
      <w:r w:rsidR="00286956" w:rsidRPr="008516D1">
        <w:t>adoption</w:t>
      </w:r>
      <w:r w:rsidR="00286956">
        <w:t xml:space="preserve"> </w:t>
      </w:r>
      <w:r w:rsidR="00286956" w:rsidRPr="008516D1">
        <w:t>au</w:t>
      </w:r>
      <w:r w:rsidR="00286956">
        <w:t xml:space="preserve"> </w:t>
      </w:r>
      <w:r w:rsidR="00286956" w:rsidRPr="008516D1">
        <w:t>Honduras</w:t>
      </w:r>
      <w:r w:rsidR="00286956" w:rsidRPr="008516D1">
        <w:rPr>
          <w:rStyle w:val="Appelnotedebasdep"/>
        </w:rPr>
        <w:footnoteReference w:id="13"/>
      </w:r>
      <w:r w:rsidR="00286956">
        <w:t xml:space="preserve"> </w:t>
      </w:r>
      <w:r w:rsidR="00286956" w:rsidRPr="008516D1">
        <w:t>et</w:t>
      </w:r>
      <w:r w:rsidR="00286956">
        <w:t xml:space="preserve"> </w:t>
      </w:r>
      <w:r w:rsidR="00286956" w:rsidRPr="008516D1">
        <w:t>son</w:t>
      </w:r>
      <w:r w:rsidR="00286956">
        <w:t xml:space="preserve"> </w:t>
      </w:r>
      <w:r w:rsidR="00286956" w:rsidRPr="008516D1">
        <w:t>règlement</w:t>
      </w:r>
      <w:r w:rsidR="00286956">
        <w:t xml:space="preserve"> </w:t>
      </w:r>
      <w:r w:rsidR="00286956" w:rsidRPr="008516D1">
        <w:t>d</w:t>
      </w:r>
      <w:r w:rsidR="00286956">
        <w:t>’</w:t>
      </w:r>
      <w:r w:rsidR="00286956" w:rsidRPr="008516D1">
        <w:t>application</w:t>
      </w:r>
      <w:r w:rsidR="00286956" w:rsidRPr="008516D1">
        <w:rPr>
          <w:rStyle w:val="Appelnotedebasdep"/>
        </w:rPr>
        <w:footnoteReference w:id="14"/>
      </w:r>
      <w:r w:rsidR="00286956">
        <w:t> ;</w:t>
      </w:r>
    </w:p>
    <w:p w14:paraId="4A733734" w14:textId="03CA3191" w:rsidR="00286956" w:rsidRPr="008516D1" w:rsidRDefault="00286956" w:rsidP="0013732F">
      <w:pPr>
        <w:pStyle w:val="SingleTxtG"/>
        <w:ind w:firstLine="567"/>
      </w:pPr>
      <w:r w:rsidRPr="008516D1">
        <w:t>f)</w:t>
      </w:r>
      <w:r w:rsidRPr="008516D1">
        <w:tab/>
        <w:t>Code</w:t>
      </w:r>
      <w:r>
        <w:t xml:space="preserve"> </w:t>
      </w:r>
      <w:r w:rsidRPr="008516D1">
        <w:t>pénal</w:t>
      </w:r>
      <w:r w:rsidRPr="008516D1">
        <w:rPr>
          <w:rStyle w:val="Appelnotedebasdep"/>
        </w:rPr>
        <w:footnoteReference w:id="15"/>
      </w:r>
      <w:r>
        <w:t> ;</w:t>
      </w:r>
    </w:p>
    <w:p w14:paraId="4119A2E0" w14:textId="0A268BB4" w:rsidR="00286956" w:rsidRPr="008516D1" w:rsidRDefault="00286956" w:rsidP="0013732F">
      <w:pPr>
        <w:pStyle w:val="SingleTxtG"/>
        <w:ind w:firstLine="567"/>
      </w:pPr>
      <w:r w:rsidRPr="008516D1">
        <w:t>g)</w:t>
      </w:r>
      <w:r w:rsidRPr="008516D1">
        <w:tab/>
        <w:t>Modification</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au</w:t>
      </w:r>
      <w:r>
        <w:t xml:space="preserve"> </w:t>
      </w:r>
      <w:r w:rsidRPr="008516D1">
        <w:t>ministère</w:t>
      </w:r>
      <w:r>
        <w:t xml:space="preserve"> </w:t>
      </w:r>
      <w:r w:rsidRPr="008516D1">
        <w:t>public,</w:t>
      </w:r>
      <w:r>
        <w:t xml:space="preserve"> </w:t>
      </w:r>
      <w:r w:rsidRPr="008516D1">
        <w:t>par</w:t>
      </w:r>
      <w:r>
        <w:t xml:space="preserve"> </w:t>
      </w:r>
      <w:r w:rsidRPr="008516D1">
        <w:t>adjonction</w:t>
      </w:r>
      <w:r>
        <w:t xml:space="preserve"> </w:t>
      </w:r>
      <w:r w:rsidRPr="008516D1">
        <w:t>de</w:t>
      </w:r>
      <w:r>
        <w:t xml:space="preserve"> </w:t>
      </w:r>
      <w:r w:rsidRPr="008516D1">
        <w:t>l</w:t>
      </w:r>
      <w:r>
        <w:t>’</w:t>
      </w:r>
      <w:r w:rsidRPr="008516D1">
        <w:t>article</w:t>
      </w:r>
      <w:r>
        <w:t xml:space="preserve"> </w:t>
      </w:r>
      <w:r w:rsidRPr="008516D1">
        <w:t>44-A</w:t>
      </w:r>
      <w:r>
        <w:t xml:space="preserve"> </w:t>
      </w:r>
      <w:r w:rsidRPr="008516D1">
        <w:t>portant</w:t>
      </w:r>
      <w:r>
        <w:t xml:space="preserve"> </w:t>
      </w:r>
      <w:r w:rsidRPr="008516D1">
        <w:t>création</w:t>
      </w:r>
      <w:r>
        <w:t xml:space="preserve"> </w:t>
      </w:r>
      <w:r w:rsidRPr="008516D1">
        <w:t>de</w:t>
      </w:r>
      <w:r>
        <w:t xml:space="preserve"> </w:t>
      </w:r>
      <w:r w:rsidRPr="008516D1">
        <w:t>l</w:t>
      </w:r>
      <w:r>
        <w:t>’</w:t>
      </w:r>
      <w:r w:rsidRPr="008516D1">
        <w:t>unité</w:t>
      </w:r>
      <w:r>
        <w:t xml:space="preserve"> </w:t>
      </w:r>
      <w:r w:rsidRPr="008516D1">
        <w:t>chargée</w:t>
      </w:r>
      <w:r>
        <w:t xml:space="preserve"> </w:t>
      </w:r>
      <w:r w:rsidRPr="008516D1">
        <w:t>des</w:t>
      </w:r>
      <w:r>
        <w:t xml:space="preserve"> </w:t>
      </w:r>
      <w:r w:rsidRPr="008516D1">
        <w:t>féminicides</w:t>
      </w:r>
      <w:r>
        <w:t xml:space="preserve"> </w:t>
      </w:r>
      <w:r w:rsidRPr="008516D1">
        <w:t>au</w:t>
      </w:r>
      <w:r>
        <w:t xml:space="preserve"> </w:t>
      </w:r>
      <w:r w:rsidRPr="008516D1">
        <w:t>sein</w:t>
      </w:r>
      <w:r>
        <w:t xml:space="preserve"> </w:t>
      </w:r>
      <w:r w:rsidRPr="008516D1">
        <w:t>de</w:t>
      </w:r>
      <w:r>
        <w:t xml:space="preserve"> </w:t>
      </w:r>
      <w:r w:rsidRPr="008516D1">
        <w:t>l</w:t>
      </w:r>
      <w:r>
        <w:t>’</w:t>
      </w:r>
      <w:r w:rsidRPr="008516D1">
        <w:t>Agence</w:t>
      </w:r>
      <w:r>
        <w:t xml:space="preserve"> </w:t>
      </w:r>
      <w:r w:rsidRPr="008516D1">
        <w:t>technique</w:t>
      </w:r>
      <w:r>
        <w:t xml:space="preserve"> </w:t>
      </w:r>
      <w:r w:rsidRPr="008516D1">
        <w:t>d</w:t>
      </w:r>
      <w:r>
        <w:t>’</w:t>
      </w:r>
      <w:r w:rsidRPr="008516D1">
        <w:t>enquête</w:t>
      </w:r>
      <w:r>
        <w:t xml:space="preserve"> </w:t>
      </w:r>
      <w:r w:rsidRPr="008516D1">
        <w:t>pénale</w:t>
      </w:r>
      <w:r w:rsidRPr="008516D1">
        <w:rPr>
          <w:rStyle w:val="Appelnotedebasdep"/>
        </w:rPr>
        <w:footnoteReference w:id="16"/>
      </w:r>
      <w:r>
        <w:t> ;</w:t>
      </w:r>
    </w:p>
    <w:p w14:paraId="0F8A552D" w14:textId="6EA34F4F" w:rsidR="00286956" w:rsidRPr="008516D1" w:rsidRDefault="00286956" w:rsidP="0013732F">
      <w:pPr>
        <w:pStyle w:val="SingleTxtG"/>
        <w:ind w:firstLine="567"/>
      </w:pPr>
      <w:r w:rsidRPr="008516D1">
        <w:t>h)</w:t>
      </w:r>
      <w:r w:rsidRPr="008516D1">
        <w:tab/>
        <w:t>Loi</w:t>
      </w:r>
      <w:r>
        <w:t xml:space="preserve"> </w:t>
      </w:r>
      <w:r w:rsidRPr="008516D1">
        <w:t>relative</w:t>
      </w:r>
      <w:r>
        <w:t xml:space="preserve"> </w:t>
      </w:r>
      <w:r w:rsidRPr="008516D1">
        <w:t>à</w:t>
      </w:r>
      <w:r>
        <w:t xml:space="preserve"> </w:t>
      </w:r>
      <w:r w:rsidRPr="008516D1">
        <w:t>la</w:t>
      </w:r>
      <w:r>
        <w:t xml:space="preserve"> </w:t>
      </w:r>
      <w:r w:rsidRPr="008516D1">
        <w:t>gestion</w:t>
      </w:r>
      <w:r>
        <w:t xml:space="preserve"> </w:t>
      </w:r>
      <w:r w:rsidRPr="008516D1">
        <w:t>informatique</w:t>
      </w:r>
      <w:r>
        <w:t xml:space="preserve"> </w:t>
      </w:r>
      <w:r w:rsidRPr="008516D1">
        <w:t>des</w:t>
      </w:r>
      <w:r>
        <w:t xml:space="preserve"> </w:t>
      </w:r>
      <w:r w:rsidRPr="008516D1">
        <w:t>procédures</w:t>
      </w:r>
      <w:r>
        <w:t xml:space="preserve"> </w:t>
      </w:r>
      <w:r w:rsidRPr="008516D1">
        <w:t>judiciaires</w:t>
      </w:r>
      <w:r w:rsidRPr="008516D1">
        <w:rPr>
          <w:rStyle w:val="Appelnotedebasdep"/>
        </w:rPr>
        <w:footnoteReference w:id="17"/>
      </w:r>
      <w:r>
        <w:t> ;</w:t>
      </w:r>
    </w:p>
    <w:p w14:paraId="48F2651B" w14:textId="218B0DF6" w:rsidR="00286956" w:rsidRPr="008516D1" w:rsidRDefault="00286956" w:rsidP="0013732F">
      <w:pPr>
        <w:pStyle w:val="SingleTxtG"/>
        <w:ind w:firstLine="567"/>
      </w:pPr>
      <w:r w:rsidRPr="008516D1">
        <w:t>i)</w:t>
      </w:r>
      <w:r w:rsidRPr="008516D1">
        <w:tab/>
        <w:t>Règlement</w:t>
      </w:r>
      <w:r>
        <w:t xml:space="preserve"> </w:t>
      </w:r>
      <w:r w:rsidRPr="008516D1">
        <w:t>spécial</w:t>
      </w:r>
      <w:r>
        <w:t xml:space="preserve"> </w:t>
      </w:r>
      <w:r w:rsidRPr="008516D1">
        <w:t>relatif</w:t>
      </w:r>
      <w:r>
        <w:t xml:space="preserve"> </w:t>
      </w:r>
      <w:r w:rsidRPr="008516D1">
        <w:t>à</w:t>
      </w:r>
      <w:r>
        <w:t xml:space="preserve"> </w:t>
      </w:r>
      <w:r w:rsidRPr="008516D1">
        <w:t>l</w:t>
      </w:r>
      <w:r>
        <w:t>’</w:t>
      </w:r>
      <w:r w:rsidRPr="008516D1">
        <w:t>organisation</w:t>
      </w:r>
      <w:r>
        <w:t xml:space="preserve"> </w:t>
      </w:r>
      <w:r w:rsidRPr="008516D1">
        <w:t>et</w:t>
      </w:r>
      <w:r>
        <w:t xml:space="preserve"> </w:t>
      </w:r>
      <w:r w:rsidRPr="008516D1">
        <w:t>au</w:t>
      </w:r>
      <w:r>
        <w:t xml:space="preserve"> </w:t>
      </w:r>
      <w:r w:rsidRPr="008516D1">
        <w:t>fonctionnement</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ministère</w:t>
      </w:r>
      <w:r>
        <w:t xml:space="preserve"> </w:t>
      </w:r>
      <w:r w:rsidRPr="008516D1">
        <w:t>public</w:t>
      </w:r>
      <w:r w:rsidRPr="008516D1">
        <w:rPr>
          <w:rStyle w:val="Appelnotedebasdep"/>
        </w:rPr>
        <w:footnoteReference w:id="18"/>
      </w:r>
      <w:r>
        <w:t> ;</w:t>
      </w:r>
    </w:p>
    <w:p w14:paraId="161D9AC6" w14:textId="31F5109C" w:rsidR="00286956" w:rsidRPr="008516D1" w:rsidRDefault="00286956" w:rsidP="0013732F">
      <w:pPr>
        <w:pStyle w:val="SingleTxtG"/>
        <w:ind w:firstLine="567"/>
      </w:pPr>
      <w:r w:rsidRPr="008516D1">
        <w:t>j)</w:t>
      </w:r>
      <w:r w:rsidRPr="008516D1">
        <w:tab/>
        <w:t>Règlement</w:t>
      </w:r>
      <w:r>
        <w:t xml:space="preserve"> </w:t>
      </w:r>
      <w:r w:rsidRPr="008516D1">
        <w:t>spécial</w:t>
      </w:r>
      <w:r>
        <w:t xml:space="preserve"> </w:t>
      </w:r>
      <w:r w:rsidRPr="008516D1">
        <w:t>concernant</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témoins</w:t>
      </w:r>
      <w:r>
        <w:t xml:space="preserve"> </w:t>
      </w:r>
      <w:r w:rsidRPr="008516D1">
        <w:t>au</w:t>
      </w:r>
      <w:r>
        <w:t xml:space="preserve"> </w:t>
      </w:r>
      <w:r w:rsidRPr="008516D1">
        <w:t>cours</w:t>
      </w:r>
      <w:r>
        <w:t xml:space="preserve"> </w:t>
      </w:r>
      <w:r w:rsidRPr="008516D1">
        <w:t>de</w:t>
      </w:r>
      <w:r>
        <w:t xml:space="preserve"> </w:t>
      </w:r>
      <w:r w:rsidRPr="008516D1">
        <w:t>la</w:t>
      </w:r>
      <w:r>
        <w:t xml:space="preserve"> </w:t>
      </w:r>
      <w:r w:rsidRPr="008516D1">
        <w:t>procédure</w:t>
      </w:r>
      <w:r>
        <w:t xml:space="preserve"> </w:t>
      </w:r>
      <w:r w:rsidRPr="008516D1">
        <w:t>pénale</w:t>
      </w:r>
      <w:r w:rsidRPr="008516D1">
        <w:rPr>
          <w:rStyle w:val="Appelnotedebasdep"/>
        </w:rPr>
        <w:footnoteReference w:id="19"/>
      </w:r>
      <w:r>
        <w:t> ;</w:t>
      </w:r>
    </w:p>
    <w:p w14:paraId="08C748DE" w14:textId="300E5C3B" w:rsidR="00286956" w:rsidRPr="008516D1" w:rsidRDefault="00286956" w:rsidP="0013732F">
      <w:pPr>
        <w:pStyle w:val="SingleTxtG"/>
        <w:ind w:firstLine="567"/>
      </w:pPr>
      <w:r w:rsidRPr="008516D1">
        <w:t>k)</w:t>
      </w:r>
      <w:r w:rsidRPr="008516D1">
        <w:tab/>
        <w:t>Règlement</w:t>
      </w:r>
      <w:r>
        <w:t xml:space="preserve"> </w:t>
      </w:r>
      <w:r w:rsidRPr="008516D1">
        <w:t>concernant</w:t>
      </w:r>
      <w:r>
        <w:t xml:space="preserve"> </w:t>
      </w:r>
      <w:r w:rsidRPr="008516D1">
        <w:t>l</w:t>
      </w:r>
      <w:r>
        <w:t>’</w:t>
      </w:r>
      <w:r w:rsidRPr="008516D1">
        <w:t>Unité</w:t>
      </w:r>
      <w:r>
        <w:t xml:space="preserve"> </w:t>
      </w:r>
      <w:r w:rsidRPr="008516D1">
        <w:t>spéciale</w:t>
      </w:r>
      <w:r>
        <w:t xml:space="preserve"> </w:t>
      </w:r>
      <w:r w:rsidRPr="008516D1">
        <w:t>de</w:t>
      </w:r>
      <w:r>
        <w:t xml:space="preserve"> </w:t>
      </w:r>
      <w:r w:rsidRPr="008516D1">
        <w:t>protection</w:t>
      </w:r>
      <w:r>
        <w:t xml:space="preserve"> </w:t>
      </w:r>
      <w:r w:rsidRPr="008516D1">
        <w:t>des</w:t>
      </w:r>
      <w:r>
        <w:t xml:space="preserve"> </w:t>
      </w:r>
      <w:r w:rsidRPr="008516D1">
        <w:t>agents</w:t>
      </w:r>
      <w:r>
        <w:t xml:space="preserve"> </w:t>
      </w:r>
      <w:r w:rsidRPr="008516D1">
        <w:t>des</w:t>
      </w:r>
      <w:r>
        <w:t xml:space="preserve"> </w:t>
      </w:r>
      <w:r w:rsidRPr="008516D1">
        <w:t>services</w:t>
      </w:r>
      <w:r>
        <w:t xml:space="preserve"> </w:t>
      </w:r>
      <w:r w:rsidRPr="008516D1">
        <w:t>judiciaires</w:t>
      </w:r>
      <w:r>
        <w:t xml:space="preserve"> </w:t>
      </w:r>
      <w:r w:rsidRPr="008516D1">
        <w:t>de</w:t>
      </w:r>
      <w:r>
        <w:t xml:space="preserve"> </w:t>
      </w:r>
      <w:r w:rsidRPr="008516D1">
        <w:t>la</w:t>
      </w:r>
      <w:r>
        <w:t xml:space="preserve"> </w:t>
      </w:r>
      <w:r w:rsidRPr="008516D1">
        <w:t>République</w:t>
      </w:r>
      <w:r>
        <w:t xml:space="preserve"> </w:t>
      </w:r>
      <w:r w:rsidRPr="008516D1">
        <w:t>du</w:t>
      </w:r>
      <w:r>
        <w:t xml:space="preserve"> </w:t>
      </w:r>
      <w:r w:rsidRPr="008516D1">
        <w:t>Honduras</w:t>
      </w:r>
      <w:r w:rsidRPr="008516D1">
        <w:rPr>
          <w:rStyle w:val="Appelnotedebasdep"/>
        </w:rPr>
        <w:footnoteReference w:id="20"/>
      </w:r>
      <w:r>
        <w:t> ;</w:t>
      </w:r>
    </w:p>
    <w:p w14:paraId="60432332" w14:textId="3011A5B2" w:rsidR="00286956" w:rsidRPr="008516D1" w:rsidRDefault="00286956" w:rsidP="0013732F">
      <w:pPr>
        <w:pStyle w:val="SingleTxtG"/>
        <w:ind w:firstLine="567"/>
      </w:pPr>
      <w:r w:rsidRPr="008516D1">
        <w:t>l)</w:t>
      </w:r>
      <w:r w:rsidRPr="008516D1">
        <w:tab/>
        <w:t>Création</w:t>
      </w:r>
      <w:r>
        <w:t xml:space="preserve"> </w:t>
      </w:r>
      <w:r w:rsidRPr="008516D1">
        <w:t>de</w:t>
      </w:r>
      <w:r>
        <w:t xml:space="preserve"> </w:t>
      </w:r>
      <w:r w:rsidRPr="008516D1">
        <w:t>l</w:t>
      </w:r>
      <w:r>
        <w:t>’</w:t>
      </w:r>
      <w:r w:rsidRPr="008516D1">
        <w:t>Institut</w:t>
      </w:r>
      <w:r>
        <w:t xml:space="preserve"> </w:t>
      </w:r>
      <w:r w:rsidRPr="008516D1">
        <w:t>national</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mineurs</w:t>
      </w:r>
      <w:r>
        <w:t xml:space="preserve"> </w:t>
      </w:r>
      <w:r w:rsidRPr="008516D1">
        <w:t>délinquants</w:t>
      </w:r>
      <w:r w:rsidRPr="008516D1">
        <w:rPr>
          <w:rStyle w:val="Appelnotedebasdep"/>
        </w:rPr>
        <w:footnoteReference w:id="21"/>
      </w:r>
      <w:r>
        <w:t xml:space="preserve"> </w:t>
      </w:r>
      <w:r w:rsidRPr="008516D1">
        <w:t>et</w:t>
      </w:r>
      <w:r>
        <w:t xml:space="preserve"> </w:t>
      </w:r>
      <w:r w:rsidRPr="008516D1">
        <w:t>adoption</w:t>
      </w:r>
      <w:r>
        <w:t xml:space="preserve"> </w:t>
      </w:r>
      <w:r w:rsidRPr="008516D1">
        <w:t>du</w:t>
      </w:r>
      <w:r>
        <w:t xml:space="preserve"> </w:t>
      </w:r>
      <w:r w:rsidRPr="008516D1">
        <w:t>règlement</w:t>
      </w:r>
      <w:r>
        <w:t xml:space="preserve"> </w:t>
      </w:r>
      <w:r w:rsidRPr="008516D1">
        <w:t>concernant</w:t>
      </w:r>
      <w:r>
        <w:t xml:space="preserve"> </w:t>
      </w:r>
      <w:r w:rsidRPr="008516D1">
        <w:t>son</w:t>
      </w:r>
      <w:r>
        <w:t xml:space="preserve"> </w:t>
      </w:r>
      <w:r w:rsidRPr="008516D1">
        <w:t>organisation</w:t>
      </w:r>
      <w:r>
        <w:t xml:space="preserve"> </w:t>
      </w:r>
      <w:r w:rsidRPr="008516D1">
        <w:t>et</w:t>
      </w:r>
      <w:r>
        <w:t xml:space="preserve"> </w:t>
      </w:r>
      <w:r w:rsidRPr="008516D1">
        <w:t>son</w:t>
      </w:r>
      <w:r>
        <w:t xml:space="preserve"> </w:t>
      </w:r>
      <w:r w:rsidRPr="008516D1">
        <w:t>fonctionnement</w:t>
      </w:r>
      <w:r w:rsidRPr="008516D1">
        <w:rPr>
          <w:rStyle w:val="Appelnotedebasdep"/>
        </w:rPr>
        <w:footnoteReference w:id="22"/>
      </w:r>
      <w:r>
        <w:t> ;</w:t>
      </w:r>
    </w:p>
    <w:p w14:paraId="0AAA1800" w14:textId="6747298B" w:rsidR="00286956" w:rsidRPr="008516D1" w:rsidRDefault="00286956" w:rsidP="0013732F">
      <w:pPr>
        <w:pStyle w:val="SingleTxtG"/>
        <w:ind w:firstLine="567"/>
      </w:pPr>
      <w:r w:rsidRPr="008516D1">
        <w:t>m)</w:t>
      </w:r>
      <w:r w:rsidRPr="008516D1">
        <w:tab/>
        <w:t>Règlement</w:t>
      </w:r>
      <w:r>
        <w:t xml:space="preserve"> </w:t>
      </w:r>
      <w:r w:rsidRPr="008516D1">
        <w:t>concernant</w:t>
      </w:r>
      <w:r>
        <w:t xml:space="preserve"> </w:t>
      </w:r>
      <w:r w:rsidRPr="008516D1">
        <w:t>la</w:t>
      </w:r>
      <w:r>
        <w:t xml:space="preserve"> </w:t>
      </w:r>
      <w:r w:rsidRPr="008516D1">
        <w:t>Commission</w:t>
      </w:r>
      <w:r>
        <w:t xml:space="preserve"> </w:t>
      </w:r>
      <w:r w:rsidRPr="008516D1">
        <w:t>interinstitutionnelle</w:t>
      </w:r>
      <w:r>
        <w:t xml:space="preserve"> </w:t>
      </w:r>
      <w:r w:rsidRPr="008516D1">
        <w:t>de</w:t>
      </w:r>
      <w:r>
        <w:t xml:space="preserve"> </w:t>
      </w:r>
      <w:r w:rsidRPr="008516D1">
        <w:t>suivi</w:t>
      </w:r>
      <w:r>
        <w:t xml:space="preserve"> </w:t>
      </w:r>
      <w:r w:rsidRPr="008516D1">
        <w:t>des</w:t>
      </w:r>
      <w:r>
        <w:t xml:space="preserve"> </w:t>
      </w:r>
      <w:r w:rsidRPr="008516D1">
        <w:t>enquêtes</w:t>
      </w:r>
      <w:r>
        <w:t xml:space="preserve"> </w:t>
      </w:r>
      <w:r w:rsidRPr="008516D1">
        <w:t>sur</w:t>
      </w:r>
      <w:r>
        <w:t xml:space="preserve"> </w:t>
      </w:r>
      <w:r w:rsidRPr="008516D1">
        <w:t>les</w:t>
      </w:r>
      <w:r>
        <w:t xml:space="preserve"> </w:t>
      </w:r>
      <w:r w:rsidRPr="008516D1">
        <w:t>morts</w:t>
      </w:r>
      <w:r>
        <w:t xml:space="preserve"> </w:t>
      </w:r>
      <w:r w:rsidRPr="008516D1">
        <w:t>violentes</w:t>
      </w:r>
      <w:r>
        <w:t xml:space="preserve"> </w:t>
      </w:r>
      <w:r w:rsidRPr="008516D1">
        <w:t>de</w:t>
      </w:r>
      <w:r>
        <w:t xml:space="preserve"> </w:t>
      </w:r>
      <w:r w:rsidRPr="008516D1">
        <w:t>femmes</w:t>
      </w:r>
      <w:r>
        <w:t xml:space="preserve"> </w:t>
      </w:r>
      <w:r w:rsidRPr="008516D1">
        <w:t>et</w:t>
      </w:r>
      <w:r>
        <w:t xml:space="preserve"> </w:t>
      </w:r>
      <w:r w:rsidRPr="008516D1">
        <w:t>les</w:t>
      </w:r>
      <w:r>
        <w:t xml:space="preserve"> </w:t>
      </w:r>
      <w:r w:rsidRPr="008516D1">
        <w:t>dossiers</w:t>
      </w:r>
      <w:r>
        <w:t xml:space="preserve"> </w:t>
      </w:r>
      <w:r w:rsidRPr="008516D1">
        <w:t>de</w:t>
      </w:r>
      <w:r>
        <w:t xml:space="preserve"> </w:t>
      </w:r>
      <w:r w:rsidRPr="008516D1">
        <w:t>féminicide</w:t>
      </w:r>
      <w:r w:rsidRPr="008516D1">
        <w:rPr>
          <w:rStyle w:val="Appelnotedebasdep"/>
        </w:rPr>
        <w:footnoteReference w:id="23"/>
      </w:r>
      <w:r>
        <w:t> ;</w:t>
      </w:r>
    </w:p>
    <w:p w14:paraId="3A675B84" w14:textId="79EC14A7" w:rsidR="00286956" w:rsidRPr="008516D1" w:rsidRDefault="00286956" w:rsidP="0013732F">
      <w:pPr>
        <w:pStyle w:val="SingleTxtG"/>
        <w:ind w:firstLine="567"/>
      </w:pPr>
      <w:r w:rsidRPr="008516D1">
        <w:t>n)</w:t>
      </w:r>
      <w:r w:rsidRPr="008516D1">
        <w:tab/>
        <w:t>Règlement</w:t>
      </w:r>
      <w:r>
        <w:t xml:space="preserve"> </w:t>
      </w:r>
      <w:r w:rsidRPr="008516D1">
        <w:t>disciplinaire</w:t>
      </w:r>
      <w:r>
        <w:t xml:space="preserve"> </w:t>
      </w:r>
      <w:r w:rsidRPr="008516D1">
        <w:t>applicable</w:t>
      </w:r>
      <w:r>
        <w:t xml:space="preserve"> </w:t>
      </w:r>
      <w:r w:rsidRPr="008516D1">
        <w:t>au</w:t>
      </w:r>
      <w:r>
        <w:t xml:space="preserve"> </w:t>
      </w:r>
      <w:r w:rsidRPr="008516D1">
        <w:t>personnel</w:t>
      </w:r>
      <w:r>
        <w:t xml:space="preserve"> </w:t>
      </w:r>
      <w:r w:rsidRPr="008516D1">
        <w:t>du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et</w:t>
      </w:r>
      <w:r>
        <w:t xml:space="preserve"> </w:t>
      </w:r>
      <w:r w:rsidRPr="008516D1">
        <w:t>aux</w:t>
      </w:r>
      <w:r>
        <w:t xml:space="preserve"> </w:t>
      </w:r>
      <w:r w:rsidRPr="008516D1">
        <w:t>membres</w:t>
      </w:r>
      <w:r>
        <w:t xml:space="preserve"> </w:t>
      </w:r>
      <w:r w:rsidRPr="008516D1">
        <w:t>de</w:t>
      </w:r>
      <w:r>
        <w:t xml:space="preserve"> </w:t>
      </w:r>
      <w:r w:rsidRPr="008516D1">
        <w:t>la</w:t>
      </w:r>
      <w:r>
        <w:t xml:space="preserve"> </w:t>
      </w:r>
      <w:r w:rsidR="00AB2CD9" w:rsidRPr="008516D1">
        <w:t>Police</w:t>
      </w:r>
      <w:r w:rsidR="00AB2CD9">
        <w:t xml:space="preserve"> </w:t>
      </w:r>
      <w:r w:rsidRPr="008516D1">
        <w:t>nationale</w:t>
      </w:r>
      <w:r>
        <w:t xml:space="preserve"> </w:t>
      </w:r>
      <w:r w:rsidRPr="008516D1">
        <w:t>du</w:t>
      </w:r>
      <w:r>
        <w:t xml:space="preserve"> </w:t>
      </w:r>
      <w:r w:rsidRPr="008516D1">
        <w:t>Honduras</w:t>
      </w:r>
      <w:r w:rsidRPr="008516D1">
        <w:rPr>
          <w:rStyle w:val="Appelnotedebasdep"/>
        </w:rPr>
        <w:footnoteReference w:id="24"/>
      </w:r>
      <w:r>
        <w:t> ;</w:t>
      </w:r>
    </w:p>
    <w:p w14:paraId="2A2EB48A" w14:textId="6634EF43" w:rsidR="00286956" w:rsidRPr="008516D1" w:rsidRDefault="00286956" w:rsidP="0013732F">
      <w:pPr>
        <w:pStyle w:val="SingleTxtG"/>
        <w:ind w:firstLine="567"/>
      </w:pPr>
      <w:r w:rsidRPr="008516D1">
        <w:t>o)</w:t>
      </w:r>
      <w:r w:rsidRPr="008516D1">
        <w:tab/>
        <w:t>Règlement</w:t>
      </w:r>
      <w:r>
        <w:t xml:space="preserve"> </w:t>
      </w:r>
      <w:r w:rsidRPr="008516D1">
        <w:t>concernant</w:t>
      </w:r>
      <w:r>
        <w:t xml:space="preserve"> </w:t>
      </w:r>
      <w:r w:rsidRPr="008516D1">
        <w:t>la</w:t>
      </w:r>
      <w:r>
        <w:t xml:space="preserve"> </w:t>
      </w:r>
      <w:r w:rsidRPr="008516D1">
        <w:t>promotion</w:t>
      </w:r>
      <w:r>
        <w:t xml:space="preserve"> </w:t>
      </w:r>
      <w:r w:rsidRPr="008516D1">
        <w:t>au</w:t>
      </w:r>
      <w:r>
        <w:t xml:space="preserve"> </w:t>
      </w:r>
      <w:r w:rsidRPr="008516D1">
        <w:t>sein</w:t>
      </w:r>
      <w:r>
        <w:t xml:space="preserve"> </w:t>
      </w:r>
      <w:r w:rsidRPr="008516D1">
        <w:t>de</w:t>
      </w:r>
      <w:r>
        <w:t xml:space="preserve"> </w:t>
      </w:r>
      <w:r w:rsidRPr="008516D1">
        <w:t>la</w:t>
      </w:r>
      <w:r>
        <w:t xml:space="preserve"> </w:t>
      </w:r>
      <w:r w:rsidR="00AB2CD9">
        <w:t>Police nationale</w:t>
      </w:r>
      <w:r w:rsidRPr="008516D1">
        <w:rPr>
          <w:rStyle w:val="Appelnotedebasdep"/>
        </w:rPr>
        <w:footnoteReference w:id="25"/>
      </w:r>
      <w:r>
        <w:t> ;</w:t>
      </w:r>
    </w:p>
    <w:p w14:paraId="5CD0E6F3" w14:textId="11E6ACED" w:rsidR="00286956" w:rsidRPr="008516D1" w:rsidRDefault="00286956" w:rsidP="0013732F">
      <w:pPr>
        <w:pStyle w:val="SingleTxtG"/>
        <w:ind w:firstLine="567"/>
      </w:pPr>
      <w:r w:rsidRPr="008516D1">
        <w:t>p)</w:t>
      </w:r>
      <w:r w:rsidRPr="008516D1">
        <w:tab/>
        <w:t>Règlement</w:t>
      </w:r>
      <w:r>
        <w:t xml:space="preserve"> </w:t>
      </w:r>
      <w:r w:rsidRPr="008516D1">
        <w:t>d</w:t>
      </w:r>
      <w:r>
        <w:t>’</w:t>
      </w:r>
      <w:r w:rsidRPr="008516D1">
        <w:t>application</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et</w:t>
      </w:r>
      <w:r>
        <w:t xml:space="preserve"> </w:t>
      </w:r>
      <w:r w:rsidRPr="008516D1">
        <w:t>de</w:t>
      </w:r>
      <w:r>
        <w:t xml:space="preserve"> </w:t>
      </w:r>
      <w:r w:rsidRPr="008516D1">
        <w:t>leurs</w:t>
      </w:r>
      <w:r>
        <w:t xml:space="preserve"> </w:t>
      </w:r>
      <w:r w:rsidRPr="008516D1">
        <w:t>familles</w:t>
      </w:r>
      <w:r w:rsidRPr="008516D1">
        <w:rPr>
          <w:rStyle w:val="Appelnotedebasdep"/>
        </w:rPr>
        <w:footnoteReference w:id="26"/>
      </w:r>
      <w:r>
        <w:t> ;</w:t>
      </w:r>
    </w:p>
    <w:p w14:paraId="5538E9CB" w14:textId="141C0489" w:rsidR="00286956" w:rsidRPr="008516D1" w:rsidRDefault="00286956" w:rsidP="0013732F">
      <w:pPr>
        <w:pStyle w:val="SingleTxtG"/>
        <w:ind w:firstLine="567"/>
      </w:pPr>
      <w:r w:rsidRPr="008516D1">
        <w:t>q)</w:t>
      </w:r>
      <w:r w:rsidRPr="008516D1">
        <w:tab/>
        <w:t>Protocole</w:t>
      </w:r>
      <w:r>
        <w:t xml:space="preserve"> </w:t>
      </w:r>
      <w:r w:rsidRPr="008516D1">
        <w:t>pour</w:t>
      </w:r>
      <w:r>
        <w:t xml:space="preserve"> </w:t>
      </w:r>
      <w:r w:rsidRPr="008516D1">
        <w:t>la</w:t>
      </w:r>
      <w:r>
        <w:t xml:space="preserve"> </w:t>
      </w:r>
      <w:r w:rsidRPr="008516D1">
        <w:t>sélection</w:t>
      </w:r>
      <w:r>
        <w:t xml:space="preserve"> </w:t>
      </w:r>
      <w:r w:rsidRPr="008516D1">
        <w:t>et</w:t>
      </w:r>
      <w:r>
        <w:t xml:space="preserve"> </w:t>
      </w:r>
      <w:r w:rsidRPr="008516D1">
        <w:t>la</w:t>
      </w:r>
      <w:r>
        <w:t xml:space="preserve"> </w:t>
      </w:r>
      <w:r w:rsidRPr="008516D1">
        <w:t>nomination</w:t>
      </w:r>
      <w:r>
        <w:t xml:space="preserve"> </w:t>
      </w:r>
      <w:r w:rsidRPr="008516D1">
        <w:t>des</w:t>
      </w:r>
      <w:r>
        <w:t xml:space="preserve"> </w:t>
      </w:r>
      <w:r w:rsidRPr="008516D1">
        <w:t>magistrats</w:t>
      </w:r>
      <w:r>
        <w:t xml:space="preserve"> </w:t>
      </w:r>
      <w:r w:rsidRPr="008516D1">
        <w:t>de</w:t>
      </w:r>
      <w:r>
        <w:t xml:space="preserve"> </w:t>
      </w:r>
      <w:r w:rsidRPr="008516D1">
        <w:t>la</w:t>
      </w:r>
      <w:r>
        <w:t xml:space="preserve"> </w:t>
      </w:r>
      <w:r w:rsidRPr="008516D1">
        <w:t>Cour</w:t>
      </w:r>
      <w:r>
        <w:t xml:space="preserve"> </w:t>
      </w:r>
      <w:r w:rsidRPr="008516D1">
        <w:t>d</w:t>
      </w:r>
      <w:r>
        <w:t>’</w:t>
      </w:r>
      <w:r w:rsidRPr="008516D1">
        <w:t>appel,</w:t>
      </w:r>
      <w:r>
        <w:t xml:space="preserve"> </w:t>
      </w:r>
      <w:r w:rsidRPr="008516D1">
        <w:t>des</w:t>
      </w:r>
      <w:r>
        <w:t xml:space="preserve"> </w:t>
      </w:r>
      <w:r w:rsidRPr="008516D1">
        <w:t>juges</w:t>
      </w:r>
      <w:r>
        <w:t xml:space="preserve"> </w:t>
      </w:r>
      <w:r w:rsidRPr="008516D1">
        <w:t>professionnels,</w:t>
      </w:r>
      <w:r>
        <w:t xml:space="preserve"> </w:t>
      </w:r>
      <w:r w:rsidRPr="008516D1">
        <w:t>des</w:t>
      </w:r>
      <w:r>
        <w:t xml:space="preserve"> </w:t>
      </w:r>
      <w:r w:rsidRPr="008516D1">
        <w:t>juges</w:t>
      </w:r>
      <w:r>
        <w:t xml:space="preserve"> </w:t>
      </w:r>
      <w:r w:rsidRPr="008516D1">
        <w:t>du</w:t>
      </w:r>
      <w:r>
        <w:t xml:space="preserve"> </w:t>
      </w:r>
      <w:r w:rsidRPr="008516D1">
        <w:t>prononcé</w:t>
      </w:r>
      <w:r>
        <w:t xml:space="preserve"> </w:t>
      </w:r>
      <w:r w:rsidRPr="008516D1">
        <w:t>de</w:t>
      </w:r>
      <w:r>
        <w:t xml:space="preserve"> </w:t>
      </w:r>
      <w:r w:rsidRPr="008516D1">
        <w:t>la</w:t>
      </w:r>
      <w:r>
        <w:t xml:space="preserve"> </w:t>
      </w:r>
      <w:r w:rsidRPr="008516D1">
        <w:t>peine,</w:t>
      </w:r>
      <w:r>
        <w:t xml:space="preserve"> </w:t>
      </w:r>
      <w:r w:rsidRPr="008516D1">
        <w:t>des</w:t>
      </w:r>
      <w:r>
        <w:t xml:space="preserve"> </w:t>
      </w:r>
      <w:r w:rsidRPr="008516D1">
        <w:t>juges</w:t>
      </w:r>
      <w:r>
        <w:t xml:space="preserve"> </w:t>
      </w:r>
      <w:r w:rsidRPr="008516D1">
        <w:t>de</w:t>
      </w:r>
      <w:r>
        <w:t xml:space="preserve"> </w:t>
      </w:r>
      <w:r w:rsidRPr="008516D1">
        <w:t>l</w:t>
      </w:r>
      <w:r>
        <w:t>’</w:t>
      </w:r>
      <w:r w:rsidRPr="008516D1">
        <w:t>application</w:t>
      </w:r>
      <w:r>
        <w:t xml:space="preserve"> </w:t>
      </w:r>
      <w:r w:rsidRPr="008516D1">
        <w:t>des</w:t>
      </w:r>
      <w:r>
        <w:t xml:space="preserve"> </w:t>
      </w:r>
      <w:r w:rsidRPr="008516D1">
        <w:t>peines</w:t>
      </w:r>
      <w:r>
        <w:t xml:space="preserve"> </w:t>
      </w:r>
      <w:r w:rsidRPr="008516D1">
        <w:t>et</w:t>
      </w:r>
      <w:r>
        <w:t xml:space="preserve"> </w:t>
      </w:r>
      <w:r w:rsidRPr="008516D1">
        <w:t>des</w:t>
      </w:r>
      <w:r>
        <w:t xml:space="preserve"> </w:t>
      </w:r>
      <w:r w:rsidRPr="008516D1">
        <w:t>juges</w:t>
      </w:r>
      <w:r>
        <w:t xml:space="preserve"> </w:t>
      </w:r>
      <w:r w:rsidRPr="008516D1">
        <w:t>de</w:t>
      </w:r>
      <w:r>
        <w:t xml:space="preserve"> </w:t>
      </w:r>
      <w:r w:rsidRPr="008516D1">
        <w:t>paix</w:t>
      </w:r>
      <w:r>
        <w:t xml:space="preserve"> </w:t>
      </w:r>
      <w:r w:rsidRPr="008516D1">
        <w:t>II</w:t>
      </w:r>
      <w:r w:rsidRPr="008516D1">
        <w:rPr>
          <w:rStyle w:val="Appelnotedebasdep"/>
        </w:rPr>
        <w:footnoteReference w:id="27"/>
      </w:r>
      <w:r>
        <w:t> ;</w:t>
      </w:r>
    </w:p>
    <w:p w14:paraId="036DF1B5" w14:textId="266BCF72" w:rsidR="00286956" w:rsidRPr="008516D1" w:rsidRDefault="00286956" w:rsidP="00AB2CD9">
      <w:pPr>
        <w:pStyle w:val="SingleTxtG"/>
        <w:keepLines/>
        <w:ind w:firstLine="567"/>
      </w:pPr>
      <w:r w:rsidRPr="008516D1">
        <w:lastRenderedPageBreak/>
        <w:t>r)</w:t>
      </w:r>
      <w:r w:rsidRPr="008516D1">
        <w:tab/>
        <w:t>Mesures</w:t>
      </w:r>
      <w:r>
        <w:t xml:space="preserve"> </w:t>
      </w:r>
      <w:r w:rsidRPr="008516D1">
        <w:t>spéciales</w:t>
      </w:r>
      <w:r>
        <w:t xml:space="preserve"> </w:t>
      </w:r>
      <w:r w:rsidRPr="008516D1">
        <w:t>en</w:t>
      </w:r>
      <w:r>
        <w:t xml:space="preserve"> </w:t>
      </w:r>
      <w:r w:rsidRPr="008516D1">
        <w:t>faveur</w:t>
      </w:r>
      <w:r>
        <w:t xml:space="preserve"> </w:t>
      </w:r>
      <w:r w:rsidRPr="008516D1">
        <w:t>de</w:t>
      </w:r>
      <w:r>
        <w:t xml:space="preserve"> </w:t>
      </w:r>
      <w:r w:rsidRPr="008516D1">
        <w:t>la</w:t>
      </w:r>
      <w:r>
        <w:t xml:space="preserve"> </w:t>
      </w:r>
      <w:r w:rsidRPr="008516D1">
        <w:t>diffusion,</w:t>
      </w:r>
      <w:r>
        <w:t xml:space="preserve"> </w:t>
      </w:r>
      <w:r w:rsidRPr="008516D1">
        <w:t>de</w:t>
      </w:r>
      <w:r>
        <w:t xml:space="preserve"> </w:t>
      </w:r>
      <w:r w:rsidRPr="008516D1">
        <w:t>la</w:t>
      </w:r>
      <w:r>
        <w:t xml:space="preserve"> </w:t>
      </w:r>
      <w:r w:rsidRPr="008516D1">
        <w:t>prévention</w:t>
      </w:r>
      <w:r>
        <w:t xml:space="preserve"> </w:t>
      </w:r>
      <w:r w:rsidRPr="008516D1">
        <w:t>et</w:t>
      </w:r>
      <w:r>
        <w:t xml:space="preserve"> </w:t>
      </w:r>
      <w:r w:rsidRPr="008516D1">
        <w:t>de</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de</w:t>
      </w:r>
      <w:r>
        <w:t xml:space="preserve"> </w:t>
      </w:r>
      <w:r w:rsidRPr="008516D1">
        <w:t>la</w:t>
      </w:r>
      <w:r>
        <w:t xml:space="preserve"> </w:t>
      </w:r>
      <w:r w:rsidRPr="008516D1">
        <w:t>violence</w:t>
      </w:r>
      <w:r>
        <w:t xml:space="preserve"> </w:t>
      </w:r>
      <w:r w:rsidRPr="008516D1">
        <w:t>à</w:t>
      </w:r>
      <w:r>
        <w:t xml:space="preserve"> </w:t>
      </w:r>
      <w:r w:rsidRPr="008516D1">
        <w:t>l</w:t>
      </w:r>
      <w:r>
        <w:t>’</w:t>
      </w:r>
      <w:r w:rsidRPr="008516D1">
        <w:t>égard</w:t>
      </w:r>
      <w:r>
        <w:t xml:space="preserve"> </w:t>
      </w:r>
      <w:r w:rsidRPr="008516D1">
        <w:t>des</w:t>
      </w:r>
      <w:r>
        <w:t xml:space="preserve"> </w:t>
      </w:r>
      <w:r w:rsidRPr="008516D1">
        <w:t>femmes</w:t>
      </w:r>
      <w:r>
        <w:t xml:space="preserve"> </w:t>
      </w:r>
      <w:r w:rsidRPr="008516D1">
        <w:t>et</w:t>
      </w:r>
      <w:r>
        <w:t xml:space="preserve"> </w:t>
      </w:r>
      <w:r w:rsidRPr="008516D1">
        <w:t>mesures</w:t>
      </w:r>
      <w:r>
        <w:t xml:space="preserve"> </w:t>
      </w:r>
      <w:r w:rsidRPr="008516D1">
        <w:t>visant</w:t>
      </w:r>
      <w:r>
        <w:t xml:space="preserve"> </w:t>
      </w:r>
      <w:r w:rsidRPr="008516D1">
        <w:t>à</w:t>
      </w:r>
      <w:r>
        <w:t xml:space="preserve"> </w:t>
      </w:r>
      <w:r w:rsidRPr="008516D1">
        <w:t>garantir</w:t>
      </w:r>
      <w:r>
        <w:t xml:space="preserve"> </w:t>
      </w:r>
      <w:r w:rsidRPr="008516D1">
        <w:t>l</w:t>
      </w:r>
      <w:r>
        <w:t>’</w:t>
      </w:r>
      <w:r w:rsidRPr="008516D1">
        <w:t>égalité</w:t>
      </w:r>
      <w:r>
        <w:t xml:space="preserve"> </w:t>
      </w:r>
      <w:r w:rsidRPr="008516D1">
        <w:t>femmes</w:t>
      </w:r>
      <w:r w:rsidR="00AB2CD9">
        <w:noBreakHyphen/>
      </w:r>
      <w:r w:rsidRPr="008516D1">
        <w:t>hommes</w:t>
      </w:r>
      <w:r>
        <w:t xml:space="preserve"> </w:t>
      </w:r>
      <w:r w:rsidRPr="008516D1">
        <w:t>pendant</w:t>
      </w:r>
      <w:r>
        <w:t xml:space="preserve"> </w:t>
      </w:r>
      <w:r w:rsidRPr="008516D1">
        <w:t>l</w:t>
      </w:r>
      <w:r>
        <w:t>’</w:t>
      </w:r>
      <w:r w:rsidRPr="008516D1">
        <w:t>état</w:t>
      </w:r>
      <w:r>
        <w:t xml:space="preserve"> </w:t>
      </w:r>
      <w:r w:rsidRPr="008516D1">
        <w:t>d</w:t>
      </w:r>
      <w:r>
        <w:t>’</w:t>
      </w:r>
      <w:r w:rsidRPr="008516D1">
        <w:t>urgence</w:t>
      </w:r>
      <w:r>
        <w:t xml:space="preserve"> </w:t>
      </w:r>
      <w:r w:rsidRPr="008516D1">
        <w:t>nationale</w:t>
      </w:r>
      <w:r>
        <w:t xml:space="preserve"> </w:t>
      </w:r>
      <w:r w:rsidRPr="008516D1">
        <w:t>déclaré</w:t>
      </w:r>
      <w:r>
        <w:t xml:space="preserve"> </w:t>
      </w:r>
      <w:r w:rsidRPr="008516D1">
        <w:t>en</w:t>
      </w:r>
      <w:r>
        <w:t xml:space="preserve"> </w:t>
      </w:r>
      <w:r w:rsidRPr="008516D1">
        <w:t>raison</w:t>
      </w:r>
      <w:r>
        <w:t xml:space="preserve"> </w:t>
      </w:r>
      <w:r w:rsidRPr="008516D1">
        <w:t>de</w:t>
      </w:r>
      <w:r>
        <w:t xml:space="preserve"> </w:t>
      </w:r>
      <w:r w:rsidRPr="008516D1">
        <w:t>la</w:t>
      </w:r>
      <w:r>
        <w:t xml:space="preserve"> </w:t>
      </w:r>
      <w:r w:rsidRPr="008516D1">
        <w:t>pandémie</w:t>
      </w:r>
      <w:r>
        <w:t xml:space="preserve"> </w:t>
      </w:r>
      <w:r w:rsidRPr="008516D1">
        <w:t>de</w:t>
      </w:r>
      <w:r>
        <w:t xml:space="preserve"> </w:t>
      </w:r>
      <w:r w:rsidRPr="008516D1">
        <w:t>COVID</w:t>
      </w:r>
      <w:r w:rsidR="00AB2CD9">
        <w:noBreakHyphen/>
      </w:r>
      <w:r w:rsidRPr="008516D1">
        <w:t>19</w:t>
      </w:r>
      <w:r w:rsidRPr="008516D1">
        <w:rPr>
          <w:rStyle w:val="Appelnotedebasdep"/>
        </w:rPr>
        <w:footnoteReference w:id="28"/>
      </w:r>
      <w:r>
        <w:t> ;</w:t>
      </w:r>
    </w:p>
    <w:p w14:paraId="2BDE61E1" w14:textId="615EF3AD" w:rsidR="00286956" w:rsidRPr="008516D1" w:rsidRDefault="00286956" w:rsidP="0013732F">
      <w:pPr>
        <w:pStyle w:val="SingleTxtG"/>
        <w:ind w:firstLine="567"/>
      </w:pPr>
      <w:r w:rsidRPr="008516D1">
        <w:t>s)</w:t>
      </w:r>
      <w:r w:rsidRPr="008516D1">
        <w:tab/>
        <w:t>Création</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w:t>
      </w:r>
      <w:r>
        <w:t xml:space="preserve"> </w:t>
      </w:r>
      <w:r w:rsidRPr="008516D1">
        <w:t>la</w:t>
      </w:r>
      <w:r>
        <w:t xml:space="preserve"> </w:t>
      </w:r>
      <w:r w:rsidRPr="008516D1">
        <w:t>protection</w:t>
      </w:r>
      <w:r>
        <w:t xml:space="preserve"> </w:t>
      </w:r>
      <w:r w:rsidRPr="008516D1">
        <w:t>des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journalistes,</w:t>
      </w:r>
      <w:r>
        <w:t xml:space="preserve"> </w:t>
      </w:r>
      <w:r w:rsidRPr="008516D1">
        <w:t>des</w:t>
      </w:r>
      <w:r>
        <w:t xml:space="preserve"> </w:t>
      </w:r>
      <w:r w:rsidRPr="008516D1">
        <w:t>personnes</w:t>
      </w:r>
      <w:r>
        <w:t xml:space="preserve"> </w:t>
      </w:r>
      <w:r w:rsidRPr="008516D1">
        <w:t>travaillant</w:t>
      </w:r>
      <w:r>
        <w:t xml:space="preserve"> </w:t>
      </w:r>
      <w:r w:rsidRPr="008516D1">
        <w:t>dans</w:t>
      </w:r>
      <w:r>
        <w:t xml:space="preserve"> </w:t>
      </w:r>
      <w:r w:rsidRPr="008516D1">
        <w:t>le</w:t>
      </w:r>
      <w:r>
        <w:t xml:space="preserve"> </w:t>
      </w:r>
      <w:r w:rsidRPr="008516D1">
        <w:t>secteur</w:t>
      </w:r>
      <w:r>
        <w:t xml:space="preserve"> </w:t>
      </w:r>
      <w:r w:rsidRPr="008516D1">
        <w:t>des</w:t>
      </w:r>
      <w:r>
        <w:t xml:space="preserve"> </w:t>
      </w:r>
      <w:r w:rsidRPr="008516D1">
        <w:t>médias</w:t>
      </w:r>
      <w:r>
        <w:t xml:space="preserve"> </w:t>
      </w:r>
      <w:r w:rsidRPr="008516D1">
        <w:t>et</w:t>
      </w:r>
      <w:r>
        <w:t xml:space="preserve"> </w:t>
      </w:r>
      <w:r w:rsidRPr="008516D1">
        <w:t>des</w:t>
      </w:r>
      <w:r>
        <w:t xml:space="preserve"> </w:t>
      </w:r>
      <w:r w:rsidRPr="008516D1">
        <w:t>agents</w:t>
      </w:r>
      <w:r>
        <w:t xml:space="preserve"> </w:t>
      </w:r>
      <w:r w:rsidRPr="008516D1">
        <w:t>du</w:t>
      </w:r>
      <w:r>
        <w:t xml:space="preserve"> </w:t>
      </w:r>
      <w:r w:rsidRPr="008516D1">
        <w:t>système</w:t>
      </w:r>
      <w:r>
        <w:t xml:space="preserve"> </w:t>
      </w:r>
      <w:r w:rsidRPr="008516D1">
        <w:t>judiciaire</w:t>
      </w:r>
      <w:r w:rsidRPr="008516D1">
        <w:rPr>
          <w:rStyle w:val="Appelnotedebasdep"/>
        </w:rPr>
        <w:footnoteReference w:id="29"/>
      </w:r>
      <w:r>
        <w:t xml:space="preserve"> ; </w:t>
      </w:r>
      <w:r w:rsidRPr="008516D1">
        <w:t>et</w:t>
      </w:r>
    </w:p>
    <w:p w14:paraId="0D5DC644" w14:textId="3185496F" w:rsidR="00286956" w:rsidRPr="008516D1" w:rsidRDefault="00286956" w:rsidP="0013732F">
      <w:pPr>
        <w:pStyle w:val="SingleTxtG"/>
        <w:ind w:firstLine="567"/>
      </w:pPr>
      <w:r w:rsidRPr="008516D1">
        <w:t>t)</w:t>
      </w:r>
      <w:r w:rsidRPr="008516D1">
        <w:tab/>
        <w:t>Création</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rsidRPr="008516D1">
        <w:rPr>
          <w:rStyle w:val="Appelnotedebasdep"/>
        </w:rPr>
        <w:footnoteReference w:id="30"/>
      </w:r>
      <w:r w:rsidRPr="008516D1">
        <w:t>.</w:t>
      </w:r>
    </w:p>
    <w:p w14:paraId="618BC3CA" w14:textId="77777777" w:rsidR="00286956" w:rsidRPr="008516D1" w:rsidRDefault="00286956" w:rsidP="0013732F">
      <w:pPr>
        <w:pStyle w:val="H1G"/>
      </w:pPr>
      <w:bookmarkStart w:id="6" w:name="_Toc76740419"/>
      <w:r w:rsidRPr="008516D1">
        <w:tab/>
        <w:t>C.</w:t>
      </w:r>
      <w:r w:rsidRPr="008516D1">
        <w:tab/>
        <w:t>Politiques,</w:t>
      </w:r>
      <w:r>
        <w:t xml:space="preserve"> </w:t>
      </w:r>
      <w:r w:rsidRPr="008516D1">
        <w:t>plans</w:t>
      </w:r>
      <w:r>
        <w:t xml:space="preserve"> </w:t>
      </w:r>
      <w:r w:rsidRPr="008516D1">
        <w:t>et</w:t>
      </w:r>
      <w:r>
        <w:t xml:space="preserve"> </w:t>
      </w:r>
      <w:r w:rsidRPr="008516D1">
        <w:t>stratégies</w:t>
      </w:r>
      <w:bookmarkEnd w:id="6"/>
    </w:p>
    <w:p w14:paraId="49E31937" w14:textId="252B0F82" w:rsidR="00286956" w:rsidRPr="008516D1" w:rsidRDefault="00286956" w:rsidP="00A74554">
      <w:pPr>
        <w:pStyle w:val="SingleTxtG"/>
        <w:keepNext/>
      </w:pPr>
      <w:r w:rsidRPr="008516D1">
        <w:t>7.</w:t>
      </w:r>
      <w:r w:rsidRPr="008516D1">
        <w:tab/>
        <w:t>Parmi</w:t>
      </w:r>
      <w:r>
        <w:t xml:space="preserve"> </w:t>
      </w:r>
      <w:r w:rsidRPr="008516D1">
        <w:t>les</w:t>
      </w:r>
      <w:r>
        <w:t xml:space="preserve"> </w:t>
      </w:r>
      <w:r w:rsidRPr="008516D1">
        <w:t>politiques,</w:t>
      </w:r>
      <w:r>
        <w:t xml:space="preserve"> </w:t>
      </w:r>
      <w:r w:rsidRPr="008516D1">
        <w:t>plans</w:t>
      </w:r>
      <w:r>
        <w:t xml:space="preserve"> </w:t>
      </w:r>
      <w:r w:rsidRPr="008516D1">
        <w:t>et</w:t>
      </w:r>
      <w:r>
        <w:t xml:space="preserve"> </w:t>
      </w:r>
      <w:r w:rsidRPr="008516D1">
        <w:t>stratégies</w:t>
      </w:r>
      <w:r>
        <w:t xml:space="preserve"> </w:t>
      </w:r>
      <w:r w:rsidRPr="008516D1">
        <w:t>adoptés</w:t>
      </w:r>
      <w:r>
        <w:t xml:space="preserve"> </w:t>
      </w:r>
      <w:r w:rsidRPr="008516D1">
        <w:t>pendant</w:t>
      </w:r>
      <w:r>
        <w:t xml:space="preserve"> </w:t>
      </w:r>
      <w:r w:rsidRPr="008516D1">
        <w:t>la</w:t>
      </w:r>
      <w:r>
        <w:t xml:space="preserve"> </w:t>
      </w:r>
      <w:r w:rsidRPr="008516D1">
        <w:t>période</w:t>
      </w:r>
      <w:r>
        <w:t xml:space="preserve"> </w:t>
      </w:r>
      <w:r w:rsidRPr="008516D1">
        <w:t>considérée,</w:t>
      </w:r>
      <w:r>
        <w:t xml:space="preserve"> </w:t>
      </w:r>
      <w:r w:rsidRPr="008516D1">
        <w:t>il</w:t>
      </w:r>
      <w:r>
        <w:t xml:space="preserve"> </w:t>
      </w:r>
      <w:r w:rsidRPr="008516D1">
        <w:t>convient</w:t>
      </w:r>
      <w:r>
        <w:t xml:space="preserve"> </w:t>
      </w:r>
      <w:r w:rsidRPr="008516D1">
        <w:t>notamment</w:t>
      </w:r>
      <w:r>
        <w:t xml:space="preserve"> </w:t>
      </w:r>
      <w:r w:rsidRPr="008516D1">
        <w:t>de</w:t>
      </w:r>
      <w:r>
        <w:t xml:space="preserve"> </w:t>
      </w:r>
      <w:r w:rsidRPr="008516D1">
        <w:t>mentionner</w:t>
      </w:r>
      <w:r>
        <w:t> :</w:t>
      </w:r>
    </w:p>
    <w:p w14:paraId="284B1DFC" w14:textId="7BA88E59" w:rsidR="00286956" w:rsidRPr="008516D1" w:rsidRDefault="00286956" w:rsidP="0013732F">
      <w:pPr>
        <w:pStyle w:val="SingleTxtG"/>
        <w:ind w:firstLine="567"/>
      </w:pPr>
      <w:r w:rsidRPr="008516D1">
        <w:t>a)</w:t>
      </w:r>
      <w:r w:rsidRPr="008516D1">
        <w:tab/>
      </w:r>
      <w:r w:rsidR="00AB2CD9" w:rsidRPr="008516D1">
        <w:t>La</w:t>
      </w:r>
      <w:r w:rsidR="00AB2CD9">
        <w:t xml:space="preserve"> </w:t>
      </w:r>
      <w:r w:rsidRPr="008516D1">
        <w:t>Politique</w:t>
      </w:r>
      <w:r>
        <w:t xml:space="preserve"> </w:t>
      </w:r>
      <w:r w:rsidRPr="008516D1">
        <w:t>publique</w:t>
      </w:r>
      <w:r>
        <w:t xml:space="preserve"> </w:t>
      </w:r>
      <w:r w:rsidRPr="008516D1">
        <w:t>de</w:t>
      </w:r>
      <w:r>
        <w:t xml:space="preserve"> </w:t>
      </w:r>
      <w:r w:rsidRPr="008516D1">
        <w:t>lutte</w:t>
      </w:r>
      <w:r>
        <w:t xml:space="preserve"> </w:t>
      </w:r>
      <w:r w:rsidRPr="008516D1">
        <w:t>contre</w:t>
      </w:r>
      <w:r>
        <w:t xml:space="preserve"> </w:t>
      </w:r>
      <w:r w:rsidRPr="008516D1">
        <w:t>le</w:t>
      </w:r>
      <w:r>
        <w:t xml:space="preserve"> </w:t>
      </w:r>
      <w:r w:rsidRPr="008516D1">
        <w:t>racisme</w:t>
      </w:r>
      <w:r>
        <w:t xml:space="preserve"> </w:t>
      </w:r>
      <w:r w:rsidRPr="008516D1">
        <w:t>et</w:t>
      </w:r>
      <w:r>
        <w:t xml:space="preserve"> </w:t>
      </w:r>
      <w:r w:rsidRPr="008516D1">
        <w:t>la</w:t>
      </w:r>
      <w:r>
        <w:t xml:space="preserve"> </w:t>
      </w:r>
      <w:r w:rsidRPr="008516D1">
        <w:t>discrimination</w:t>
      </w:r>
      <w:r>
        <w:t xml:space="preserve"> </w:t>
      </w:r>
      <w:r w:rsidRPr="008516D1">
        <w:t>raciale,</w:t>
      </w:r>
      <w:r>
        <w:t xml:space="preserve"> </w:t>
      </w:r>
      <w:r w:rsidRPr="008516D1">
        <w:t>pour</w:t>
      </w:r>
      <w:r>
        <w:t xml:space="preserve"> </w:t>
      </w:r>
      <w:r w:rsidRPr="008516D1">
        <w:t>le</w:t>
      </w:r>
      <w:r>
        <w:t xml:space="preserve"> </w:t>
      </w:r>
      <w:r w:rsidRPr="008516D1">
        <w:t>développement</w:t>
      </w:r>
      <w:r>
        <w:t xml:space="preserve"> </w:t>
      </w:r>
      <w:r w:rsidRPr="008516D1">
        <w:t>intégral</w:t>
      </w:r>
      <w:r>
        <w:t xml:space="preserve"> </w:t>
      </w:r>
      <w:r w:rsidRPr="008516D1">
        <w:t>des</w:t>
      </w:r>
      <w:r>
        <w:t xml:space="preserve"> </w:t>
      </w:r>
      <w:r w:rsidRPr="008516D1">
        <w:t>peuples</w:t>
      </w:r>
      <w:r>
        <w:t xml:space="preserve"> </w:t>
      </w:r>
      <w:r w:rsidRPr="008516D1">
        <w:t>autochtones</w:t>
      </w:r>
      <w:r>
        <w:t xml:space="preserve"> </w:t>
      </w:r>
      <w:r w:rsidRPr="008516D1">
        <w:t>et</w:t>
      </w:r>
      <w:r>
        <w:t xml:space="preserve"> </w:t>
      </w:r>
      <w:r w:rsidRPr="008516D1">
        <w:t>afro-honduriens</w:t>
      </w:r>
      <w:r w:rsidRPr="008516D1">
        <w:rPr>
          <w:rStyle w:val="Appelnotedebasdep"/>
        </w:rPr>
        <w:footnoteReference w:id="31"/>
      </w:r>
      <w:r>
        <w:t> ;</w:t>
      </w:r>
    </w:p>
    <w:p w14:paraId="64CA1F91" w14:textId="4E4FEE3B" w:rsidR="00286956" w:rsidRPr="008516D1" w:rsidRDefault="00286956" w:rsidP="0013732F">
      <w:pPr>
        <w:pStyle w:val="SingleTxtG"/>
        <w:ind w:firstLine="567"/>
      </w:pPr>
      <w:r w:rsidRPr="008516D1">
        <w:t>b)</w:t>
      </w:r>
      <w:r w:rsidRPr="008516D1">
        <w:tab/>
      </w:r>
      <w:r w:rsidR="00AB2CD9" w:rsidRPr="008516D1">
        <w:t>La</w:t>
      </w:r>
      <w:r w:rsidR="00AB2CD9">
        <w:t xml:space="preserve"> </w:t>
      </w:r>
      <w:r w:rsidRPr="008516D1">
        <w:t>Politique</w:t>
      </w:r>
      <w:r>
        <w:t xml:space="preserve"> </w:t>
      </w:r>
      <w:r w:rsidRPr="008516D1">
        <w:t>nationale</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du</w:t>
      </w:r>
      <w:r>
        <w:t xml:space="preserve"> </w:t>
      </w:r>
      <w:r w:rsidRPr="008516D1">
        <w:t>vieillissement</w:t>
      </w:r>
      <w:r>
        <w:t xml:space="preserve"> </w:t>
      </w:r>
      <w:r w:rsidRPr="008516D1">
        <w:t>et</w:t>
      </w:r>
      <w:r>
        <w:t xml:space="preserve"> </w:t>
      </w:r>
      <w:r w:rsidRPr="008516D1">
        <w:t>des</w:t>
      </w:r>
      <w:r>
        <w:t xml:space="preserve"> </w:t>
      </w:r>
      <w:r w:rsidRPr="008516D1">
        <w:t>personnes</w:t>
      </w:r>
      <w:r>
        <w:t xml:space="preserve"> </w:t>
      </w:r>
      <w:r w:rsidRPr="008516D1">
        <w:t>âgées</w:t>
      </w:r>
      <w:r>
        <w:t xml:space="preserve"> </w:t>
      </w:r>
      <w:r w:rsidRPr="008516D1">
        <w:t>2021-2050</w:t>
      </w:r>
      <w:r w:rsidRPr="008516D1">
        <w:rPr>
          <w:rStyle w:val="Appelnotedebasdep"/>
        </w:rPr>
        <w:footnoteReference w:id="32"/>
      </w:r>
      <w:r>
        <w:t> ;</w:t>
      </w:r>
    </w:p>
    <w:p w14:paraId="3929E168" w14:textId="017FF6C1" w:rsidR="00286956" w:rsidRPr="008516D1" w:rsidRDefault="00286956" w:rsidP="0013732F">
      <w:pPr>
        <w:pStyle w:val="SingleTxtG"/>
        <w:ind w:firstLine="567"/>
      </w:pPr>
      <w:r w:rsidRPr="008516D1">
        <w:t>c)</w:t>
      </w:r>
      <w:r w:rsidRPr="008516D1">
        <w:tab/>
      </w:r>
      <w:r w:rsidR="00AB2CD9" w:rsidRPr="008516D1">
        <w:t>Le</w:t>
      </w:r>
      <w:r w:rsidR="00AB2CD9">
        <w:t xml:space="preserve"> </w:t>
      </w:r>
      <w:r w:rsidRPr="008516D1">
        <w:t>Plan</w:t>
      </w:r>
      <w:r>
        <w:t xml:space="preserve"> </w:t>
      </w:r>
      <w:r w:rsidRPr="008516D1">
        <w:t>stratégique</w:t>
      </w:r>
      <w:r>
        <w:t xml:space="preserve"> </w:t>
      </w:r>
      <w:r w:rsidRPr="008516D1">
        <w:t>de</w:t>
      </w:r>
      <w:r>
        <w:t xml:space="preserve"> </w:t>
      </w:r>
      <w:r w:rsidRPr="008516D1">
        <w:t>lutte</w:t>
      </w:r>
      <w:r>
        <w:t xml:space="preserve"> </w:t>
      </w:r>
      <w:r w:rsidRPr="008516D1">
        <w:t>contre</w:t>
      </w:r>
      <w:r>
        <w:t xml:space="preserve"> </w:t>
      </w:r>
      <w:r w:rsidRPr="008516D1">
        <w:t>l</w:t>
      </w:r>
      <w:r>
        <w:t>’</w:t>
      </w:r>
      <w:r w:rsidRPr="008516D1">
        <w:t>exploitation</w:t>
      </w:r>
      <w:r>
        <w:t xml:space="preserve"> </w:t>
      </w:r>
      <w:r w:rsidRPr="008516D1">
        <w:t>sexuelle</w:t>
      </w:r>
      <w:r>
        <w:t xml:space="preserve"> </w:t>
      </w:r>
      <w:r w:rsidRPr="008516D1">
        <w:t>à</w:t>
      </w:r>
      <w:r>
        <w:t xml:space="preserve"> </w:t>
      </w:r>
      <w:r w:rsidRPr="008516D1">
        <w:t>des</w:t>
      </w:r>
      <w:r>
        <w:t xml:space="preserve"> </w:t>
      </w:r>
      <w:r w:rsidRPr="008516D1">
        <w:t>fins</w:t>
      </w:r>
      <w:r>
        <w:t xml:space="preserve"> </w:t>
      </w:r>
      <w:r w:rsidRPr="008516D1">
        <w:t>commerciales</w:t>
      </w:r>
      <w:r>
        <w:t xml:space="preserve"> </w:t>
      </w:r>
      <w:r w:rsidRPr="008516D1">
        <w:t>et</w:t>
      </w:r>
      <w:r>
        <w:t xml:space="preserve"> </w:t>
      </w:r>
      <w:r w:rsidRPr="008516D1">
        <w:t>la</w:t>
      </w:r>
      <w:r>
        <w:t xml:space="preserve"> </w:t>
      </w:r>
      <w:r w:rsidRPr="008516D1">
        <w:t>traite</w:t>
      </w:r>
      <w:r>
        <w:t xml:space="preserve"> </w:t>
      </w:r>
      <w:r w:rsidRPr="008516D1">
        <w:t>des</w:t>
      </w:r>
      <w:r>
        <w:t xml:space="preserve"> </w:t>
      </w:r>
      <w:r w:rsidRPr="008516D1">
        <w:t>personnes</w:t>
      </w:r>
      <w:r>
        <w:t xml:space="preserve"> </w:t>
      </w:r>
      <w:r w:rsidRPr="008516D1">
        <w:t>(2016-2022)</w:t>
      </w:r>
      <w:r w:rsidRPr="008516D1">
        <w:rPr>
          <w:rStyle w:val="Appelnotedebasdep"/>
        </w:rPr>
        <w:footnoteReference w:id="33"/>
      </w:r>
      <w:r>
        <w:t> ;</w:t>
      </w:r>
    </w:p>
    <w:p w14:paraId="16B9238F" w14:textId="788BD38C" w:rsidR="00286956" w:rsidRPr="008516D1" w:rsidRDefault="00286956" w:rsidP="0013732F">
      <w:pPr>
        <w:pStyle w:val="SingleTxtG"/>
        <w:ind w:firstLine="567"/>
      </w:pPr>
      <w:r w:rsidRPr="008516D1">
        <w:t>d)</w:t>
      </w:r>
      <w:r w:rsidRPr="008516D1">
        <w:tab/>
      </w:r>
      <w:r w:rsidR="00AB2CD9" w:rsidRPr="008516D1">
        <w:t>Le</w:t>
      </w:r>
      <w:r w:rsidR="00AB2CD9">
        <w:t xml:space="preserve"> </w:t>
      </w:r>
      <w:r w:rsidRPr="008516D1">
        <w:t>Plan</w:t>
      </w:r>
      <w:r>
        <w:t xml:space="preserve"> </w:t>
      </w:r>
      <w:r w:rsidRPr="008516D1">
        <w:t>stratégique</w:t>
      </w:r>
      <w:r>
        <w:t xml:space="preserve"> </w:t>
      </w:r>
      <w:r w:rsidRPr="008516D1">
        <w:t>du</w:t>
      </w:r>
      <w:r>
        <w:t xml:space="preserve"> </w:t>
      </w:r>
      <w:r w:rsidRPr="008516D1">
        <w:t>Gouvernement,</w:t>
      </w:r>
      <w:r>
        <w:t xml:space="preserve"> </w:t>
      </w:r>
      <w:r w:rsidRPr="008516D1">
        <w:t>2018-2022</w:t>
      </w:r>
      <w:r w:rsidRPr="008516D1">
        <w:rPr>
          <w:rStyle w:val="Appelnotedebasdep"/>
        </w:rPr>
        <w:footnoteReference w:id="34"/>
      </w:r>
      <w:r>
        <w:t> ;</w:t>
      </w:r>
    </w:p>
    <w:p w14:paraId="5795D115" w14:textId="0FD23783" w:rsidR="00286956" w:rsidRPr="008516D1" w:rsidRDefault="00286956" w:rsidP="0013732F">
      <w:pPr>
        <w:pStyle w:val="SingleTxtG"/>
        <w:ind w:firstLine="567"/>
      </w:pPr>
      <w:r w:rsidRPr="008516D1">
        <w:t>e)</w:t>
      </w:r>
      <w:r w:rsidRPr="008516D1">
        <w:tab/>
      </w:r>
      <w:r w:rsidR="00AB2CD9" w:rsidRPr="008516D1">
        <w:t>Le</w:t>
      </w:r>
      <w:r w:rsidR="00AB2CD9">
        <w:t xml:space="preserve"> </w:t>
      </w:r>
      <w:r w:rsidRPr="008516D1">
        <w:t>programme</w:t>
      </w:r>
      <w:r>
        <w:t xml:space="preserve"> </w:t>
      </w:r>
      <w:r w:rsidRPr="008516D1">
        <w:t>présidentiel</w:t>
      </w:r>
      <w:r>
        <w:t xml:space="preserve"> </w:t>
      </w:r>
      <w:r w:rsidRPr="008516D1">
        <w:rPr>
          <w:i/>
        </w:rPr>
        <w:t>Ciudad</w:t>
      </w:r>
      <w:r>
        <w:rPr>
          <w:i/>
        </w:rPr>
        <w:t xml:space="preserve"> </w:t>
      </w:r>
      <w:proofErr w:type="spellStart"/>
      <w:r w:rsidRPr="008516D1">
        <w:rPr>
          <w:i/>
        </w:rPr>
        <w:t>Mujer</w:t>
      </w:r>
      <w:proofErr w:type="spellEnd"/>
      <w:r>
        <w:t xml:space="preserve"> </w:t>
      </w:r>
      <w:r w:rsidRPr="008516D1">
        <w:t>(Cité</w:t>
      </w:r>
      <w:r>
        <w:t xml:space="preserve"> </w:t>
      </w:r>
      <w:r w:rsidRPr="008516D1">
        <w:t>de</w:t>
      </w:r>
      <w:r>
        <w:t xml:space="preserve"> </w:t>
      </w:r>
      <w:r w:rsidRPr="008516D1">
        <w:t>la</w:t>
      </w:r>
      <w:r>
        <w:t xml:space="preserve"> </w:t>
      </w:r>
      <w:r w:rsidRPr="008516D1">
        <w:t>femme)</w:t>
      </w:r>
      <w:r w:rsidRPr="008516D1">
        <w:rPr>
          <w:rStyle w:val="Appelnotedebasdep"/>
        </w:rPr>
        <w:footnoteReference w:id="35"/>
      </w:r>
      <w:r>
        <w:t> ;</w:t>
      </w:r>
    </w:p>
    <w:p w14:paraId="2982EBF2" w14:textId="6C93D3F3" w:rsidR="00286956" w:rsidRPr="008516D1" w:rsidRDefault="00286956" w:rsidP="0013732F">
      <w:pPr>
        <w:pStyle w:val="SingleTxtG"/>
        <w:ind w:firstLine="567"/>
      </w:pPr>
      <w:r w:rsidRPr="008516D1">
        <w:t>f)</w:t>
      </w:r>
      <w:r w:rsidRPr="008516D1">
        <w:tab/>
      </w:r>
      <w:r w:rsidR="00AB2CD9" w:rsidRPr="008516D1">
        <w:t>La</w:t>
      </w:r>
      <w:r w:rsidR="00AB2CD9">
        <w:t xml:space="preserve"> </w:t>
      </w:r>
      <w:r w:rsidRPr="008516D1">
        <w:t>création</w:t>
      </w:r>
      <w:r>
        <w:t xml:space="preserve"> </w:t>
      </w:r>
      <w:r w:rsidRPr="008516D1">
        <w:t>de</w:t>
      </w:r>
      <w:r>
        <w:t xml:space="preserve"> </w:t>
      </w:r>
      <w:r w:rsidRPr="008516D1">
        <w:t>la</w:t>
      </w:r>
      <w:r>
        <w:t xml:space="preserve"> </w:t>
      </w:r>
      <w:r w:rsidRPr="008516D1">
        <w:t>Commission</w:t>
      </w:r>
      <w:r>
        <w:t xml:space="preserve"> </w:t>
      </w:r>
      <w:r w:rsidRPr="008516D1">
        <w:t>nationale</w:t>
      </w:r>
      <w:r>
        <w:t xml:space="preserve"> </w:t>
      </w:r>
      <w:r w:rsidRPr="008516D1">
        <w:t>relative</w:t>
      </w:r>
      <w:r>
        <w:t xml:space="preserve"> </w:t>
      </w:r>
      <w:r w:rsidRPr="008516D1">
        <w:t>au</w:t>
      </w:r>
      <w:r>
        <w:t xml:space="preserve"> </w:t>
      </w:r>
      <w:r w:rsidRPr="008516D1">
        <w:t>Programme</w:t>
      </w:r>
      <w:r>
        <w:t xml:space="preserve"> </w:t>
      </w:r>
      <w:r w:rsidRPr="008516D1">
        <w:t>2030</w:t>
      </w:r>
      <w:r w:rsidRPr="008516D1">
        <w:rPr>
          <w:rStyle w:val="Appelnotedebasdep"/>
        </w:rPr>
        <w:footnoteReference w:id="36"/>
      </w:r>
      <w:r>
        <w:t> ;</w:t>
      </w:r>
    </w:p>
    <w:p w14:paraId="1EA26A2C" w14:textId="465A0E61" w:rsidR="00286956" w:rsidRPr="008516D1" w:rsidRDefault="00286956" w:rsidP="0013732F">
      <w:pPr>
        <w:pStyle w:val="SingleTxtG"/>
        <w:ind w:firstLine="567"/>
      </w:pPr>
      <w:r w:rsidRPr="008516D1">
        <w:t>g)</w:t>
      </w:r>
      <w:r w:rsidRPr="008516D1">
        <w:tab/>
      </w:r>
      <w:r w:rsidR="00AB2CD9" w:rsidRPr="008516D1">
        <w:t>La</w:t>
      </w:r>
      <w:r w:rsidR="00AB2CD9">
        <w:t xml:space="preserve"> </w:t>
      </w:r>
      <w:r w:rsidRPr="008516D1">
        <w:t>création</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intégrale</w:t>
      </w:r>
      <w:r>
        <w:t xml:space="preserve"> </w:t>
      </w:r>
      <w:r w:rsidRPr="008516D1">
        <w:t>des</w:t>
      </w:r>
      <w:r>
        <w:t xml:space="preserve"> </w:t>
      </w:r>
      <w:r w:rsidRPr="008516D1">
        <w:t>droits</w:t>
      </w:r>
      <w:r>
        <w:t xml:space="preserve"> </w:t>
      </w:r>
      <w:r w:rsidRPr="008516D1">
        <w:t>des</w:t>
      </w:r>
      <w:r>
        <w:t xml:space="preserve"> </w:t>
      </w:r>
      <w:r w:rsidRPr="008516D1">
        <w:t>enfants</w:t>
      </w:r>
      <w:r>
        <w:t xml:space="preserve"> </w:t>
      </w:r>
      <w:r w:rsidRPr="008516D1">
        <w:t>et</w:t>
      </w:r>
      <w:r>
        <w:t xml:space="preserve"> </w:t>
      </w:r>
      <w:r w:rsidRPr="008516D1">
        <w:t>des</w:t>
      </w:r>
      <w:r>
        <w:t xml:space="preserve"> </w:t>
      </w:r>
      <w:r w:rsidRPr="008516D1">
        <w:t>adolescents</w:t>
      </w:r>
      <w:r>
        <w:t xml:space="preserve"> </w:t>
      </w:r>
      <w:r w:rsidRPr="008516D1">
        <w:t>au</w:t>
      </w:r>
      <w:r>
        <w:t xml:space="preserve"> </w:t>
      </w:r>
      <w:r w:rsidRPr="008516D1">
        <w:t>Honduras</w:t>
      </w:r>
      <w:r w:rsidRPr="008516D1">
        <w:rPr>
          <w:rStyle w:val="Appelnotedebasdep"/>
        </w:rPr>
        <w:footnoteReference w:id="37"/>
      </w:r>
      <w:r w:rsidRPr="008516D1">
        <w:t>.</w:t>
      </w:r>
    </w:p>
    <w:p w14:paraId="57CFE9DB" w14:textId="77777777" w:rsidR="00286956" w:rsidRPr="008516D1" w:rsidRDefault="00286956" w:rsidP="0013732F">
      <w:pPr>
        <w:pStyle w:val="HChG"/>
      </w:pPr>
      <w:bookmarkStart w:id="7" w:name="_Toc76740420"/>
      <w:r w:rsidRPr="008516D1">
        <w:tab/>
        <w:t>III.</w:t>
      </w:r>
      <w:r w:rsidRPr="008516D1">
        <w:tab/>
        <w:t>Renseignements</w:t>
      </w:r>
      <w:r>
        <w:t xml:space="preserve"> </w:t>
      </w:r>
      <w:r w:rsidRPr="008516D1">
        <w:t>relatifs</w:t>
      </w:r>
      <w:r>
        <w:t xml:space="preserve"> </w:t>
      </w:r>
      <w:r w:rsidRPr="008516D1">
        <w:t>à</w:t>
      </w:r>
      <w:r>
        <w:t xml:space="preserve"> </w:t>
      </w:r>
      <w:r w:rsidRPr="008516D1">
        <w:t>l</w:t>
      </w:r>
      <w:r>
        <w:t>’</w:t>
      </w:r>
      <w:r w:rsidRPr="008516D1">
        <w:t>application</w:t>
      </w:r>
      <w:r>
        <w:t xml:space="preserve"> </w:t>
      </w:r>
      <w:r w:rsidRPr="008516D1">
        <w:t>de</w:t>
      </w:r>
      <w:r>
        <w:t xml:space="preserve"> </w:t>
      </w:r>
      <w:r w:rsidRPr="008516D1">
        <w:t>la</w:t>
      </w:r>
      <w:r>
        <w:t xml:space="preserve"> </w:t>
      </w:r>
      <w:r w:rsidRPr="008516D1">
        <w:t>Convention</w:t>
      </w:r>
      <w:bookmarkEnd w:id="7"/>
    </w:p>
    <w:p w14:paraId="5E4B6886" w14:textId="5F382C05" w:rsidR="00286956" w:rsidRPr="008516D1" w:rsidRDefault="00286956" w:rsidP="0013732F">
      <w:pPr>
        <w:pStyle w:val="H1G"/>
      </w:pPr>
      <w:bookmarkStart w:id="8" w:name="_Toc76740421"/>
      <w:r w:rsidRPr="008516D1">
        <w:tab/>
        <w:t>A.</w:t>
      </w:r>
      <w:r w:rsidRPr="008516D1">
        <w:tab/>
        <w:t>Interdiction</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w:t>
      </w:r>
      <w:r w:rsidR="003A61DD">
        <w:t>art. </w:t>
      </w:r>
      <w:r w:rsidRPr="008516D1">
        <w:t>1)</w:t>
      </w:r>
      <w:bookmarkEnd w:id="8"/>
    </w:p>
    <w:p w14:paraId="0DF5C116" w14:textId="1F178ED8" w:rsidR="00286956" w:rsidRPr="008516D1" w:rsidRDefault="00286956" w:rsidP="0013732F">
      <w:pPr>
        <w:pStyle w:val="SingleTxtG"/>
      </w:pPr>
      <w:r w:rsidRPr="008516D1">
        <w:t>8.</w:t>
      </w:r>
      <w:r w:rsidRPr="008516D1">
        <w:tab/>
        <w:t>Le</w:t>
      </w:r>
      <w:r>
        <w:t xml:space="preserve"> </w:t>
      </w:r>
      <w:r w:rsidRPr="008516D1">
        <w:t>Honduras</w:t>
      </w:r>
      <w:r>
        <w:t xml:space="preserve"> </w:t>
      </w:r>
      <w:r w:rsidRPr="008516D1">
        <w:t>garantit</w:t>
      </w:r>
      <w:r>
        <w:t xml:space="preserve"> </w:t>
      </w:r>
      <w:r w:rsidRPr="008516D1">
        <w:t>que</w:t>
      </w:r>
      <w:r>
        <w:t xml:space="preserve"> </w:t>
      </w:r>
      <w:r w:rsidRPr="008516D1">
        <w:t>nul</w:t>
      </w:r>
      <w:r>
        <w:t xml:space="preserve"> </w:t>
      </w:r>
      <w:r w:rsidRPr="008516D1">
        <w:t>ne</w:t>
      </w:r>
      <w:r>
        <w:t xml:space="preserve"> </w:t>
      </w:r>
      <w:r w:rsidRPr="008516D1">
        <w:t>peut</w:t>
      </w:r>
      <w:r>
        <w:t xml:space="preserve"> </w:t>
      </w:r>
      <w:r w:rsidRPr="008516D1">
        <w:t>être</w:t>
      </w:r>
      <w:r>
        <w:t xml:space="preserve"> </w:t>
      </w:r>
      <w:r w:rsidRPr="008516D1">
        <w:t>soumis</w:t>
      </w:r>
      <w:r>
        <w:t xml:space="preserve"> </w:t>
      </w:r>
      <w:r w:rsidRPr="008516D1">
        <w:t>à</w:t>
      </w:r>
      <w:r>
        <w:t xml:space="preserve"> </w:t>
      </w:r>
      <w:r w:rsidRPr="008516D1">
        <w:t>une</w:t>
      </w:r>
      <w:r>
        <w:t xml:space="preserve"> </w:t>
      </w:r>
      <w:r w:rsidRPr="008516D1">
        <w:t>disparition</w:t>
      </w:r>
      <w:r>
        <w:t xml:space="preserve"> </w:t>
      </w:r>
      <w:r w:rsidRPr="008516D1">
        <w:t>forcée</w:t>
      </w:r>
      <w:r>
        <w:t xml:space="preserve"> </w:t>
      </w:r>
      <w:r w:rsidRPr="008516D1">
        <w:t>ou</w:t>
      </w:r>
      <w:r>
        <w:t xml:space="preserve"> </w:t>
      </w:r>
      <w:r w:rsidRPr="008516D1">
        <w:t>à</w:t>
      </w:r>
      <w:r>
        <w:t xml:space="preserve"> </w:t>
      </w:r>
      <w:r w:rsidRPr="008516D1">
        <w:t>une</w:t>
      </w:r>
      <w:r>
        <w:t xml:space="preserve"> </w:t>
      </w:r>
      <w:r w:rsidRPr="008516D1">
        <w:t>détention</w:t>
      </w:r>
      <w:r>
        <w:t xml:space="preserve"> </w:t>
      </w:r>
      <w:r w:rsidRPr="008516D1">
        <w:t>illégale</w:t>
      </w:r>
      <w:r>
        <w:t xml:space="preserve"> </w:t>
      </w:r>
      <w:r w:rsidRPr="008516D1">
        <w:t>ou</w:t>
      </w:r>
      <w:r>
        <w:t xml:space="preserve"> </w:t>
      </w:r>
      <w:r w:rsidRPr="008516D1">
        <w:t>arbitraire</w:t>
      </w:r>
      <w:r>
        <w:t xml:space="preserve"> ; </w:t>
      </w:r>
      <w:r w:rsidRPr="008516D1">
        <w:t>la</w:t>
      </w:r>
      <w:r>
        <w:t xml:space="preserve"> </w:t>
      </w:r>
      <w:r w:rsidRPr="008516D1">
        <w:t>Constitution</w:t>
      </w:r>
      <w:r>
        <w:t xml:space="preserve"> </w:t>
      </w:r>
      <w:r w:rsidRPr="008516D1">
        <w:t>dispose</w:t>
      </w:r>
      <w:r>
        <w:t xml:space="preserve"> </w:t>
      </w:r>
      <w:r w:rsidRPr="008516D1">
        <w:t>en</w:t>
      </w:r>
      <w:r>
        <w:t xml:space="preserve"> </w:t>
      </w:r>
      <w:r w:rsidRPr="008516D1">
        <w:t>effet</w:t>
      </w:r>
      <w:r>
        <w:t xml:space="preserve"> </w:t>
      </w:r>
      <w:r w:rsidRPr="008516D1">
        <w:t>que</w:t>
      </w:r>
      <w:r>
        <w:t xml:space="preserve"> </w:t>
      </w:r>
      <w:r w:rsidRPr="008516D1">
        <w:t>la</w:t>
      </w:r>
      <w:r>
        <w:t xml:space="preserve"> </w:t>
      </w:r>
      <w:r w:rsidRPr="008516D1">
        <w:t>vie</w:t>
      </w:r>
      <w:r>
        <w:t xml:space="preserve"> </w:t>
      </w:r>
      <w:r w:rsidRPr="008516D1">
        <w:t>et</w:t>
      </w:r>
      <w:r>
        <w:t xml:space="preserve"> </w:t>
      </w:r>
      <w:r w:rsidRPr="008516D1">
        <w:t>la</w:t>
      </w:r>
      <w:r>
        <w:t xml:space="preserve"> </w:t>
      </w:r>
      <w:r w:rsidRPr="008516D1">
        <w:t>liberté</w:t>
      </w:r>
      <w:r>
        <w:t xml:space="preserve"> </w:t>
      </w:r>
      <w:r w:rsidRPr="008516D1">
        <w:t>personnelle</w:t>
      </w:r>
      <w:r>
        <w:t xml:space="preserve"> </w:t>
      </w:r>
      <w:r w:rsidRPr="008516D1">
        <w:t>sont</w:t>
      </w:r>
      <w:r>
        <w:t xml:space="preserve"> </w:t>
      </w:r>
      <w:r w:rsidRPr="008516D1">
        <w:t>des</w:t>
      </w:r>
      <w:r>
        <w:t xml:space="preserve"> </w:t>
      </w:r>
      <w:r w:rsidRPr="008516D1">
        <w:t>droits</w:t>
      </w:r>
      <w:r>
        <w:t xml:space="preserve"> </w:t>
      </w:r>
      <w:r w:rsidRPr="008516D1">
        <w:t>inviolables</w:t>
      </w:r>
      <w:r w:rsidRPr="008516D1">
        <w:rPr>
          <w:rStyle w:val="Appelnotedebasdep"/>
        </w:rPr>
        <w:footnoteReference w:id="38"/>
      </w:r>
      <w:r w:rsidRPr="008516D1">
        <w:t>.</w:t>
      </w:r>
      <w:r>
        <w:t xml:space="preserve"> </w:t>
      </w:r>
      <w:r w:rsidRPr="008516D1">
        <w:t>Le</w:t>
      </w:r>
      <w:r>
        <w:t xml:space="preserve"> </w:t>
      </w:r>
      <w:r w:rsidRPr="008516D1">
        <w:t>nouveau</w:t>
      </w:r>
      <w:r>
        <w:t xml:space="preserve"> </w:t>
      </w:r>
      <w:r w:rsidRPr="008516D1">
        <w:t>Code</w:t>
      </w:r>
      <w:r>
        <w:t xml:space="preserve"> </w:t>
      </w:r>
      <w:r w:rsidRPr="008516D1">
        <w:t>pénal,</w:t>
      </w:r>
      <w:r>
        <w:t xml:space="preserve"> </w:t>
      </w:r>
      <w:r w:rsidRPr="008516D1">
        <w:t>entré</w:t>
      </w:r>
      <w:r>
        <w:t xml:space="preserve"> </w:t>
      </w:r>
      <w:r w:rsidRPr="008516D1">
        <w:t>en</w:t>
      </w:r>
      <w:r>
        <w:t xml:space="preserve"> </w:t>
      </w:r>
      <w:r w:rsidRPr="008516D1">
        <w:t>vigueur</w:t>
      </w:r>
      <w:r>
        <w:t xml:space="preserve"> </w:t>
      </w:r>
      <w:r w:rsidRPr="008516D1">
        <w:t>en</w:t>
      </w:r>
      <w:r>
        <w:t xml:space="preserve"> </w:t>
      </w:r>
      <w:r w:rsidRPr="008516D1">
        <w:t>mai</w:t>
      </w:r>
      <w:r>
        <w:t xml:space="preserve"> </w:t>
      </w:r>
      <w:r w:rsidRPr="008516D1">
        <w:t>2020,</w:t>
      </w:r>
      <w:r>
        <w:t xml:space="preserve"> </w:t>
      </w:r>
      <w:r w:rsidRPr="008516D1">
        <w:t>interdit</w:t>
      </w:r>
      <w:r>
        <w:t xml:space="preserve"> </w:t>
      </w:r>
      <w:r w:rsidRPr="008516D1">
        <w:t>la</w:t>
      </w:r>
      <w:r>
        <w:t xml:space="preserve"> </w:t>
      </w:r>
      <w:r w:rsidRPr="008516D1">
        <w:t>disparition</w:t>
      </w:r>
      <w:r>
        <w:t xml:space="preserve"> </w:t>
      </w:r>
      <w:r w:rsidRPr="008516D1">
        <w:t>forcée</w:t>
      </w:r>
      <w:r>
        <w:t xml:space="preserve"> </w:t>
      </w:r>
      <w:r w:rsidRPr="008516D1">
        <w:t>et</w:t>
      </w:r>
      <w:r>
        <w:t xml:space="preserve"> </w:t>
      </w:r>
      <w:r w:rsidRPr="008516D1">
        <w:t>prévoit</w:t>
      </w:r>
      <w:r>
        <w:t xml:space="preserve"> </w:t>
      </w:r>
      <w:r w:rsidRPr="008516D1">
        <w:t>des</w:t>
      </w:r>
      <w:r>
        <w:t xml:space="preserve"> </w:t>
      </w:r>
      <w:r w:rsidRPr="008516D1">
        <w:t>peines</w:t>
      </w:r>
      <w:r>
        <w:t xml:space="preserve"> </w:t>
      </w:r>
      <w:r w:rsidRPr="008516D1">
        <w:t>d</w:t>
      </w:r>
      <w:r>
        <w:t>’</w:t>
      </w:r>
      <w:r w:rsidRPr="008516D1">
        <w:t>emprisonnement</w:t>
      </w:r>
      <w:r>
        <w:t xml:space="preserve"> </w:t>
      </w:r>
      <w:r w:rsidRPr="008516D1">
        <w:t>et</w:t>
      </w:r>
      <w:r>
        <w:t xml:space="preserve"> </w:t>
      </w:r>
      <w:r w:rsidRPr="008516D1">
        <w:t>l</w:t>
      </w:r>
      <w:r>
        <w:t>’</w:t>
      </w:r>
      <w:r w:rsidRPr="008516D1">
        <w:t>interdiction</w:t>
      </w:r>
      <w:r>
        <w:t xml:space="preserve"> </w:t>
      </w:r>
      <w:r w:rsidRPr="008516D1">
        <w:t>des</w:t>
      </w:r>
      <w:r>
        <w:t xml:space="preserve"> </w:t>
      </w:r>
      <w:r w:rsidRPr="008516D1">
        <w:t>droits</w:t>
      </w:r>
      <w:r>
        <w:t xml:space="preserve"> </w:t>
      </w:r>
      <w:r w:rsidRPr="008516D1">
        <w:t>civiques</w:t>
      </w:r>
      <w:r>
        <w:t xml:space="preserve"> </w:t>
      </w:r>
      <w:r w:rsidRPr="008516D1">
        <w:t>pour</w:t>
      </w:r>
      <w:r>
        <w:t xml:space="preserve"> </w:t>
      </w:r>
      <w:r w:rsidRPr="008516D1">
        <w:t>la</w:t>
      </w:r>
      <w:r>
        <w:t xml:space="preserve"> </w:t>
      </w:r>
      <w:r w:rsidRPr="008516D1">
        <w:t>commission</w:t>
      </w:r>
      <w:r>
        <w:t xml:space="preserve"> </w:t>
      </w:r>
      <w:r w:rsidRPr="008516D1">
        <w:t>de</w:t>
      </w:r>
      <w:r>
        <w:t xml:space="preserve"> </w:t>
      </w:r>
      <w:r w:rsidRPr="008516D1">
        <w:t>tels</w:t>
      </w:r>
      <w:r>
        <w:t xml:space="preserve"> </w:t>
      </w:r>
      <w:r w:rsidRPr="008516D1">
        <w:t>actes,</w:t>
      </w:r>
      <w:r>
        <w:t xml:space="preserve"> </w:t>
      </w:r>
      <w:r w:rsidRPr="008516D1">
        <w:t>ainsi</w:t>
      </w:r>
      <w:r>
        <w:t xml:space="preserve"> </w:t>
      </w:r>
      <w:r w:rsidRPr="008516D1">
        <w:t>que</w:t>
      </w:r>
      <w:r>
        <w:t xml:space="preserve"> </w:t>
      </w:r>
      <w:r w:rsidRPr="008516D1">
        <w:t>l</w:t>
      </w:r>
      <w:r>
        <w:t>’</w:t>
      </w:r>
      <w:r w:rsidRPr="008516D1">
        <w:t>interdiction</w:t>
      </w:r>
      <w:r>
        <w:t xml:space="preserve"> </w:t>
      </w:r>
      <w:r w:rsidRPr="008516D1">
        <w:t>absolue</w:t>
      </w:r>
      <w:r>
        <w:t xml:space="preserve"> </w:t>
      </w:r>
      <w:r w:rsidRPr="008516D1">
        <w:t>d</w:t>
      </w:r>
      <w:r>
        <w:t>’</w:t>
      </w:r>
      <w:r w:rsidRPr="008516D1">
        <w:t>exercer</w:t>
      </w:r>
      <w:r>
        <w:t xml:space="preserve"> </w:t>
      </w:r>
      <w:r w:rsidRPr="008516D1">
        <w:t>une</w:t>
      </w:r>
      <w:r>
        <w:t xml:space="preserve"> </w:t>
      </w:r>
      <w:r w:rsidRPr="008516D1">
        <w:t>fonction</w:t>
      </w:r>
      <w:r>
        <w:t xml:space="preserve"> </w:t>
      </w:r>
      <w:r w:rsidRPr="008516D1">
        <w:t>publique</w:t>
      </w:r>
      <w:r>
        <w:t xml:space="preserve"> </w:t>
      </w:r>
      <w:r w:rsidRPr="008516D1">
        <w:t>dans</w:t>
      </w:r>
      <w:r>
        <w:t xml:space="preserve"> </w:t>
      </w:r>
      <w:r w:rsidRPr="008516D1">
        <w:t>le</w:t>
      </w:r>
      <w:r>
        <w:t xml:space="preserve"> </w:t>
      </w:r>
      <w:r w:rsidRPr="008516D1">
        <w:t>cas</w:t>
      </w:r>
      <w:r>
        <w:t xml:space="preserve"> </w:t>
      </w:r>
      <w:r w:rsidRPr="008516D1">
        <w:t>où</w:t>
      </w:r>
      <w:r>
        <w:t xml:space="preserve"> </w:t>
      </w:r>
      <w:r w:rsidRPr="008516D1">
        <w:t>ces</w:t>
      </w:r>
      <w:r>
        <w:t xml:space="preserve"> </w:t>
      </w:r>
      <w:r w:rsidRPr="008516D1">
        <w:t>actes</w:t>
      </w:r>
      <w:r>
        <w:t xml:space="preserve"> </w:t>
      </w:r>
      <w:r w:rsidRPr="008516D1">
        <w:t>sont</w:t>
      </w:r>
      <w:r>
        <w:t xml:space="preserve"> </w:t>
      </w:r>
      <w:r w:rsidRPr="008516D1">
        <w:t>commis</w:t>
      </w:r>
      <w:r>
        <w:t xml:space="preserve"> </w:t>
      </w:r>
      <w:r w:rsidRPr="008516D1">
        <w:t>par</w:t>
      </w:r>
      <w:r>
        <w:t xml:space="preserve"> </w:t>
      </w:r>
      <w:r w:rsidRPr="008516D1">
        <w:t>un</w:t>
      </w:r>
      <w:r>
        <w:t xml:space="preserve"> </w:t>
      </w:r>
      <w:r w:rsidRPr="008516D1">
        <w:t>fonctionnaire</w:t>
      </w:r>
      <w:r>
        <w:t xml:space="preserve"> </w:t>
      </w:r>
      <w:r w:rsidRPr="008516D1">
        <w:t>ou</w:t>
      </w:r>
      <w:r>
        <w:t xml:space="preserve"> </w:t>
      </w:r>
      <w:r w:rsidRPr="008516D1">
        <w:t>un</w:t>
      </w:r>
      <w:r>
        <w:t xml:space="preserve"> </w:t>
      </w:r>
      <w:r w:rsidRPr="008516D1">
        <w:t>agent</w:t>
      </w:r>
      <w:r>
        <w:t xml:space="preserve"> </w:t>
      </w:r>
      <w:r w:rsidRPr="008516D1">
        <w:t>du</w:t>
      </w:r>
      <w:r>
        <w:t xml:space="preserve"> </w:t>
      </w:r>
      <w:r w:rsidRPr="008516D1">
        <w:t>service</w:t>
      </w:r>
      <w:r>
        <w:t xml:space="preserve"> </w:t>
      </w:r>
      <w:r w:rsidRPr="008516D1">
        <w:t>public</w:t>
      </w:r>
      <w:r>
        <w:t xml:space="preserve"> </w:t>
      </w:r>
      <w:r w:rsidRPr="008516D1">
        <w:t>dans</w:t>
      </w:r>
      <w:r>
        <w:t xml:space="preserve"> </w:t>
      </w:r>
      <w:r w:rsidRPr="008516D1">
        <w:t>l</w:t>
      </w:r>
      <w:r>
        <w:t>’</w:t>
      </w:r>
      <w:r w:rsidRPr="008516D1">
        <w:t>exercice</w:t>
      </w:r>
      <w:r>
        <w:t xml:space="preserve"> </w:t>
      </w:r>
      <w:r w:rsidRPr="008516D1">
        <w:t>de</w:t>
      </w:r>
      <w:r>
        <w:t xml:space="preserve"> </w:t>
      </w:r>
      <w:r w:rsidRPr="008516D1">
        <w:t>ses</w:t>
      </w:r>
      <w:r>
        <w:t xml:space="preserve"> </w:t>
      </w:r>
      <w:r w:rsidRPr="008516D1">
        <w:t>fonctions</w:t>
      </w:r>
      <w:r w:rsidRPr="008516D1">
        <w:rPr>
          <w:rStyle w:val="Appelnotedebasdep"/>
        </w:rPr>
        <w:footnoteReference w:id="39"/>
      </w:r>
      <w:r w:rsidRPr="008516D1">
        <w:t>.</w:t>
      </w:r>
    </w:p>
    <w:p w14:paraId="27FD2BC1" w14:textId="77777777" w:rsidR="00286956" w:rsidRPr="008516D1" w:rsidRDefault="00286956" w:rsidP="00BB4948">
      <w:pPr>
        <w:pStyle w:val="SingleTxtG"/>
        <w:keepLines/>
      </w:pPr>
      <w:r w:rsidRPr="008516D1">
        <w:lastRenderedPageBreak/>
        <w:t>9.</w:t>
      </w:r>
      <w:r w:rsidRPr="008516D1">
        <w:tab/>
        <w:t>De</w:t>
      </w:r>
      <w:r>
        <w:t xml:space="preserve"> </w:t>
      </w:r>
      <w:r w:rsidRPr="008516D1">
        <w:t>plus,</w:t>
      </w:r>
      <w:r>
        <w:t xml:space="preserve"> </w:t>
      </w:r>
      <w:r w:rsidRPr="008516D1">
        <w:t>la</w:t>
      </w:r>
      <w:r>
        <w:t xml:space="preserve"> </w:t>
      </w:r>
      <w:r w:rsidRPr="008516D1">
        <w:t>législation</w:t>
      </w:r>
      <w:r>
        <w:t xml:space="preserve"> </w:t>
      </w:r>
      <w:r w:rsidRPr="008516D1">
        <w:t>pénale</w:t>
      </w:r>
      <w:r>
        <w:t xml:space="preserve"> </w:t>
      </w:r>
      <w:r w:rsidRPr="008516D1">
        <w:t>en</w:t>
      </w:r>
      <w:r>
        <w:t xml:space="preserve"> </w:t>
      </w:r>
      <w:r w:rsidRPr="008516D1">
        <w:t>vigueur</w:t>
      </w:r>
      <w:r>
        <w:t xml:space="preserve"> </w:t>
      </w:r>
      <w:r w:rsidRPr="008516D1">
        <w:t>prévoit</w:t>
      </w:r>
      <w:r>
        <w:t xml:space="preserve"> </w:t>
      </w:r>
      <w:r w:rsidRPr="008516D1">
        <w:t>des</w:t>
      </w:r>
      <w:r>
        <w:t xml:space="preserve"> </w:t>
      </w:r>
      <w:r w:rsidRPr="008516D1">
        <w:t>peines</w:t>
      </w:r>
      <w:r>
        <w:t xml:space="preserve"> </w:t>
      </w:r>
      <w:r w:rsidRPr="008516D1">
        <w:t>de</w:t>
      </w:r>
      <w:r>
        <w:t xml:space="preserve"> </w:t>
      </w:r>
      <w:r w:rsidRPr="008516D1">
        <w:t>cinq</w:t>
      </w:r>
      <w:r>
        <w:t xml:space="preserve"> </w:t>
      </w:r>
      <w:r w:rsidRPr="008516D1">
        <w:t>à</w:t>
      </w:r>
      <w:r>
        <w:t xml:space="preserve"> </w:t>
      </w:r>
      <w:r w:rsidRPr="008516D1">
        <w:t>sept</w:t>
      </w:r>
      <w:r>
        <w:t xml:space="preserve"> </w:t>
      </w:r>
      <w:r w:rsidRPr="008516D1">
        <w:t>ans</w:t>
      </w:r>
      <w:r>
        <w:t xml:space="preserve"> </w:t>
      </w:r>
      <w:r w:rsidRPr="008516D1">
        <w:t>d</w:t>
      </w:r>
      <w:r>
        <w:t>’</w:t>
      </w:r>
      <w:r w:rsidRPr="008516D1">
        <w:t>emprisonnement</w:t>
      </w:r>
      <w:r>
        <w:t xml:space="preserve"> </w:t>
      </w:r>
      <w:r w:rsidRPr="008516D1">
        <w:t>pour</w:t>
      </w:r>
      <w:r>
        <w:t xml:space="preserve"> </w:t>
      </w:r>
      <w:r w:rsidRPr="008516D1">
        <w:t>les</w:t>
      </w:r>
      <w:r>
        <w:t xml:space="preserve"> </w:t>
      </w:r>
      <w:r w:rsidRPr="008516D1">
        <w:t>actes</w:t>
      </w:r>
      <w:r>
        <w:t xml:space="preserve"> </w:t>
      </w:r>
      <w:r w:rsidRPr="008516D1">
        <w:t>de</w:t>
      </w:r>
      <w:r>
        <w:t xml:space="preserve"> </w:t>
      </w:r>
      <w:r w:rsidRPr="008516D1">
        <w:t>privation</w:t>
      </w:r>
      <w:r>
        <w:t xml:space="preserve"> </w:t>
      </w:r>
      <w:r w:rsidRPr="008516D1">
        <w:t>illégale</w:t>
      </w:r>
      <w:r>
        <w:t xml:space="preserve"> </w:t>
      </w:r>
      <w:r w:rsidRPr="008516D1">
        <w:t>de</w:t>
      </w:r>
      <w:r>
        <w:t xml:space="preserve"> </w:t>
      </w:r>
      <w:r w:rsidRPr="008516D1">
        <w:t>liberté.</w:t>
      </w:r>
      <w:r>
        <w:t xml:space="preserve"> </w:t>
      </w:r>
      <w:r w:rsidRPr="008516D1">
        <w:t>Ces</w:t>
      </w:r>
      <w:r>
        <w:t xml:space="preserve"> </w:t>
      </w:r>
      <w:r w:rsidRPr="008516D1">
        <w:t>peines</w:t>
      </w:r>
      <w:r>
        <w:t xml:space="preserve"> </w:t>
      </w:r>
      <w:r w:rsidRPr="008516D1">
        <w:t>sont</w:t>
      </w:r>
      <w:r>
        <w:t xml:space="preserve"> </w:t>
      </w:r>
      <w:r w:rsidRPr="008516D1">
        <w:t>augmentées</w:t>
      </w:r>
      <w:r>
        <w:t xml:space="preserve"> </w:t>
      </w:r>
      <w:r w:rsidRPr="008516D1">
        <w:t>d</w:t>
      </w:r>
      <w:r>
        <w:t>’</w:t>
      </w:r>
      <w:r w:rsidRPr="008516D1">
        <w:t>un</w:t>
      </w:r>
      <w:r>
        <w:t xml:space="preserve"> </w:t>
      </w:r>
      <w:r w:rsidRPr="008516D1">
        <w:t>tiers</w:t>
      </w:r>
      <w:r>
        <w:t xml:space="preserve"> </w:t>
      </w:r>
      <w:r w:rsidRPr="008516D1">
        <w:t>et</w:t>
      </w:r>
      <w:r>
        <w:t xml:space="preserve"> </w:t>
      </w:r>
      <w:r w:rsidRPr="008516D1">
        <w:t>assorties</w:t>
      </w:r>
      <w:r>
        <w:t xml:space="preserve"> </w:t>
      </w:r>
      <w:r w:rsidRPr="008516D1">
        <w:t>de</w:t>
      </w:r>
      <w:r>
        <w:t xml:space="preserve"> </w:t>
      </w:r>
      <w:r w:rsidRPr="008516D1">
        <w:t>dix</w:t>
      </w:r>
      <w:r>
        <w:t xml:space="preserve"> </w:t>
      </w:r>
      <w:r w:rsidRPr="008516D1">
        <w:t>à</w:t>
      </w:r>
      <w:r>
        <w:t xml:space="preserve"> </w:t>
      </w:r>
      <w:r w:rsidRPr="008516D1">
        <w:t>quinze</w:t>
      </w:r>
      <w:r>
        <w:t xml:space="preserve"> </w:t>
      </w:r>
      <w:r w:rsidRPr="008516D1">
        <w:t>ans</w:t>
      </w:r>
      <w:r>
        <w:t xml:space="preserve"> </w:t>
      </w:r>
      <w:r w:rsidRPr="008516D1">
        <w:t>d</w:t>
      </w:r>
      <w:r>
        <w:t>’</w:t>
      </w:r>
      <w:r w:rsidRPr="008516D1">
        <w:t>interdiction</w:t>
      </w:r>
      <w:r>
        <w:t xml:space="preserve"> </w:t>
      </w:r>
      <w:r w:rsidRPr="008516D1">
        <w:t>absolue</w:t>
      </w:r>
      <w:r>
        <w:t xml:space="preserve"> </w:t>
      </w:r>
      <w:r w:rsidRPr="008516D1">
        <w:t>d</w:t>
      </w:r>
      <w:r>
        <w:t>’</w:t>
      </w:r>
      <w:r w:rsidRPr="008516D1">
        <w:t>exercer</w:t>
      </w:r>
      <w:r>
        <w:t xml:space="preserve"> </w:t>
      </w:r>
      <w:r w:rsidRPr="008516D1">
        <w:t>une</w:t>
      </w:r>
      <w:r>
        <w:t xml:space="preserve"> </w:t>
      </w:r>
      <w:r w:rsidRPr="008516D1">
        <w:t>fonction</w:t>
      </w:r>
      <w:r>
        <w:t xml:space="preserve"> </w:t>
      </w:r>
      <w:r w:rsidRPr="008516D1">
        <w:t>publique</w:t>
      </w:r>
      <w:r>
        <w:t xml:space="preserve"> </w:t>
      </w:r>
      <w:r w:rsidRPr="008516D1">
        <w:t>lorsque</w:t>
      </w:r>
      <w:r>
        <w:t xml:space="preserve"> </w:t>
      </w:r>
      <w:r w:rsidRPr="008516D1">
        <w:t>les</w:t>
      </w:r>
      <w:r>
        <w:t xml:space="preserve"> </w:t>
      </w:r>
      <w:r w:rsidRPr="008516D1">
        <w:t>actes</w:t>
      </w:r>
      <w:r>
        <w:t xml:space="preserve"> </w:t>
      </w:r>
      <w:r w:rsidRPr="008516D1">
        <w:t>sont</w:t>
      </w:r>
      <w:r>
        <w:t xml:space="preserve"> </w:t>
      </w:r>
      <w:r w:rsidRPr="008516D1">
        <w:t>commis</w:t>
      </w:r>
      <w:r>
        <w:t xml:space="preserve"> </w:t>
      </w:r>
      <w:r w:rsidRPr="008516D1">
        <w:t>de</w:t>
      </w:r>
      <w:r>
        <w:t xml:space="preserve"> </w:t>
      </w:r>
      <w:r w:rsidRPr="008516D1">
        <w:t>façon</w:t>
      </w:r>
      <w:r>
        <w:t xml:space="preserve"> </w:t>
      </w:r>
      <w:r w:rsidRPr="008516D1">
        <w:t>arbitraire</w:t>
      </w:r>
      <w:r>
        <w:t xml:space="preserve"> </w:t>
      </w:r>
      <w:r w:rsidRPr="008516D1">
        <w:t>par</w:t>
      </w:r>
      <w:r>
        <w:t xml:space="preserve"> </w:t>
      </w:r>
      <w:r w:rsidRPr="008516D1">
        <w:t>un</w:t>
      </w:r>
      <w:r>
        <w:t xml:space="preserve"> </w:t>
      </w:r>
      <w:r w:rsidRPr="008516D1">
        <w:t>fonctionnaire</w:t>
      </w:r>
      <w:r>
        <w:t xml:space="preserve"> </w:t>
      </w:r>
      <w:r w:rsidRPr="008516D1">
        <w:t>ou</w:t>
      </w:r>
      <w:r>
        <w:t xml:space="preserve"> </w:t>
      </w:r>
      <w:r w:rsidRPr="008516D1">
        <w:t>un</w:t>
      </w:r>
      <w:r>
        <w:t xml:space="preserve"> </w:t>
      </w:r>
      <w:r w:rsidRPr="008516D1">
        <w:t>agent</w:t>
      </w:r>
      <w:r>
        <w:t xml:space="preserve"> </w:t>
      </w:r>
      <w:r w:rsidRPr="008516D1">
        <w:t>du</w:t>
      </w:r>
      <w:r>
        <w:t xml:space="preserve"> </w:t>
      </w:r>
      <w:r w:rsidRPr="008516D1">
        <w:t>service</w:t>
      </w:r>
      <w:r>
        <w:t xml:space="preserve"> </w:t>
      </w:r>
      <w:r w:rsidRPr="008516D1">
        <w:t>public</w:t>
      </w:r>
      <w:r>
        <w:t xml:space="preserve"> </w:t>
      </w:r>
      <w:r w:rsidRPr="008516D1">
        <w:t>dans</w:t>
      </w:r>
      <w:r>
        <w:t xml:space="preserve"> </w:t>
      </w:r>
      <w:r w:rsidRPr="008516D1">
        <w:t>l</w:t>
      </w:r>
      <w:r>
        <w:t>’</w:t>
      </w:r>
      <w:r w:rsidRPr="008516D1">
        <w:t>exercice</w:t>
      </w:r>
      <w:r>
        <w:t xml:space="preserve"> </w:t>
      </w:r>
      <w:r w:rsidRPr="008516D1">
        <w:t>de</w:t>
      </w:r>
      <w:r>
        <w:t xml:space="preserve"> </w:t>
      </w:r>
      <w:r w:rsidRPr="008516D1">
        <w:t>ses</w:t>
      </w:r>
      <w:r>
        <w:t xml:space="preserve"> </w:t>
      </w:r>
      <w:r w:rsidRPr="008516D1">
        <w:t>fonctions.</w:t>
      </w:r>
      <w:r>
        <w:t xml:space="preserve"> </w:t>
      </w:r>
      <w:r w:rsidRPr="008516D1">
        <w:t>Elles</w:t>
      </w:r>
      <w:r>
        <w:t xml:space="preserve"> </w:t>
      </w:r>
      <w:r w:rsidRPr="008516D1">
        <w:t>peuvent</w:t>
      </w:r>
      <w:r>
        <w:t xml:space="preserve"> </w:t>
      </w:r>
      <w:r w:rsidRPr="008516D1">
        <w:t>également</w:t>
      </w:r>
      <w:r>
        <w:t xml:space="preserve"> </w:t>
      </w:r>
      <w:r w:rsidRPr="008516D1">
        <w:t>s</w:t>
      </w:r>
      <w:r>
        <w:t>’</w:t>
      </w:r>
      <w:r w:rsidRPr="008516D1">
        <w:t>appliquer</w:t>
      </w:r>
      <w:r>
        <w:t xml:space="preserve"> </w:t>
      </w:r>
      <w:r w:rsidRPr="008516D1">
        <w:t>à</w:t>
      </w:r>
      <w:r>
        <w:t xml:space="preserve"> </w:t>
      </w:r>
      <w:r w:rsidRPr="008516D1">
        <w:t>tout</w:t>
      </w:r>
      <w:r>
        <w:t xml:space="preserve"> </w:t>
      </w:r>
      <w:r w:rsidRPr="008516D1">
        <w:t>responsable</w:t>
      </w:r>
      <w:r>
        <w:t xml:space="preserve"> </w:t>
      </w:r>
      <w:r w:rsidRPr="008516D1">
        <w:t>d</w:t>
      </w:r>
      <w:r>
        <w:t>’</w:t>
      </w:r>
      <w:r w:rsidRPr="008516D1">
        <w:t>un</w:t>
      </w:r>
      <w:r>
        <w:t xml:space="preserve"> </w:t>
      </w:r>
      <w:r w:rsidRPr="008516D1">
        <w:t>établissement</w:t>
      </w:r>
      <w:r>
        <w:t xml:space="preserve"> </w:t>
      </w:r>
      <w:r w:rsidRPr="008516D1">
        <w:t>pénitentiaire,</w:t>
      </w:r>
      <w:r>
        <w:t xml:space="preserve"> </w:t>
      </w:r>
      <w:r w:rsidRPr="008516D1">
        <w:t>de</w:t>
      </w:r>
      <w:r>
        <w:t xml:space="preserve"> </w:t>
      </w:r>
      <w:r w:rsidRPr="008516D1">
        <w:t>détention</w:t>
      </w:r>
      <w:r>
        <w:t xml:space="preserve"> </w:t>
      </w:r>
      <w:r w:rsidRPr="008516D1">
        <w:t>ou</w:t>
      </w:r>
      <w:r>
        <w:t xml:space="preserve"> </w:t>
      </w:r>
      <w:r w:rsidRPr="008516D1">
        <w:t>d</w:t>
      </w:r>
      <w:r>
        <w:t>’</w:t>
      </w:r>
      <w:r w:rsidRPr="008516D1">
        <w:t>internement,</w:t>
      </w:r>
      <w:r>
        <w:t xml:space="preserve"> </w:t>
      </w:r>
      <w:r w:rsidRPr="008516D1">
        <w:t>d</w:t>
      </w:r>
      <w:r>
        <w:t>’</w:t>
      </w:r>
      <w:r w:rsidRPr="008516D1">
        <w:t>un</w:t>
      </w:r>
      <w:r>
        <w:t xml:space="preserve"> </w:t>
      </w:r>
      <w:r w:rsidRPr="008516D1">
        <w:t>établissement</w:t>
      </w:r>
      <w:r>
        <w:t xml:space="preserve"> </w:t>
      </w:r>
      <w:r w:rsidRPr="008516D1">
        <w:t>de</w:t>
      </w:r>
      <w:r>
        <w:t xml:space="preserve"> </w:t>
      </w:r>
      <w:r w:rsidRPr="008516D1">
        <w:t>santé</w:t>
      </w:r>
      <w:r>
        <w:t xml:space="preserve"> </w:t>
      </w:r>
      <w:r w:rsidRPr="008516D1">
        <w:t>mentale,</w:t>
      </w:r>
      <w:r>
        <w:t xml:space="preserve"> </w:t>
      </w:r>
      <w:r w:rsidRPr="008516D1">
        <w:t>d</w:t>
      </w:r>
      <w:r>
        <w:t>’</w:t>
      </w:r>
      <w:r w:rsidRPr="008516D1">
        <w:t>un</w:t>
      </w:r>
      <w:r>
        <w:t xml:space="preserve"> </w:t>
      </w:r>
      <w:r w:rsidRPr="008516D1">
        <w:t>établissement</w:t>
      </w:r>
      <w:r>
        <w:t xml:space="preserve"> </w:t>
      </w:r>
      <w:r w:rsidRPr="008516D1">
        <w:t>pour</w:t>
      </w:r>
      <w:r>
        <w:t xml:space="preserve"> </w:t>
      </w:r>
      <w:r w:rsidRPr="008516D1">
        <w:t>migrants</w:t>
      </w:r>
      <w:r>
        <w:t xml:space="preserve"> </w:t>
      </w:r>
      <w:r w:rsidRPr="008516D1">
        <w:t>ou</w:t>
      </w:r>
      <w:r>
        <w:t xml:space="preserve"> </w:t>
      </w:r>
      <w:r w:rsidRPr="008516D1">
        <w:t>d</w:t>
      </w:r>
      <w:r>
        <w:t>’</w:t>
      </w:r>
      <w:r w:rsidRPr="008516D1">
        <w:t>un</w:t>
      </w:r>
      <w:r>
        <w:t xml:space="preserve"> </w:t>
      </w:r>
      <w:r w:rsidRPr="008516D1">
        <w:t>établissement</w:t>
      </w:r>
      <w:r>
        <w:t xml:space="preserve"> </w:t>
      </w:r>
      <w:r w:rsidRPr="008516D1">
        <w:t>pour</w:t>
      </w:r>
      <w:r>
        <w:t xml:space="preserve"> </w:t>
      </w:r>
      <w:r w:rsidRPr="008516D1">
        <w:t>mineurs</w:t>
      </w:r>
      <w:r>
        <w:t xml:space="preserve"> </w:t>
      </w:r>
      <w:r w:rsidRPr="008516D1">
        <w:t>délinquants,</w:t>
      </w:r>
      <w:r>
        <w:t xml:space="preserve"> </w:t>
      </w:r>
      <w:r w:rsidRPr="008516D1">
        <w:t>qui</w:t>
      </w:r>
      <w:r>
        <w:t xml:space="preserve"> </w:t>
      </w:r>
      <w:r w:rsidRPr="008516D1">
        <w:t>prive</w:t>
      </w:r>
      <w:r>
        <w:t xml:space="preserve"> </w:t>
      </w:r>
      <w:r w:rsidRPr="008516D1">
        <w:t>de</w:t>
      </w:r>
      <w:r>
        <w:t xml:space="preserve"> </w:t>
      </w:r>
      <w:r w:rsidRPr="008516D1">
        <w:t>liberté</w:t>
      </w:r>
      <w:r>
        <w:t xml:space="preserve"> </w:t>
      </w:r>
      <w:r w:rsidRPr="008516D1">
        <w:t>une</w:t>
      </w:r>
      <w:r>
        <w:t xml:space="preserve"> </w:t>
      </w:r>
      <w:r w:rsidRPr="008516D1">
        <w:t>ou</w:t>
      </w:r>
      <w:r>
        <w:t xml:space="preserve"> </w:t>
      </w:r>
      <w:r w:rsidRPr="008516D1">
        <w:t>plusieurs</w:t>
      </w:r>
      <w:r>
        <w:t xml:space="preserve"> </w:t>
      </w:r>
      <w:r w:rsidRPr="008516D1">
        <w:t>personnes,</w:t>
      </w:r>
      <w:r>
        <w:t xml:space="preserve"> </w:t>
      </w:r>
      <w:r w:rsidRPr="008516D1">
        <w:t>sans</w:t>
      </w:r>
      <w:r>
        <w:t xml:space="preserve"> </w:t>
      </w:r>
      <w:r w:rsidRPr="008516D1">
        <w:t>ordre</w:t>
      </w:r>
      <w:r>
        <w:t xml:space="preserve"> </w:t>
      </w:r>
      <w:r w:rsidRPr="008516D1">
        <w:t>d</w:t>
      </w:r>
      <w:r>
        <w:t>’</w:t>
      </w:r>
      <w:r w:rsidRPr="008516D1">
        <w:t>une</w:t>
      </w:r>
      <w:r>
        <w:t xml:space="preserve"> </w:t>
      </w:r>
      <w:r w:rsidRPr="008516D1">
        <w:t>autorité</w:t>
      </w:r>
      <w:r>
        <w:t xml:space="preserve"> </w:t>
      </w:r>
      <w:r w:rsidRPr="008516D1">
        <w:t>compétente</w:t>
      </w:r>
      <w:r>
        <w:t xml:space="preserve"> </w:t>
      </w:r>
      <w:r w:rsidRPr="008516D1">
        <w:t>ou</w:t>
      </w:r>
      <w:r>
        <w:t xml:space="preserve"> </w:t>
      </w:r>
      <w:r w:rsidRPr="008516D1">
        <w:t>sans</w:t>
      </w:r>
      <w:r>
        <w:t xml:space="preserve"> </w:t>
      </w:r>
      <w:r w:rsidRPr="008516D1">
        <w:t>respecter</w:t>
      </w:r>
      <w:r>
        <w:t xml:space="preserve"> </w:t>
      </w:r>
      <w:r w:rsidRPr="008516D1">
        <w:t>les</w:t>
      </w:r>
      <w:r>
        <w:t xml:space="preserve"> </w:t>
      </w:r>
      <w:r w:rsidRPr="008516D1">
        <w:t>prescriptions</w:t>
      </w:r>
      <w:r>
        <w:t xml:space="preserve"> </w:t>
      </w:r>
      <w:r w:rsidRPr="008516D1">
        <w:t>légales</w:t>
      </w:r>
      <w:r w:rsidRPr="008516D1">
        <w:rPr>
          <w:rStyle w:val="Appelnotedebasdep"/>
        </w:rPr>
        <w:footnoteReference w:id="40"/>
      </w:r>
      <w:r w:rsidRPr="008516D1">
        <w:t>.</w:t>
      </w:r>
    </w:p>
    <w:p w14:paraId="36845EE2" w14:textId="53DF9C17" w:rsidR="00286956" w:rsidRPr="008516D1" w:rsidRDefault="00286956" w:rsidP="0013732F">
      <w:pPr>
        <w:pStyle w:val="H1G"/>
      </w:pPr>
      <w:bookmarkStart w:id="9" w:name="_Toc76740422"/>
      <w:r w:rsidRPr="008516D1">
        <w:tab/>
        <w:t>B.</w:t>
      </w:r>
      <w:r w:rsidRPr="008516D1">
        <w:tab/>
        <w:t>Définition</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w:t>
      </w:r>
      <w:r w:rsidR="003A61DD">
        <w:t>art. </w:t>
      </w:r>
      <w:r w:rsidRPr="008516D1">
        <w:t>2,</w:t>
      </w:r>
      <w:r>
        <w:t xml:space="preserve"> </w:t>
      </w:r>
      <w:r w:rsidRPr="008516D1">
        <w:t>4,</w:t>
      </w:r>
      <w:r>
        <w:t xml:space="preserve"> </w:t>
      </w:r>
      <w:r w:rsidRPr="008516D1">
        <w:t>5</w:t>
      </w:r>
      <w:r>
        <w:t xml:space="preserve"> </w:t>
      </w:r>
      <w:r w:rsidRPr="008516D1">
        <w:t>et</w:t>
      </w:r>
      <w:r>
        <w:t xml:space="preserve"> </w:t>
      </w:r>
      <w:r w:rsidRPr="008516D1">
        <w:t>7)</w:t>
      </w:r>
      <w:bookmarkEnd w:id="9"/>
    </w:p>
    <w:p w14:paraId="0F38E0CB" w14:textId="688C93D3" w:rsidR="00286956" w:rsidRPr="008516D1" w:rsidRDefault="00286956" w:rsidP="0013732F">
      <w:pPr>
        <w:pStyle w:val="SingleTxtG"/>
      </w:pPr>
      <w:r w:rsidRPr="008516D1">
        <w:t>10.</w:t>
      </w:r>
      <w:r w:rsidRPr="008516D1">
        <w:tab/>
        <w:t>Concernant</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15</w:t>
      </w:r>
      <w:r w:rsidR="00A74554">
        <w:t> a)</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la</w:t>
      </w:r>
      <w:r>
        <w:t xml:space="preserve"> </w:t>
      </w:r>
      <w:r w:rsidRPr="008516D1">
        <w:t>définition</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le</w:t>
      </w:r>
      <w:r>
        <w:t xml:space="preserve"> </w:t>
      </w:r>
      <w:r w:rsidRPr="008516D1">
        <w:t>nouveau</w:t>
      </w:r>
      <w:r>
        <w:t xml:space="preserve"> </w:t>
      </w:r>
      <w:r w:rsidRPr="008516D1">
        <w:t>Code</w:t>
      </w:r>
      <w:r>
        <w:t xml:space="preserve"> </w:t>
      </w:r>
      <w:r w:rsidRPr="008516D1">
        <w:t>pénal</w:t>
      </w:r>
      <w:r>
        <w:t xml:space="preserve"> </w:t>
      </w:r>
      <w:r w:rsidRPr="008516D1">
        <w:t>définit</w:t>
      </w:r>
      <w:r>
        <w:t xml:space="preserve"> </w:t>
      </w:r>
      <w:r w:rsidRPr="008516D1">
        <w:t>cette</w:t>
      </w:r>
      <w:r>
        <w:t xml:space="preserve"> </w:t>
      </w:r>
      <w:r w:rsidRPr="008516D1">
        <w:t>infraction</w:t>
      </w:r>
      <w:r>
        <w:t xml:space="preserve"> </w:t>
      </w:r>
      <w:r w:rsidRPr="008516D1">
        <w:t>de</w:t>
      </w:r>
      <w:r>
        <w:t xml:space="preserve"> </w:t>
      </w:r>
      <w:r w:rsidRPr="008516D1">
        <w:t>manière</w:t>
      </w:r>
      <w:r>
        <w:t xml:space="preserve"> </w:t>
      </w:r>
      <w:r w:rsidRPr="008516D1">
        <w:t>pleinement</w:t>
      </w:r>
      <w:r>
        <w:t xml:space="preserve"> </w:t>
      </w:r>
      <w:r w:rsidRPr="008516D1">
        <w:t>conforme</w:t>
      </w:r>
      <w:r>
        <w:t xml:space="preserve"> </w:t>
      </w:r>
      <w:r w:rsidRPr="008516D1">
        <w:t>à</w:t>
      </w:r>
      <w:r>
        <w:t xml:space="preserve"> </w:t>
      </w:r>
      <w:r w:rsidRPr="008516D1">
        <w:t>l</w:t>
      </w:r>
      <w:r>
        <w:t>’</w:t>
      </w:r>
      <w:r w:rsidRPr="008516D1">
        <w:t>article</w:t>
      </w:r>
      <w:r>
        <w:t xml:space="preserve"> </w:t>
      </w:r>
      <w:r w:rsidRPr="008516D1">
        <w:t>2</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à</w:t>
      </w:r>
      <w:r>
        <w:t xml:space="preserve"> </w:t>
      </w:r>
      <w:r w:rsidRPr="008516D1">
        <w:t>la</w:t>
      </w:r>
      <w:r>
        <w:t xml:space="preserve"> </w:t>
      </w:r>
      <w:r w:rsidRPr="008516D1">
        <w:t>Convention</w:t>
      </w:r>
      <w:r>
        <w:t xml:space="preserve"> </w:t>
      </w:r>
      <w:r w:rsidRPr="008516D1">
        <w:t>interaméricaine</w:t>
      </w:r>
      <w:r>
        <w:t xml:space="preserve"> </w:t>
      </w:r>
      <w:r w:rsidRPr="008516D1">
        <w:t>sur</w:t>
      </w:r>
      <w:r>
        <w:t xml:space="preserve"> </w:t>
      </w:r>
      <w:r w:rsidRPr="008516D1">
        <w:t>la</w:t>
      </w:r>
      <w:r>
        <w:t xml:space="preserve"> </w:t>
      </w:r>
      <w:r w:rsidRPr="008516D1">
        <w:t>disparition</w:t>
      </w:r>
      <w:r>
        <w:t xml:space="preserve"> </w:t>
      </w:r>
      <w:r w:rsidRPr="008516D1">
        <w:t>forcée</w:t>
      </w:r>
      <w:r>
        <w:t xml:space="preserve"> </w:t>
      </w:r>
      <w:r w:rsidRPr="008516D1">
        <w:t>des</w:t>
      </w:r>
      <w:r>
        <w:t xml:space="preserve"> </w:t>
      </w:r>
      <w:r w:rsidRPr="008516D1">
        <w:t>personnes.</w:t>
      </w:r>
      <w:r>
        <w:t xml:space="preserve"> </w:t>
      </w:r>
      <w:r w:rsidRPr="008516D1">
        <w:t>Son</w:t>
      </w:r>
      <w:r>
        <w:t xml:space="preserve"> </w:t>
      </w:r>
      <w:r w:rsidRPr="008516D1">
        <w:t>article</w:t>
      </w:r>
      <w:r>
        <w:t xml:space="preserve"> </w:t>
      </w:r>
      <w:r w:rsidRPr="008516D1">
        <w:t>140</w:t>
      </w:r>
      <w:r>
        <w:t xml:space="preserve"> </w:t>
      </w:r>
      <w:r w:rsidRPr="008516D1">
        <w:t>(Disparition</w:t>
      </w:r>
      <w:r>
        <w:t xml:space="preserve"> </w:t>
      </w:r>
      <w:r w:rsidRPr="008516D1">
        <w:t>forcée)</w:t>
      </w:r>
      <w:r>
        <w:t xml:space="preserve"> </w:t>
      </w:r>
      <w:r w:rsidRPr="008516D1">
        <w:t>dispose</w:t>
      </w:r>
      <w:r>
        <w:t xml:space="preserve"> </w:t>
      </w:r>
      <w:r w:rsidRPr="008516D1">
        <w:t>que</w:t>
      </w:r>
      <w:r>
        <w:t xml:space="preserve"> </w:t>
      </w:r>
      <w:r w:rsidRPr="008516D1">
        <w:t>tout</w:t>
      </w:r>
      <w:r>
        <w:t xml:space="preserve"> </w:t>
      </w:r>
      <w:r w:rsidRPr="008516D1">
        <w:t>acte</w:t>
      </w:r>
      <w:r>
        <w:t xml:space="preserve"> </w:t>
      </w:r>
      <w:r w:rsidRPr="008516D1">
        <w:t>de</w:t>
      </w:r>
      <w:r>
        <w:t xml:space="preserve"> </w:t>
      </w:r>
      <w:r w:rsidRPr="008516D1">
        <w:t>privation</w:t>
      </w:r>
      <w:r>
        <w:t xml:space="preserve"> </w:t>
      </w:r>
      <w:r w:rsidRPr="008516D1">
        <w:t>de</w:t>
      </w:r>
      <w:r>
        <w:t xml:space="preserve"> </w:t>
      </w:r>
      <w:r w:rsidRPr="008516D1">
        <w:t>liberté</w:t>
      </w:r>
      <w:r>
        <w:t xml:space="preserve"> </w:t>
      </w:r>
      <w:r w:rsidRPr="008516D1">
        <w:t>d</w:t>
      </w:r>
      <w:r>
        <w:t>’</w:t>
      </w:r>
      <w:r w:rsidRPr="008516D1">
        <w:t>une</w:t>
      </w:r>
      <w:r>
        <w:t xml:space="preserve"> </w:t>
      </w:r>
      <w:r w:rsidRPr="008516D1">
        <w:t>ou</w:t>
      </w:r>
      <w:r>
        <w:t xml:space="preserve"> </w:t>
      </w:r>
      <w:r w:rsidRPr="008516D1">
        <w:t>plusieurs</w:t>
      </w:r>
      <w:r>
        <w:t xml:space="preserve"> </w:t>
      </w:r>
      <w:r w:rsidRPr="008516D1">
        <w:t>personnes,</w:t>
      </w:r>
      <w:r>
        <w:t xml:space="preserve"> </w:t>
      </w:r>
      <w:r w:rsidRPr="008516D1">
        <w:t>sous</w:t>
      </w:r>
      <w:r>
        <w:t xml:space="preserve"> </w:t>
      </w:r>
      <w:r w:rsidRPr="008516D1">
        <w:t>quelque</w:t>
      </w:r>
      <w:r>
        <w:t xml:space="preserve"> </w:t>
      </w:r>
      <w:r w:rsidRPr="008516D1">
        <w:t>forme</w:t>
      </w:r>
      <w:r>
        <w:t xml:space="preserve"> </w:t>
      </w:r>
      <w:r w:rsidRPr="008516D1">
        <w:t>que</w:t>
      </w:r>
      <w:r>
        <w:t xml:space="preserve"> </w:t>
      </w:r>
      <w:r w:rsidRPr="008516D1">
        <w:t>ce</w:t>
      </w:r>
      <w:r>
        <w:t xml:space="preserve"> </w:t>
      </w:r>
      <w:r w:rsidRPr="008516D1">
        <w:t>soit,</w:t>
      </w:r>
      <w:r>
        <w:t xml:space="preserve"> </w:t>
      </w:r>
      <w:r w:rsidRPr="008516D1">
        <w:t>commis</w:t>
      </w:r>
      <w:r>
        <w:t xml:space="preserve"> </w:t>
      </w:r>
      <w:r w:rsidRPr="008516D1">
        <w:t>par</w:t>
      </w:r>
      <w:r>
        <w:t xml:space="preserve"> </w:t>
      </w:r>
      <w:r w:rsidRPr="008516D1">
        <w:t>des</w:t>
      </w:r>
      <w:r>
        <w:t xml:space="preserve"> </w:t>
      </w:r>
      <w:r w:rsidRPr="008516D1">
        <w:t>fonctionnaires,</w:t>
      </w:r>
      <w:r>
        <w:t xml:space="preserve"> </w:t>
      </w:r>
      <w:r w:rsidRPr="008516D1">
        <w:t>par</w:t>
      </w:r>
      <w:r>
        <w:t xml:space="preserve"> </w:t>
      </w:r>
      <w:r w:rsidRPr="008516D1">
        <w:t>des</w:t>
      </w:r>
      <w:r>
        <w:t xml:space="preserve"> </w:t>
      </w:r>
      <w:r w:rsidRPr="008516D1">
        <w:t>agents</w:t>
      </w:r>
      <w:r>
        <w:t xml:space="preserve"> </w:t>
      </w:r>
      <w:r w:rsidRPr="008516D1">
        <w:t>de</w:t>
      </w:r>
      <w:r>
        <w:t xml:space="preserve"> </w:t>
      </w:r>
      <w:r w:rsidRPr="008516D1">
        <w:t>l</w:t>
      </w:r>
      <w:r>
        <w:t>’</w:t>
      </w:r>
      <w:r w:rsidRPr="008516D1">
        <w:t>État</w:t>
      </w:r>
      <w:r>
        <w:t xml:space="preserve"> </w:t>
      </w:r>
      <w:r w:rsidRPr="008516D1">
        <w:t>ou</w:t>
      </w:r>
      <w:r>
        <w:t xml:space="preserve"> </w:t>
      </w:r>
      <w:r w:rsidRPr="008516D1">
        <w:t>par</w:t>
      </w:r>
      <w:r>
        <w:t xml:space="preserve"> </w:t>
      </w:r>
      <w:r w:rsidRPr="008516D1">
        <w:t>des</w:t>
      </w:r>
      <w:r>
        <w:t xml:space="preserve"> </w:t>
      </w:r>
      <w:r w:rsidRPr="008516D1">
        <w:t>personnes</w:t>
      </w:r>
      <w:r>
        <w:t xml:space="preserve"> </w:t>
      </w:r>
      <w:r w:rsidRPr="008516D1">
        <w:t>ou</w:t>
      </w:r>
      <w:r>
        <w:t xml:space="preserve"> </w:t>
      </w:r>
      <w:r w:rsidRPr="008516D1">
        <w:t>groupes</w:t>
      </w:r>
      <w:r>
        <w:t xml:space="preserve"> </w:t>
      </w:r>
      <w:r w:rsidRPr="008516D1">
        <w:t>de</w:t>
      </w:r>
      <w:r>
        <w:t xml:space="preserve"> </w:t>
      </w:r>
      <w:r w:rsidRPr="008516D1">
        <w:t>personnes</w:t>
      </w:r>
      <w:r>
        <w:t xml:space="preserve"> </w:t>
      </w:r>
      <w:r w:rsidRPr="008516D1">
        <w:t>agissant</w:t>
      </w:r>
      <w:r>
        <w:t xml:space="preserve"> </w:t>
      </w:r>
      <w:r w:rsidRPr="008516D1">
        <w:t>avec</w:t>
      </w:r>
      <w:r>
        <w:t xml:space="preserve"> </w:t>
      </w:r>
      <w:r w:rsidRPr="008516D1">
        <w:t>l</w:t>
      </w:r>
      <w:r>
        <w:t>’</w:t>
      </w:r>
      <w:r w:rsidRPr="008516D1">
        <w:t>autorisation,</w:t>
      </w:r>
      <w:r>
        <w:t xml:space="preserve"> </w:t>
      </w:r>
      <w:r w:rsidRPr="008516D1">
        <w:t>l</w:t>
      </w:r>
      <w:r>
        <w:t>’</w:t>
      </w:r>
      <w:r w:rsidRPr="008516D1">
        <w:t>appui</w:t>
      </w:r>
      <w:r>
        <w:t xml:space="preserve"> </w:t>
      </w:r>
      <w:r w:rsidRPr="008516D1">
        <w:t>ou</w:t>
      </w:r>
      <w:r>
        <w:t xml:space="preserve"> </w:t>
      </w:r>
      <w:r w:rsidRPr="008516D1">
        <w:t>l</w:t>
      </w:r>
      <w:r>
        <w:t>’</w:t>
      </w:r>
      <w:r w:rsidRPr="008516D1">
        <w:t>acquiescement</w:t>
      </w:r>
      <w:r>
        <w:t xml:space="preserve"> </w:t>
      </w:r>
      <w:r w:rsidRPr="008516D1">
        <w:t>de</w:t>
      </w:r>
      <w:r>
        <w:t xml:space="preserve"> </w:t>
      </w:r>
      <w:r w:rsidRPr="008516D1">
        <w:t>l</w:t>
      </w:r>
      <w:r>
        <w:t>’</w:t>
      </w:r>
      <w:r w:rsidRPr="008516D1">
        <w:t>État,</w:t>
      </w:r>
      <w:r>
        <w:t xml:space="preserve"> </w:t>
      </w:r>
      <w:r w:rsidRPr="008516D1">
        <w:t>suivi</w:t>
      </w:r>
      <w:r>
        <w:t xml:space="preserve"> </w:t>
      </w:r>
      <w:r w:rsidRPr="008516D1">
        <w:t>d</w:t>
      </w:r>
      <w:r>
        <w:t>’</w:t>
      </w:r>
      <w:r w:rsidRPr="008516D1">
        <w:t>un</w:t>
      </w:r>
      <w:r>
        <w:t xml:space="preserve"> </w:t>
      </w:r>
      <w:r w:rsidRPr="008516D1">
        <w:t>défaut</w:t>
      </w:r>
      <w:r>
        <w:t xml:space="preserve"> </w:t>
      </w:r>
      <w:r w:rsidRPr="008516D1">
        <w:t>d</w:t>
      </w:r>
      <w:r>
        <w:t>’</w:t>
      </w:r>
      <w:r w:rsidRPr="008516D1">
        <w:t>information</w:t>
      </w:r>
      <w:r>
        <w:t xml:space="preserve"> </w:t>
      </w:r>
      <w:r w:rsidRPr="008516D1">
        <w:t>ou</w:t>
      </w:r>
      <w:r>
        <w:t xml:space="preserve"> </w:t>
      </w:r>
      <w:r w:rsidRPr="008516D1">
        <w:t>d</w:t>
      </w:r>
      <w:r>
        <w:t>’</w:t>
      </w:r>
      <w:r w:rsidRPr="008516D1">
        <w:t>un</w:t>
      </w:r>
      <w:r>
        <w:t xml:space="preserve"> </w:t>
      </w:r>
      <w:r w:rsidRPr="008516D1">
        <w:t>refus</w:t>
      </w:r>
      <w:r>
        <w:t xml:space="preserve"> </w:t>
      </w:r>
      <w:r w:rsidRPr="008516D1">
        <w:t>de</w:t>
      </w:r>
      <w:r>
        <w:t xml:space="preserve"> </w:t>
      </w:r>
      <w:r w:rsidRPr="008516D1">
        <w:t>reconnaître</w:t>
      </w:r>
      <w:r>
        <w:t xml:space="preserve"> </w:t>
      </w:r>
      <w:r w:rsidRPr="008516D1">
        <w:t>cette</w:t>
      </w:r>
      <w:r>
        <w:t xml:space="preserve"> </w:t>
      </w:r>
      <w:r w:rsidRPr="008516D1">
        <w:t>privation</w:t>
      </w:r>
      <w:r>
        <w:t xml:space="preserve"> </w:t>
      </w:r>
      <w:r w:rsidRPr="008516D1">
        <w:t>de</w:t>
      </w:r>
      <w:r>
        <w:t xml:space="preserve"> </w:t>
      </w:r>
      <w:r w:rsidRPr="008516D1">
        <w:t>liberté</w:t>
      </w:r>
      <w:r>
        <w:t xml:space="preserve"> </w:t>
      </w:r>
      <w:r w:rsidRPr="008516D1">
        <w:t>ou</w:t>
      </w:r>
      <w:r>
        <w:t xml:space="preserve"> </w:t>
      </w:r>
      <w:r w:rsidRPr="008516D1">
        <w:t>de</w:t>
      </w:r>
      <w:r>
        <w:t xml:space="preserve"> </w:t>
      </w:r>
      <w:r w:rsidRPr="008516D1">
        <w:t>signaler</w:t>
      </w:r>
      <w:r>
        <w:t xml:space="preserve"> </w:t>
      </w:r>
      <w:r w:rsidRPr="008516D1">
        <w:t>le</w:t>
      </w:r>
      <w:r>
        <w:t xml:space="preserve"> </w:t>
      </w:r>
      <w:r w:rsidRPr="008516D1">
        <w:t>lieu</w:t>
      </w:r>
      <w:r>
        <w:t xml:space="preserve"> </w:t>
      </w:r>
      <w:r w:rsidRPr="008516D1">
        <w:t>où</w:t>
      </w:r>
      <w:r>
        <w:t xml:space="preserve"> </w:t>
      </w:r>
      <w:r w:rsidRPr="008516D1">
        <w:t>se</w:t>
      </w:r>
      <w:r>
        <w:t xml:space="preserve"> </w:t>
      </w:r>
      <w:r w:rsidRPr="008516D1">
        <w:t>trouve</w:t>
      </w:r>
      <w:r>
        <w:t xml:space="preserve"> </w:t>
      </w:r>
      <w:r w:rsidRPr="008516D1">
        <w:t>la</w:t>
      </w:r>
      <w:r>
        <w:t xml:space="preserve"> </w:t>
      </w:r>
      <w:r w:rsidRPr="008516D1">
        <w:t>personne,</w:t>
      </w:r>
      <w:r>
        <w:t xml:space="preserve"> </w:t>
      </w:r>
      <w:r w:rsidRPr="008516D1">
        <w:t>avec</w:t>
      </w:r>
      <w:r>
        <w:t xml:space="preserve"> </w:t>
      </w:r>
      <w:r w:rsidRPr="008516D1">
        <w:t>pour</w:t>
      </w:r>
      <w:r>
        <w:t xml:space="preserve"> </w:t>
      </w:r>
      <w:r w:rsidRPr="008516D1">
        <w:t>conséquence</w:t>
      </w:r>
      <w:r>
        <w:t xml:space="preserve"> </w:t>
      </w:r>
      <w:r w:rsidRPr="008516D1">
        <w:t>d</w:t>
      </w:r>
      <w:r>
        <w:t>’</w:t>
      </w:r>
      <w:r w:rsidRPr="008516D1">
        <w:t>empêcher</w:t>
      </w:r>
      <w:r>
        <w:t xml:space="preserve"> </w:t>
      </w:r>
      <w:r w:rsidRPr="008516D1">
        <w:t>l</w:t>
      </w:r>
      <w:r>
        <w:t>’</w:t>
      </w:r>
      <w:r w:rsidRPr="008516D1">
        <w:t>exercice</w:t>
      </w:r>
      <w:r>
        <w:t xml:space="preserve"> </w:t>
      </w:r>
      <w:r w:rsidRPr="008516D1">
        <w:t>des</w:t>
      </w:r>
      <w:r>
        <w:t xml:space="preserve"> </w:t>
      </w:r>
      <w:r w:rsidRPr="008516D1">
        <w:t>recours</w:t>
      </w:r>
      <w:r>
        <w:t xml:space="preserve"> </w:t>
      </w:r>
      <w:r w:rsidRPr="008516D1">
        <w:t>judiciaires</w:t>
      </w:r>
      <w:r>
        <w:t xml:space="preserve"> </w:t>
      </w:r>
      <w:r w:rsidRPr="008516D1">
        <w:t>ou</w:t>
      </w:r>
      <w:r>
        <w:t xml:space="preserve"> </w:t>
      </w:r>
      <w:r w:rsidRPr="008516D1">
        <w:t>le</w:t>
      </w:r>
      <w:r>
        <w:t xml:space="preserve"> </w:t>
      </w:r>
      <w:r w:rsidRPr="008516D1">
        <w:t>respect</w:t>
      </w:r>
      <w:r>
        <w:t xml:space="preserve"> </w:t>
      </w:r>
      <w:r w:rsidRPr="008516D1">
        <w:t>des</w:t>
      </w:r>
      <w:r>
        <w:t xml:space="preserve"> </w:t>
      </w:r>
      <w:r w:rsidRPr="008516D1">
        <w:t>garanties</w:t>
      </w:r>
      <w:r>
        <w:t xml:space="preserve"> </w:t>
      </w:r>
      <w:r w:rsidRPr="008516D1">
        <w:t>de</w:t>
      </w:r>
      <w:r>
        <w:t xml:space="preserve"> </w:t>
      </w:r>
      <w:r w:rsidRPr="008516D1">
        <w:t>procédure</w:t>
      </w:r>
      <w:r>
        <w:t xml:space="preserve"> </w:t>
      </w:r>
      <w:r w:rsidRPr="008516D1">
        <w:t>pertinentes,</w:t>
      </w:r>
      <w:r>
        <w:t xml:space="preserve"> </w:t>
      </w:r>
      <w:r w:rsidRPr="008516D1">
        <w:t>constitue</w:t>
      </w:r>
      <w:r>
        <w:t xml:space="preserve"> </w:t>
      </w:r>
      <w:r w:rsidRPr="008516D1">
        <w:t>une</w:t>
      </w:r>
      <w:r>
        <w:t xml:space="preserve"> </w:t>
      </w:r>
      <w:r w:rsidRPr="008516D1">
        <w:t>disparition</w:t>
      </w:r>
      <w:r>
        <w:t xml:space="preserve"> </w:t>
      </w:r>
      <w:r w:rsidRPr="008516D1">
        <w:t>forcée</w:t>
      </w:r>
      <w:r>
        <w:t xml:space="preserve"> </w:t>
      </w:r>
      <w:r w:rsidRPr="008516D1">
        <w:t>passible</w:t>
      </w:r>
      <w:r>
        <w:t xml:space="preserve"> </w:t>
      </w:r>
      <w:r w:rsidRPr="008516D1">
        <w:t>d</w:t>
      </w:r>
      <w:r>
        <w:t>’</w:t>
      </w:r>
      <w:r w:rsidRPr="008516D1">
        <w:t>une</w:t>
      </w:r>
      <w:r>
        <w:t xml:space="preserve"> </w:t>
      </w:r>
      <w:r w:rsidRPr="008516D1">
        <w:t>peine</w:t>
      </w:r>
      <w:r>
        <w:t xml:space="preserve"> </w:t>
      </w:r>
      <w:r w:rsidRPr="008516D1">
        <w:t>de</w:t>
      </w:r>
      <w:r>
        <w:t xml:space="preserve"> </w:t>
      </w:r>
      <w:r w:rsidR="00A74554">
        <w:t xml:space="preserve">quinze </w:t>
      </w:r>
      <w:r w:rsidRPr="008516D1">
        <w:t>à</w:t>
      </w:r>
      <w:r>
        <w:t xml:space="preserve"> </w:t>
      </w:r>
      <w:r w:rsidR="00A74554">
        <w:t>vingt</w:t>
      </w:r>
      <w:r>
        <w:t xml:space="preserve"> </w:t>
      </w:r>
      <w:r w:rsidRPr="008516D1">
        <w:t>ans</w:t>
      </w:r>
      <w:r>
        <w:t xml:space="preserve"> </w:t>
      </w:r>
      <w:r w:rsidRPr="008516D1">
        <w:t>d</w:t>
      </w:r>
      <w:r>
        <w:t>’</w:t>
      </w:r>
      <w:r w:rsidRPr="008516D1">
        <w:t>emprisonnement,</w:t>
      </w:r>
      <w:r>
        <w:t xml:space="preserve"> </w:t>
      </w:r>
      <w:r w:rsidRPr="008516D1">
        <w:t>assortie</w:t>
      </w:r>
      <w:r>
        <w:t xml:space="preserve"> </w:t>
      </w:r>
      <w:r w:rsidRPr="008516D1">
        <w:t>de</w:t>
      </w:r>
      <w:r>
        <w:t xml:space="preserve"> </w:t>
      </w:r>
      <w:r w:rsidRPr="008516D1">
        <w:t>l</w:t>
      </w:r>
      <w:r>
        <w:t>’</w:t>
      </w:r>
      <w:r w:rsidRPr="008516D1">
        <w:t>interdiction</w:t>
      </w:r>
      <w:r>
        <w:t xml:space="preserve"> </w:t>
      </w:r>
      <w:r w:rsidRPr="008516D1">
        <w:t>des</w:t>
      </w:r>
      <w:r>
        <w:t xml:space="preserve"> </w:t>
      </w:r>
      <w:r w:rsidRPr="008516D1">
        <w:t>droits</w:t>
      </w:r>
      <w:r>
        <w:t xml:space="preserve"> </w:t>
      </w:r>
      <w:r w:rsidRPr="008516D1">
        <w:t>civiques.</w:t>
      </w:r>
      <w:r>
        <w:t xml:space="preserve"> </w:t>
      </w:r>
      <w:r w:rsidRPr="008516D1">
        <w:t>Cette</w:t>
      </w:r>
      <w:r>
        <w:t xml:space="preserve"> </w:t>
      </w:r>
      <w:r w:rsidRPr="008516D1">
        <w:t>définition</w:t>
      </w:r>
      <w:r>
        <w:t xml:space="preserve"> </w:t>
      </w:r>
      <w:r w:rsidRPr="008516D1">
        <w:t>englobe</w:t>
      </w:r>
      <w:r>
        <w:t xml:space="preserve"> </w:t>
      </w:r>
      <w:r w:rsidRPr="008516D1">
        <w:t>toutes</w:t>
      </w:r>
      <w:r>
        <w:t xml:space="preserve"> </w:t>
      </w:r>
      <w:r w:rsidRPr="008516D1">
        <w:t>les</w:t>
      </w:r>
      <w:r>
        <w:t xml:space="preserve"> </w:t>
      </w:r>
      <w:r w:rsidRPr="008516D1">
        <w:t>formes</w:t>
      </w:r>
      <w:r>
        <w:t xml:space="preserve"> </w:t>
      </w:r>
      <w:r w:rsidRPr="008516D1">
        <w:t>de</w:t>
      </w:r>
      <w:r>
        <w:t xml:space="preserve"> </w:t>
      </w:r>
      <w:r w:rsidRPr="008516D1">
        <w:t>privation</w:t>
      </w:r>
      <w:r>
        <w:t xml:space="preserve"> </w:t>
      </w:r>
      <w:r w:rsidRPr="008516D1">
        <w:t>de</w:t>
      </w:r>
      <w:r>
        <w:t xml:space="preserve"> </w:t>
      </w:r>
      <w:r w:rsidRPr="008516D1">
        <w:t>liberté.</w:t>
      </w:r>
    </w:p>
    <w:p w14:paraId="14147350" w14:textId="6C9F8EA5" w:rsidR="00286956" w:rsidRPr="008516D1" w:rsidRDefault="00286956" w:rsidP="0013732F">
      <w:pPr>
        <w:pStyle w:val="SingleTxtG"/>
      </w:pPr>
      <w:r w:rsidRPr="008516D1">
        <w:t>11.</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15</w:t>
      </w:r>
      <w:r w:rsidR="00A74554">
        <w:t> b)</w:t>
      </w:r>
      <w:r>
        <w:t xml:space="preserve"> </w:t>
      </w:r>
      <w:r w:rsidRPr="008516D1">
        <w:t>des</w:t>
      </w:r>
      <w:r>
        <w:t xml:space="preserve"> </w:t>
      </w:r>
      <w:r w:rsidRPr="008516D1">
        <w:t>observations</w:t>
      </w:r>
      <w:r>
        <w:t xml:space="preserve"> </w:t>
      </w:r>
      <w:r w:rsidRPr="008516D1">
        <w:t>finales,</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w:t>
      </w:r>
      <w:r>
        <w:t xml:space="preserve"> </w:t>
      </w:r>
      <w:r w:rsidRPr="008516D1">
        <w:t>nouveau</w:t>
      </w:r>
      <w:r>
        <w:t xml:space="preserve"> </w:t>
      </w:r>
      <w:r w:rsidRPr="008516D1">
        <w:t>Code</w:t>
      </w:r>
      <w:r>
        <w:t xml:space="preserve"> </w:t>
      </w:r>
      <w:r w:rsidRPr="008516D1">
        <w:t>pénal</w:t>
      </w:r>
      <w:r>
        <w:t xml:space="preserve"> </w:t>
      </w:r>
      <w:r w:rsidRPr="008516D1">
        <w:t>dispose</w:t>
      </w:r>
      <w:r>
        <w:t xml:space="preserve"> </w:t>
      </w:r>
      <w:r w:rsidRPr="008516D1">
        <w:t>que</w:t>
      </w:r>
      <w:r>
        <w:t xml:space="preserve"> </w:t>
      </w:r>
      <w:r w:rsidRPr="008516D1">
        <w:t>la</w:t>
      </w:r>
      <w:r>
        <w:t xml:space="preserve"> </w:t>
      </w:r>
      <w:r w:rsidRPr="008516D1">
        <w:t>disparition</w:t>
      </w:r>
      <w:r>
        <w:t xml:space="preserve"> </w:t>
      </w:r>
      <w:r w:rsidRPr="008516D1">
        <w:t>forcée,</w:t>
      </w:r>
      <w:r>
        <w:t xml:space="preserve"> </w:t>
      </w:r>
      <w:r w:rsidRPr="008516D1">
        <w:t>sous</w:t>
      </w:r>
      <w:r>
        <w:t xml:space="preserve"> </w:t>
      </w:r>
      <w:r w:rsidRPr="008516D1">
        <w:t>ses</w:t>
      </w:r>
      <w:r>
        <w:t xml:space="preserve"> </w:t>
      </w:r>
      <w:r w:rsidRPr="008516D1">
        <w:t>deux</w:t>
      </w:r>
      <w:r>
        <w:t xml:space="preserve"> </w:t>
      </w:r>
      <w:r w:rsidRPr="008516D1">
        <w:t>acceptions,</w:t>
      </w:r>
      <w:r>
        <w:t xml:space="preserve"> </w:t>
      </w:r>
      <w:r w:rsidRPr="008516D1">
        <w:t>constitue</w:t>
      </w:r>
      <w:r>
        <w:t xml:space="preserve"> </w:t>
      </w:r>
      <w:r w:rsidRPr="008516D1">
        <w:t>une</w:t>
      </w:r>
      <w:r>
        <w:t xml:space="preserve"> </w:t>
      </w:r>
      <w:r w:rsidRPr="008516D1">
        <w:t>infraction</w:t>
      </w:r>
      <w:r>
        <w:t xml:space="preserve"> </w:t>
      </w:r>
      <w:r w:rsidRPr="008516D1">
        <w:t>autonome</w:t>
      </w:r>
      <w:r>
        <w:t xml:space="preserve"> </w:t>
      </w:r>
      <w:r w:rsidRPr="008516D1">
        <w:t>(</w:t>
      </w:r>
      <w:r w:rsidR="003A61DD">
        <w:t>art. </w:t>
      </w:r>
      <w:r w:rsidRPr="008516D1">
        <w:t>140)</w:t>
      </w:r>
      <w:r>
        <w:t xml:space="preserve"> </w:t>
      </w:r>
      <w:r w:rsidRPr="008516D1">
        <w:t>et</w:t>
      </w:r>
      <w:r>
        <w:t xml:space="preserve"> </w:t>
      </w:r>
      <w:r w:rsidRPr="008516D1">
        <w:t>un</w:t>
      </w:r>
      <w:r>
        <w:t xml:space="preserve"> </w:t>
      </w:r>
      <w:r w:rsidRPr="008516D1">
        <w:t>crime</w:t>
      </w:r>
      <w:r>
        <w:t xml:space="preserve"> </w:t>
      </w:r>
      <w:r w:rsidRPr="008516D1">
        <w:t>contre</w:t>
      </w:r>
      <w:r>
        <w:t xml:space="preserve"> </w:t>
      </w:r>
      <w:r w:rsidRPr="008516D1">
        <w:t>l</w:t>
      </w:r>
      <w:r>
        <w:t>’</w:t>
      </w:r>
      <w:r w:rsidRPr="008516D1">
        <w:t>humanité</w:t>
      </w:r>
      <w:r>
        <w:t xml:space="preserve"> </w:t>
      </w:r>
      <w:r w:rsidRPr="008516D1">
        <w:t>(</w:t>
      </w:r>
      <w:r w:rsidR="003A61DD">
        <w:t>art. </w:t>
      </w:r>
      <w:r w:rsidRPr="008516D1">
        <w:t>139,</w:t>
      </w:r>
      <w:r>
        <w:t xml:space="preserve"> </w:t>
      </w:r>
      <w:r w:rsidR="003A61DD">
        <w:t>par. </w:t>
      </w:r>
      <w:r w:rsidRPr="008516D1">
        <w:t>9).</w:t>
      </w:r>
      <w:r>
        <w:t xml:space="preserve"> </w:t>
      </w:r>
      <w:r w:rsidRPr="0013732F">
        <w:t xml:space="preserve">L’article 139 de ce même </w:t>
      </w:r>
      <w:r w:rsidR="00BB4948" w:rsidRPr="0013732F">
        <w:t xml:space="preserve">Code </w:t>
      </w:r>
      <w:r w:rsidRPr="0013732F">
        <w:t>(Crimes contre l’humanité) dispose que quiconque commet un crime contre l’humanité, et notamment une infraction de disparition forcée (</w:t>
      </w:r>
      <w:r w:rsidR="003A61DD">
        <w:t>par. </w:t>
      </w:r>
      <w:r w:rsidRPr="0013732F">
        <w:t>9), dans le cadre d’une attaque généralisée ou systématique lancée contre une population civile et en connaissance de cette attaque, encourt une peine allant de trente (30) ans d’emprisonnement à la réclusion à perpétuité, assortie de la déchéance de nationalité et d’une interdiction absolue d’exercer une fonction publique pendant toute la durée de la peine. Ces dispositions sont conformes à l’article 7 du Statut de Rome de la Cour pénale internationale.</w:t>
      </w:r>
    </w:p>
    <w:p w14:paraId="6F9873F0" w14:textId="2C2E3708" w:rsidR="00286956" w:rsidRPr="008516D1" w:rsidRDefault="00286956" w:rsidP="0013732F">
      <w:pPr>
        <w:pStyle w:val="SingleTxtG"/>
      </w:pPr>
      <w:r w:rsidRPr="008516D1">
        <w:t>12.</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15</w:t>
      </w:r>
      <w:r w:rsidR="00A74554">
        <w:t> c)</w:t>
      </w:r>
      <w:r>
        <w:t xml:space="preserve"> </w:t>
      </w:r>
      <w:r w:rsidRPr="008516D1">
        <w:t>des</w:t>
      </w:r>
      <w:r>
        <w:t xml:space="preserve"> </w:t>
      </w:r>
      <w:r w:rsidRPr="008516D1">
        <w:t>observations</w:t>
      </w:r>
      <w:r>
        <w:t xml:space="preserve"> </w:t>
      </w:r>
      <w:r w:rsidRPr="008516D1">
        <w:t>finales,</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que</w:t>
      </w:r>
      <w:r>
        <w:t xml:space="preserve"> </w:t>
      </w:r>
      <w:r w:rsidRPr="008516D1">
        <w:t>le</w:t>
      </w:r>
      <w:r>
        <w:t xml:space="preserve"> </w:t>
      </w:r>
      <w:r w:rsidRPr="008516D1">
        <w:t>nouveau</w:t>
      </w:r>
      <w:r>
        <w:t xml:space="preserve"> </w:t>
      </w:r>
      <w:r w:rsidRPr="008516D1">
        <w:t>Code</w:t>
      </w:r>
      <w:r>
        <w:t xml:space="preserve"> </w:t>
      </w:r>
      <w:r w:rsidRPr="008516D1">
        <w:t>pénal</w:t>
      </w:r>
      <w:r>
        <w:t xml:space="preserve"> </w:t>
      </w:r>
      <w:r w:rsidRPr="008516D1">
        <w:t>(</w:t>
      </w:r>
      <w:r w:rsidR="003A61DD">
        <w:t>art. </w:t>
      </w:r>
      <w:r w:rsidRPr="008516D1">
        <w:t>141</w:t>
      </w:r>
      <w:r>
        <w:t xml:space="preserve"> </w:t>
      </w:r>
      <w:r w:rsidRPr="008516D1">
        <w:t>et</w:t>
      </w:r>
      <w:r>
        <w:t xml:space="preserve"> </w:t>
      </w:r>
      <w:r w:rsidRPr="008516D1">
        <w:t>142)</w:t>
      </w:r>
      <w:r>
        <w:t xml:space="preserve"> </w:t>
      </w:r>
      <w:r w:rsidRPr="008516D1">
        <w:t>prévoit</w:t>
      </w:r>
      <w:r>
        <w:t xml:space="preserve"> </w:t>
      </w:r>
      <w:r w:rsidRPr="008516D1">
        <w:t>les</w:t>
      </w:r>
      <w:r>
        <w:t xml:space="preserve"> </w:t>
      </w:r>
      <w:r w:rsidRPr="008516D1">
        <w:t>circonstances</w:t>
      </w:r>
      <w:r>
        <w:t xml:space="preserve"> </w:t>
      </w:r>
      <w:r w:rsidRPr="008516D1">
        <w:t>aggravantes</w:t>
      </w:r>
      <w:r>
        <w:t xml:space="preserve"> </w:t>
      </w:r>
      <w:r w:rsidRPr="008516D1">
        <w:t>et</w:t>
      </w:r>
      <w:r>
        <w:t xml:space="preserve"> </w:t>
      </w:r>
      <w:r w:rsidRPr="008516D1">
        <w:t>les</w:t>
      </w:r>
      <w:r>
        <w:t xml:space="preserve"> </w:t>
      </w:r>
      <w:r w:rsidRPr="008516D1">
        <w:t>circonstances</w:t>
      </w:r>
      <w:r>
        <w:t xml:space="preserve"> </w:t>
      </w:r>
      <w:r w:rsidRPr="008516D1">
        <w:t>atténuantes</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définies</w:t>
      </w:r>
      <w:r>
        <w:t xml:space="preserve"> </w:t>
      </w:r>
      <w:r w:rsidRPr="008516D1">
        <w:t>par</w:t>
      </w:r>
      <w:r>
        <w:t xml:space="preserve"> </w:t>
      </w:r>
      <w:r w:rsidRPr="008516D1">
        <w:t>la</w:t>
      </w:r>
      <w:r>
        <w:t xml:space="preserve"> </w:t>
      </w:r>
      <w:r w:rsidRPr="008516D1">
        <w:t>Convention</w:t>
      </w:r>
      <w:r>
        <w:t xml:space="preserve"> </w:t>
      </w:r>
      <w:r w:rsidRPr="008516D1">
        <w:t>(</w:t>
      </w:r>
      <w:r w:rsidR="003A61DD">
        <w:t>art. </w:t>
      </w:r>
      <w:r w:rsidRPr="008516D1">
        <w:t>7)</w:t>
      </w:r>
      <w:r w:rsidR="0013732F">
        <w:t> :</w:t>
      </w:r>
    </w:p>
    <w:p w14:paraId="46A4C103" w14:textId="1D916417" w:rsidR="00286956" w:rsidRPr="008516D1" w:rsidRDefault="0013732F" w:rsidP="0013732F">
      <w:pPr>
        <w:pStyle w:val="SingleTxtG"/>
        <w:ind w:left="1701"/>
      </w:pPr>
      <w:r>
        <w:t>« </w:t>
      </w:r>
      <w:r w:rsidR="00286956" w:rsidRPr="008516D1">
        <w:t>Article</w:t>
      </w:r>
      <w:r w:rsidR="00286956">
        <w:t xml:space="preserve"> </w:t>
      </w:r>
      <w:r w:rsidR="00286956" w:rsidRPr="008516D1">
        <w:t>141</w:t>
      </w:r>
      <w:r w:rsidR="00286956">
        <w:t xml:space="preserve"> </w:t>
      </w:r>
      <w:r>
        <w:t>−</w:t>
      </w:r>
      <w:r w:rsidR="00286956">
        <w:t xml:space="preserve"> </w:t>
      </w:r>
      <w:r w:rsidR="00286956" w:rsidRPr="008516D1">
        <w:t>Circonstances</w:t>
      </w:r>
      <w:r w:rsidR="00286956">
        <w:t xml:space="preserve"> </w:t>
      </w:r>
      <w:r w:rsidR="00286956" w:rsidRPr="008516D1">
        <w:t>aggravantes</w:t>
      </w:r>
      <w:r w:rsidR="00286956">
        <w:t xml:space="preserve"> </w:t>
      </w:r>
      <w:r w:rsidR="00286956" w:rsidRPr="008516D1">
        <w:t>de</w:t>
      </w:r>
      <w:r w:rsidR="00286956">
        <w:t xml:space="preserve"> </w:t>
      </w:r>
      <w:r w:rsidR="00286956" w:rsidRPr="008516D1">
        <w:t>la</w:t>
      </w:r>
      <w:r w:rsidR="00286956">
        <w:t xml:space="preserve"> </w:t>
      </w:r>
      <w:r w:rsidR="00286956" w:rsidRPr="008516D1">
        <w:t>disparition</w:t>
      </w:r>
      <w:r w:rsidR="00286956">
        <w:t xml:space="preserve"> </w:t>
      </w:r>
      <w:r w:rsidR="00286956" w:rsidRPr="008516D1">
        <w:t>forcée.</w:t>
      </w:r>
      <w:r w:rsidR="00286956">
        <w:t xml:space="preserve"> </w:t>
      </w:r>
      <w:r w:rsidR="00286956" w:rsidRPr="008516D1">
        <w:t>Les</w:t>
      </w:r>
      <w:r w:rsidR="00286956">
        <w:t xml:space="preserve"> </w:t>
      </w:r>
      <w:r w:rsidR="00286956" w:rsidRPr="008516D1">
        <w:t>peines</w:t>
      </w:r>
      <w:r w:rsidR="00286956">
        <w:t xml:space="preserve"> </w:t>
      </w:r>
      <w:r w:rsidR="00286956" w:rsidRPr="008516D1">
        <w:t>d</w:t>
      </w:r>
      <w:r w:rsidR="00286956">
        <w:t>’</w:t>
      </w:r>
      <w:r w:rsidR="00286956" w:rsidRPr="008516D1">
        <w:t>emprisonnement</w:t>
      </w:r>
      <w:r w:rsidR="00286956">
        <w:t xml:space="preserve"> </w:t>
      </w:r>
      <w:r w:rsidR="00286956" w:rsidRPr="008516D1">
        <w:t>sont</w:t>
      </w:r>
      <w:r w:rsidR="00286956">
        <w:t xml:space="preserve"> </w:t>
      </w:r>
      <w:r w:rsidR="00286956" w:rsidRPr="008516D1">
        <w:t>augmentées</w:t>
      </w:r>
      <w:r w:rsidR="00286956">
        <w:t xml:space="preserve"> </w:t>
      </w:r>
      <w:r w:rsidR="00286956" w:rsidRPr="008516D1">
        <w:t>d</w:t>
      </w:r>
      <w:r w:rsidR="00286956">
        <w:t>’</w:t>
      </w:r>
      <w:r w:rsidR="00286956" w:rsidRPr="008516D1">
        <w:t>un</w:t>
      </w:r>
      <w:r w:rsidR="00286956">
        <w:t xml:space="preserve"> </w:t>
      </w:r>
      <w:r w:rsidR="00286956" w:rsidRPr="008516D1">
        <w:t>tiers</w:t>
      </w:r>
      <w:r w:rsidR="00286956">
        <w:t xml:space="preserve"> </w:t>
      </w:r>
      <w:r w:rsidR="00286956" w:rsidRPr="008516D1">
        <w:t>(1/3)</w:t>
      </w:r>
      <w:r w:rsidR="00286956">
        <w:t xml:space="preserve"> </w:t>
      </w:r>
      <w:r w:rsidR="00286956" w:rsidRPr="008516D1">
        <w:t>dans</w:t>
      </w:r>
      <w:r w:rsidR="00286956">
        <w:t xml:space="preserve"> </w:t>
      </w:r>
      <w:r w:rsidR="00286956" w:rsidRPr="008516D1">
        <w:t>les</w:t>
      </w:r>
      <w:r w:rsidR="00286956">
        <w:t xml:space="preserve"> </w:t>
      </w:r>
      <w:r w:rsidR="00286956" w:rsidRPr="008516D1">
        <w:t>cas</w:t>
      </w:r>
      <w:r w:rsidR="00286956">
        <w:t xml:space="preserve"> </w:t>
      </w:r>
      <w:r w:rsidR="00286956" w:rsidRPr="008516D1">
        <w:t>suivants</w:t>
      </w:r>
      <w:r w:rsidR="00286956">
        <w:t> :</w:t>
      </w:r>
    </w:p>
    <w:p w14:paraId="398D6FA0" w14:textId="55BBB0ED" w:rsidR="00286956" w:rsidRPr="008516D1" w:rsidRDefault="00286956" w:rsidP="0013732F">
      <w:pPr>
        <w:pStyle w:val="SingleTxtG"/>
        <w:ind w:left="1701"/>
      </w:pPr>
      <w:r w:rsidRPr="008516D1">
        <w:t>1)</w:t>
      </w:r>
      <w:r w:rsidR="0013732F">
        <w:tab/>
      </w:r>
      <w:r w:rsidRPr="008516D1">
        <w:t>La</w:t>
      </w:r>
      <w:r>
        <w:t xml:space="preserve"> </w:t>
      </w:r>
      <w:r w:rsidRPr="008516D1">
        <w:t>privation</w:t>
      </w:r>
      <w:r>
        <w:t xml:space="preserve"> </w:t>
      </w:r>
      <w:r w:rsidRPr="008516D1">
        <w:t>de</w:t>
      </w:r>
      <w:r>
        <w:t xml:space="preserve"> </w:t>
      </w:r>
      <w:r w:rsidRPr="008516D1">
        <w:t>liberté</w:t>
      </w:r>
      <w:r>
        <w:t xml:space="preserve"> </w:t>
      </w:r>
      <w:r w:rsidRPr="008516D1">
        <w:t>de</w:t>
      </w:r>
      <w:r>
        <w:t xml:space="preserve"> </w:t>
      </w:r>
      <w:r w:rsidRPr="008516D1">
        <w:t>la</w:t>
      </w:r>
      <w:r>
        <w:t xml:space="preserve"> </w:t>
      </w:r>
      <w:r w:rsidRPr="008516D1">
        <w:t>personne</w:t>
      </w:r>
      <w:r>
        <w:t xml:space="preserve"> </w:t>
      </w:r>
      <w:r w:rsidRPr="008516D1">
        <w:t>disparue</w:t>
      </w:r>
      <w:r>
        <w:t xml:space="preserve"> </w:t>
      </w:r>
      <w:r w:rsidRPr="008516D1">
        <w:t>se</w:t>
      </w:r>
      <w:r>
        <w:t xml:space="preserve"> </w:t>
      </w:r>
      <w:r w:rsidRPr="008516D1">
        <w:t>prolonge</w:t>
      </w:r>
      <w:r>
        <w:t xml:space="preserve"> </w:t>
      </w:r>
      <w:r w:rsidRPr="008516D1">
        <w:t>pendant</w:t>
      </w:r>
      <w:r>
        <w:t xml:space="preserve"> </w:t>
      </w:r>
      <w:r w:rsidRPr="008516D1">
        <w:t>plus</w:t>
      </w:r>
      <w:r>
        <w:t xml:space="preserve"> </w:t>
      </w:r>
      <w:r w:rsidRPr="008516D1">
        <w:t>de</w:t>
      </w:r>
      <w:r>
        <w:t xml:space="preserve"> </w:t>
      </w:r>
      <w:r w:rsidRPr="008516D1">
        <w:t>soixante-douze</w:t>
      </w:r>
      <w:r>
        <w:t xml:space="preserve"> </w:t>
      </w:r>
      <w:r w:rsidRPr="008516D1">
        <w:t>heures</w:t>
      </w:r>
      <w:r>
        <w:t xml:space="preserve"> ; </w:t>
      </w:r>
      <w:r w:rsidRPr="008516D1">
        <w:t>ou</w:t>
      </w:r>
    </w:p>
    <w:p w14:paraId="0200174F" w14:textId="599BD058" w:rsidR="00286956" w:rsidRPr="008516D1" w:rsidRDefault="00286956" w:rsidP="0013732F">
      <w:pPr>
        <w:pStyle w:val="SingleTxtG"/>
        <w:ind w:left="1701"/>
      </w:pPr>
      <w:r w:rsidRPr="008516D1">
        <w:t>2)</w:t>
      </w:r>
      <w:r w:rsidR="0013732F">
        <w:tab/>
      </w:r>
      <w:r w:rsidRPr="008516D1">
        <w:t>La</w:t>
      </w:r>
      <w:r>
        <w:t xml:space="preserve"> </w:t>
      </w:r>
      <w:r w:rsidRPr="008516D1">
        <w:t>personne</w:t>
      </w:r>
      <w:r>
        <w:t xml:space="preserve"> </w:t>
      </w:r>
      <w:r w:rsidRPr="008516D1">
        <w:t>disparue</w:t>
      </w:r>
      <w:r>
        <w:t xml:space="preserve"> </w:t>
      </w:r>
      <w:r w:rsidRPr="008516D1">
        <w:t>est</w:t>
      </w:r>
      <w:r>
        <w:t xml:space="preserve"> </w:t>
      </w:r>
      <w:r w:rsidRPr="008516D1">
        <w:t>un</w:t>
      </w:r>
      <w:r>
        <w:t xml:space="preserve"> </w:t>
      </w:r>
      <w:r w:rsidRPr="008516D1">
        <w:t>mineur</w:t>
      </w:r>
      <w:r>
        <w:t xml:space="preserve"> </w:t>
      </w:r>
      <w:r w:rsidRPr="008516D1">
        <w:t>de</w:t>
      </w:r>
      <w:r>
        <w:t xml:space="preserve"> </w:t>
      </w:r>
      <w:r w:rsidRPr="008516D1">
        <w:t>moins</w:t>
      </w:r>
      <w:r>
        <w:t xml:space="preserve"> </w:t>
      </w:r>
      <w:r w:rsidRPr="008516D1">
        <w:t>de</w:t>
      </w:r>
      <w:r>
        <w:t xml:space="preserve"> </w:t>
      </w:r>
      <w:r w:rsidRPr="008516D1">
        <w:t>dix-huit</w:t>
      </w:r>
      <w:r>
        <w:t xml:space="preserve"> </w:t>
      </w:r>
      <w:r w:rsidRPr="008516D1">
        <w:t>(18)</w:t>
      </w:r>
      <w:r>
        <w:t xml:space="preserve"> </w:t>
      </w:r>
      <w:r w:rsidRPr="008516D1">
        <w:t>ans,</w:t>
      </w:r>
      <w:r>
        <w:t xml:space="preserve"> </w:t>
      </w:r>
      <w:r w:rsidRPr="008516D1">
        <w:t>une</w:t>
      </w:r>
      <w:r>
        <w:t xml:space="preserve"> </w:t>
      </w:r>
      <w:r w:rsidRPr="008516D1">
        <w:t>femme</w:t>
      </w:r>
      <w:r>
        <w:t xml:space="preserve"> </w:t>
      </w:r>
      <w:r w:rsidRPr="008516D1">
        <w:t>enceinte,</w:t>
      </w:r>
      <w:r>
        <w:t xml:space="preserve"> </w:t>
      </w:r>
      <w:r w:rsidRPr="008516D1">
        <w:t>une</w:t>
      </w:r>
      <w:r>
        <w:t xml:space="preserve"> </w:t>
      </w:r>
      <w:r w:rsidRPr="008516D1">
        <w:t>personne</w:t>
      </w:r>
      <w:r>
        <w:t xml:space="preserve"> </w:t>
      </w:r>
      <w:r w:rsidRPr="008516D1">
        <w:t>âgée,</w:t>
      </w:r>
      <w:r>
        <w:t xml:space="preserve"> </w:t>
      </w:r>
      <w:r w:rsidRPr="008516D1">
        <w:t>une</w:t>
      </w:r>
      <w:r>
        <w:t xml:space="preserve"> </w:t>
      </w:r>
      <w:r w:rsidRPr="008516D1">
        <w:t>personne</w:t>
      </w:r>
      <w:r>
        <w:t xml:space="preserve"> </w:t>
      </w:r>
      <w:r w:rsidRPr="008516D1">
        <w:t>handicapée</w:t>
      </w:r>
      <w:r>
        <w:t xml:space="preserve"> </w:t>
      </w:r>
      <w:r w:rsidRPr="008516D1">
        <w:t>ou</w:t>
      </w:r>
      <w:r>
        <w:t xml:space="preserve"> </w:t>
      </w:r>
      <w:r w:rsidRPr="008516D1">
        <w:t>souffrant</w:t>
      </w:r>
      <w:r>
        <w:t xml:space="preserve"> </w:t>
      </w:r>
      <w:r w:rsidRPr="008516D1">
        <w:t>d</w:t>
      </w:r>
      <w:r>
        <w:t>’</w:t>
      </w:r>
      <w:r w:rsidRPr="008516D1">
        <w:t>une</w:t>
      </w:r>
      <w:r>
        <w:t xml:space="preserve"> </w:t>
      </w:r>
      <w:r w:rsidRPr="008516D1">
        <w:t>maladie</w:t>
      </w:r>
      <w:r>
        <w:t xml:space="preserve"> </w:t>
      </w:r>
      <w:r w:rsidRPr="008516D1">
        <w:t>qui</w:t>
      </w:r>
      <w:r>
        <w:t xml:space="preserve"> </w:t>
      </w:r>
      <w:r w:rsidRPr="008516D1">
        <w:t>la</w:t>
      </w:r>
      <w:r>
        <w:t xml:space="preserve"> </w:t>
      </w:r>
      <w:r w:rsidRPr="008516D1">
        <w:t>rend</w:t>
      </w:r>
      <w:r>
        <w:t xml:space="preserve"> </w:t>
      </w:r>
      <w:r w:rsidRPr="008516D1">
        <w:t>dépendante.</w:t>
      </w:r>
    </w:p>
    <w:p w14:paraId="588ADE6E" w14:textId="6C463520" w:rsidR="00286956" w:rsidRPr="008516D1" w:rsidRDefault="00286956" w:rsidP="0013732F">
      <w:pPr>
        <w:pStyle w:val="SingleTxtG"/>
        <w:ind w:left="1701"/>
      </w:pPr>
      <w:r w:rsidRPr="008516D1">
        <w:t>Article</w:t>
      </w:r>
      <w:r>
        <w:t xml:space="preserve"> </w:t>
      </w:r>
      <w:r w:rsidRPr="008516D1">
        <w:t>142</w:t>
      </w:r>
      <w:r>
        <w:t xml:space="preserve"> </w:t>
      </w:r>
      <w:r w:rsidR="0013732F">
        <w:t>−</w:t>
      </w:r>
      <w:r>
        <w:t xml:space="preserve"> </w:t>
      </w:r>
      <w:r w:rsidRPr="008516D1">
        <w:t>Circonstances</w:t>
      </w:r>
      <w:r>
        <w:t xml:space="preserve"> </w:t>
      </w:r>
      <w:r w:rsidRPr="008516D1">
        <w:t>atténuantes</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La</w:t>
      </w:r>
      <w:r>
        <w:t xml:space="preserve"> </w:t>
      </w:r>
      <w:r w:rsidRPr="008516D1">
        <w:t>peine</w:t>
      </w:r>
      <w:r>
        <w:t xml:space="preserve"> </w:t>
      </w:r>
      <w:r w:rsidRPr="008516D1">
        <w:t>est</w:t>
      </w:r>
      <w:r>
        <w:t xml:space="preserve"> </w:t>
      </w:r>
      <w:r w:rsidRPr="008516D1">
        <w:t>réduite</w:t>
      </w:r>
      <w:r>
        <w:t xml:space="preserve"> </w:t>
      </w:r>
      <w:r w:rsidRPr="008516D1">
        <w:t>d</w:t>
      </w:r>
      <w:r>
        <w:t>’</w:t>
      </w:r>
      <w:r w:rsidRPr="008516D1">
        <w:t>un</w:t>
      </w:r>
      <w:r>
        <w:t xml:space="preserve"> </w:t>
      </w:r>
      <w:r w:rsidRPr="008516D1">
        <w:t>tiers</w:t>
      </w:r>
      <w:r>
        <w:t xml:space="preserve"> </w:t>
      </w:r>
      <w:r w:rsidRPr="008516D1">
        <w:t>(1/3)</w:t>
      </w:r>
      <w:r>
        <w:t xml:space="preserve"> </w:t>
      </w:r>
      <w:r w:rsidRPr="008516D1">
        <w:t>lorsque,</w:t>
      </w:r>
      <w:r>
        <w:t xml:space="preserve"> </w:t>
      </w:r>
      <w:r w:rsidRPr="008516D1">
        <w:t>dans</w:t>
      </w:r>
      <w:r>
        <w:t xml:space="preserve"> </w:t>
      </w:r>
      <w:r w:rsidRPr="008516D1">
        <w:t>un</w:t>
      </w:r>
      <w:r>
        <w:t xml:space="preserve"> </w:t>
      </w:r>
      <w:r w:rsidRPr="008516D1">
        <w:t>délai</w:t>
      </w:r>
      <w:r>
        <w:t xml:space="preserve"> </w:t>
      </w:r>
      <w:r w:rsidRPr="008516D1">
        <w:t>ne</w:t>
      </w:r>
      <w:r>
        <w:t xml:space="preserve"> </w:t>
      </w:r>
      <w:r w:rsidRPr="008516D1">
        <w:t>dépassant</w:t>
      </w:r>
      <w:r>
        <w:t xml:space="preserve"> </w:t>
      </w:r>
      <w:r w:rsidRPr="008516D1">
        <w:t>pas</w:t>
      </w:r>
      <w:r>
        <w:t xml:space="preserve"> </w:t>
      </w:r>
      <w:r w:rsidRPr="008516D1">
        <w:t>soixante-douze</w:t>
      </w:r>
      <w:r>
        <w:t xml:space="preserve"> </w:t>
      </w:r>
      <w:r w:rsidRPr="008516D1">
        <w:t>heures,</w:t>
      </w:r>
      <w:r>
        <w:t xml:space="preserve"> </w:t>
      </w:r>
      <w:r w:rsidRPr="008516D1">
        <w:t>l</w:t>
      </w:r>
      <w:r>
        <w:t>’</w:t>
      </w:r>
      <w:r w:rsidRPr="008516D1">
        <w:t>auteur</w:t>
      </w:r>
      <w:r>
        <w:t xml:space="preserve"> </w:t>
      </w:r>
      <w:r w:rsidRPr="008516D1">
        <w:t>libère</w:t>
      </w:r>
      <w:r>
        <w:t xml:space="preserve"> </w:t>
      </w:r>
      <w:r w:rsidRPr="008516D1">
        <w:t>volontairement</w:t>
      </w:r>
      <w:r>
        <w:t xml:space="preserve"> </w:t>
      </w:r>
      <w:r w:rsidRPr="008516D1">
        <w:t>la</w:t>
      </w:r>
      <w:r>
        <w:t xml:space="preserve"> </w:t>
      </w:r>
      <w:r w:rsidRPr="008516D1">
        <w:t>victime</w:t>
      </w:r>
      <w:r>
        <w:t xml:space="preserve"> </w:t>
      </w:r>
      <w:r w:rsidRPr="008516D1">
        <w:t>ou,</w:t>
      </w:r>
      <w:r>
        <w:t xml:space="preserve"> </w:t>
      </w:r>
      <w:r w:rsidRPr="008516D1">
        <w:t>dans</w:t>
      </w:r>
      <w:r>
        <w:t xml:space="preserve"> </w:t>
      </w:r>
      <w:r w:rsidRPr="008516D1">
        <w:t>le</w:t>
      </w:r>
      <w:r>
        <w:t xml:space="preserve"> </w:t>
      </w:r>
      <w:r w:rsidRPr="008516D1">
        <w:t>cadre</w:t>
      </w:r>
      <w:r>
        <w:t xml:space="preserve"> </w:t>
      </w:r>
      <w:r w:rsidRPr="008516D1">
        <w:t>d</w:t>
      </w:r>
      <w:r>
        <w:t>’</w:t>
      </w:r>
      <w:r w:rsidRPr="008516D1">
        <w:t>une</w:t>
      </w:r>
      <w:r>
        <w:t xml:space="preserve"> </w:t>
      </w:r>
      <w:r w:rsidRPr="008516D1">
        <w:t>négociation,</w:t>
      </w:r>
      <w:r>
        <w:t xml:space="preserve"> </w:t>
      </w:r>
      <w:r w:rsidRPr="008516D1">
        <w:t>fournit</w:t>
      </w:r>
      <w:r>
        <w:t xml:space="preserve"> </w:t>
      </w:r>
      <w:r w:rsidRPr="008516D1">
        <w:t>des</w:t>
      </w:r>
      <w:r>
        <w:t xml:space="preserve"> </w:t>
      </w:r>
      <w:r w:rsidRPr="008516D1">
        <w:t>indications</w:t>
      </w:r>
      <w:r>
        <w:t xml:space="preserve"> </w:t>
      </w:r>
      <w:r w:rsidRPr="008516D1">
        <w:t>permettant</w:t>
      </w:r>
      <w:r>
        <w:t xml:space="preserve"> </w:t>
      </w:r>
      <w:r w:rsidRPr="008516D1">
        <w:t>de</w:t>
      </w:r>
      <w:r>
        <w:t xml:space="preserve"> </w:t>
      </w:r>
      <w:r w:rsidRPr="008516D1">
        <w:t>la</w:t>
      </w:r>
      <w:r>
        <w:t xml:space="preserve"> </w:t>
      </w:r>
      <w:r w:rsidRPr="008516D1">
        <w:t>localiser,</w:t>
      </w:r>
      <w:r>
        <w:t xml:space="preserve"> </w:t>
      </w:r>
      <w:r w:rsidRPr="008516D1">
        <w:t>dès</w:t>
      </w:r>
      <w:r>
        <w:t xml:space="preserve"> </w:t>
      </w:r>
      <w:r w:rsidRPr="008516D1">
        <w:t>lors</w:t>
      </w:r>
      <w:r>
        <w:t xml:space="preserve"> </w:t>
      </w:r>
      <w:r w:rsidRPr="008516D1">
        <w:t>qu</w:t>
      </w:r>
      <w:r>
        <w:t>’</w:t>
      </w:r>
      <w:r w:rsidRPr="008516D1">
        <w:t>il</w:t>
      </w:r>
      <w:r>
        <w:t xml:space="preserve"> </w:t>
      </w:r>
      <w:r w:rsidRPr="008516D1">
        <w:t>n</w:t>
      </w:r>
      <w:r>
        <w:t>’</w:t>
      </w:r>
      <w:r w:rsidRPr="008516D1">
        <w:t>a</w:t>
      </w:r>
      <w:r>
        <w:t xml:space="preserve"> </w:t>
      </w:r>
      <w:r w:rsidRPr="008516D1">
        <w:t>pas</w:t>
      </w:r>
      <w:r>
        <w:t xml:space="preserve"> </w:t>
      </w:r>
      <w:r w:rsidRPr="008516D1">
        <w:t>été</w:t>
      </w:r>
      <w:r>
        <w:t xml:space="preserve"> </w:t>
      </w:r>
      <w:r w:rsidRPr="008516D1">
        <w:t>porté</w:t>
      </w:r>
      <w:r>
        <w:t xml:space="preserve"> </w:t>
      </w:r>
      <w:r w:rsidRPr="008516D1">
        <w:t>atteinte</w:t>
      </w:r>
      <w:r>
        <w:t xml:space="preserve"> </w:t>
      </w:r>
      <w:r w:rsidRPr="008516D1">
        <w:t>à</w:t>
      </w:r>
      <w:r>
        <w:t xml:space="preserve"> </w:t>
      </w:r>
      <w:r w:rsidRPr="008516D1">
        <w:t>la</w:t>
      </w:r>
      <w:r>
        <w:t xml:space="preserve"> </w:t>
      </w:r>
      <w:r w:rsidRPr="008516D1">
        <w:t>santé</w:t>
      </w:r>
      <w:r>
        <w:t xml:space="preserve"> </w:t>
      </w:r>
      <w:r w:rsidRPr="008516D1">
        <w:t>et</w:t>
      </w:r>
      <w:r>
        <w:t xml:space="preserve"> </w:t>
      </w:r>
      <w:r w:rsidRPr="008516D1">
        <w:t>à</w:t>
      </w:r>
      <w:r>
        <w:t xml:space="preserve"> </w:t>
      </w:r>
      <w:r w:rsidRPr="008516D1">
        <w:t>l</w:t>
      </w:r>
      <w:r>
        <w:t>’</w:t>
      </w:r>
      <w:r w:rsidRPr="008516D1">
        <w:t>intégrité</w:t>
      </w:r>
      <w:r>
        <w:t xml:space="preserve"> </w:t>
      </w:r>
      <w:r w:rsidRPr="008516D1">
        <w:t>physique</w:t>
      </w:r>
      <w:r>
        <w:t xml:space="preserve"> </w:t>
      </w:r>
      <w:r w:rsidRPr="008516D1">
        <w:t>de</w:t>
      </w:r>
      <w:r>
        <w:t xml:space="preserve"> </w:t>
      </w:r>
      <w:r w:rsidRPr="008516D1">
        <w:t>la</w:t>
      </w:r>
      <w:r>
        <w:t xml:space="preserve"> </w:t>
      </w:r>
      <w:r w:rsidRPr="008516D1">
        <w:t>victime.</w:t>
      </w:r>
      <w:r w:rsidR="0013732F">
        <w:t> ».</w:t>
      </w:r>
    </w:p>
    <w:p w14:paraId="62840CA9" w14:textId="09D3CC79" w:rsidR="00286956" w:rsidRPr="008516D1" w:rsidRDefault="00286956" w:rsidP="0013732F">
      <w:pPr>
        <w:pStyle w:val="SingleTxtG"/>
      </w:pPr>
      <w:r w:rsidRPr="008516D1">
        <w:t>13.</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15</w:t>
      </w:r>
      <w:r w:rsidR="00A74554">
        <w:t> d)</w:t>
      </w:r>
      <w:r>
        <w:t xml:space="preserve"> </w:t>
      </w:r>
      <w:r w:rsidRPr="008516D1">
        <w:t>des</w:t>
      </w:r>
      <w:r>
        <w:t xml:space="preserve"> </w:t>
      </w:r>
      <w:r w:rsidRPr="008516D1">
        <w:t>observations</w:t>
      </w:r>
      <w:r>
        <w:t xml:space="preserve"> </w:t>
      </w:r>
      <w:r w:rsidRPr="008516D1">
        <w:t>finales,</w:t>
      </w:r>
      <w:r>
        <w:t xml:space="preserve"> </w:t>
      </w:r>
      <w:r w:rsidRPr="008516D1">
        <w:t>il</w:t>
      </w:r>
      <w:r>
        <w:t xml:space="preserve"> </w:t>
      </w:r>
      <w:r w:rsidRPr="008516D1">
        <w:t>convient</w:t>
      </w:r>
      <w:r>
        <w:t xml:space="preserve"> </w:t>
      </w:r>
      <w:r w:rsidRPr="008516D1">
        <w:t>de</w:t>
      </w:r>
      <w:r>
        <w:t xml:space="preserve"> </w:t>
      </w:r>
      <w:r w:rsidRPr="008516D1">
        <w:t>rappeler</w:t>
      </w:r>
      <w:r>
        <w:t xml:space="preserve"> </w:t>
      </w:r>
      <w:r w:rsidRPr="008516D1">
        <w:t>que</w:t>
      </w:r>
      <w:r>
        <w:t xml:space="preserve"> </w:t>
      </w:r>
      <w:r w:rsidRPr="008516D1">
        <w:t>la</w:t>
      </w:r>
      <w:r>
        <w:t xml:space="preserve"> </w:t>
      </w:r>
      <w:r w:rsidRPr="008516D1">
        <w:t>plus</w:t>
      </w:r>
      <w:r>
        <w:t xml:space="preserve"> </w:t>
      </w:r>
      <w:r w:rsidRPr="008516D1">
        <w:t>lourde</w:t>
      </w:r>
      <w:r>
        <w:t xml:space="preserve"> </w:t>
      </w:r>
      <w:r w:rsidRPr="008516D1">
        <w:t>peine</w:t>
      </w:r>
      <w:r>
        <w:t xml:space="preserve"> </w:t>
      </w:r>
      <w:r w:rsidRPr="008516D1">
        <w:t>prévue</w:t>
      </w:r>
      <w:r>
        <w:t xml:space="preserve"> </w:t>
      </w:r>
      <w:r w:rsidRPr="008516D1">
        <w:t>par</w:t>
      </w:r>
      <w:r>
        <w:t xml:space="preserve"> </w:t>
      </w:r>
      <w:r w:rsidRPr="008516D1">
        <w:t>la</w:t>
      </w:r>
      <w:r>
        <w:t xml:space="preserve"> </w:t>
      </w:r>
      <w:r w:rsidRPr="008516D1">
        <w:t>législation</w:t>
      </w:r>
      <w:r>
        <w:t xml:space="preserve"> </w:t>
      </w:r>
      <w:r w:rsidRPr="008516D1">
        <w:t>nationale</w:t>
      </w:r>
      <w:r>
        <w:t xml:space="preserve"> </w:t>
      </w:r>
      <w:r w:rsidRPr="008516D1">
        <w:t>pour</w:t>
      </w:r>
      <w:r>
        <w:t xml:space="preserve"> </w:t>
      </w:r>
      <w:r w:rsidRPr="008516D1">
        <w:t>les</w:t>
      </w:r>
      <w:r>
        <w:t xml:space="preserve"> </w:t>
      </w:r>
      <w:r w:rsidRPr="008516D1">
        <w:t>infractions</w:t>
      </w:r>
      <w:r>
        <w:t xml:space="preserve"> </w:t>
      </w:r>
      <w:r w:rsidRPr="008516D1">
        <w:t>les</w:t>
      </w:r>
      <w:r>
        <w:t xml:space="preserve"> </w:t>
      </w:r>
      <w:r w:rsidRPr="008516D1">
        <w:t>plus</w:t>
      </w:r>
      <w:r>
        <w:t xml:space="preserve"> </w:t>
      </w:r>
      <w:r w:rsidRPr="008516D1">
        <w:t>graves</w:t>
      </w:r>
      <w:r>
        <w:t xml:space="preserve"> </w:t>
      </w:r>
      <w:r w:rsidRPr="008516D1">
        <w:t>est</w:t>
      </w:r>
      <w:r>
        <w:t xml:space="preserve"> </w:t>
      </w:r>
      <w:r w:rsidRPr="008516D1">
        <w:t>la</w:t>
      </w:r>
      <w:r>
        <w:t xml:space="preserve"> </w:t>
      </w:r>
      <w:r w:rsidRPr="008516D1">
        <w:t>réclusion</w:t>
      </w:r>
      <w:r>
        <w:t xml:space="preserve"> </w:t>
      </w:r>
      <w:r w:rsidRPr="008516D1">
        <w:t>à</w:t>
      </w:r>
      <w:r>
        <w:t xml:space="preserve"> </w:t>
      </w:r>
      <w:r w:rsidRPr="008516D1">
        <w:t>perpétuité.</w:t>
      </w:r>
      <w:r>
        <w:t xml:space="preserve"> </w:t>
      </w:r>
      <w:r w:rsidRPr="008516D1">
        <w:t>Cette</w:t>
      </w:r>
      <w:r>
        <w:t xml:space="preserve"> </w:t>
      </w:r>
      <w:r w:rsidRPr="008516D1">
        <w:t>peine</w:t>
      </w:r>
      <w:r>
        <w:t xml:space="preserve"> </w:t>
      </w:r>
      <w:r w:rsidRPr="008516D1">
        <w:t>s</w:t>
      </w:r>
      <w:r>
        <w:t>’</w:t>
      </w:r>
      <w:r w:rsidRPr="008516D1">
        <w:t>applique</w:t>
      </w:r>
      <w:r>
        <w:t xml:space="preserve"> </w:t>
      </w:r>
      <w:r w:rsidRPr="008516D1">
        <w:t>aux</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et</w:t>
      </w:r>
      <w:r>
        <w:t xml:space="preserve"> </w:t>
      </w:r>
      <w:r w:rsidRPr="008516D1">
        <w:t>notamment</w:t>
      </w:r>
      <w:r>
        <w:t xml:space="preserve"> </w:t>
      </w:r>
      <w:r w:rsidRPr="008516D1">
        <w:t>à</w:t>
      </w:r>
      <w:r>
        <w:t xml:space="preserve"> </w:t>
      </w:r>
      <w:r w:rsidRPr="008516D1">
        <w:lastRenderedPageBreak/>
        <w:t>la</w:t>
      </w:r>
      <w:r>
        <w:t xml:space="preserve"> </w:t>
      </w:r>
      <w:r w:rsidRPr="008516D1">
        <w:t>disparition</w:t>
      </w:r>
      <w:r>
        <w:t xml:space="preserve"> </w:t>
      </w:r>
      <w:r w:rsidRPr="008516D1">
        <w:t>forcée.</w:t>
      </w:r>
      <w:r>
        <w:t xml:space="preserve"> </w:t>
      </w:r>
      <w:r w:rsidRPr="008516D1">
        <w:t>Compte</w:t>
      </w:r>
      <w:r>
        <w:t xml:space="preserve"> </w:t>
      </w:r>
      <w:r w:rsidRPr="008516D1">
        <w:t>tenu</w:t>
      </w:r>
      <w:r>
        <w:t xml:space="preserve"> </w:t>
      </w:r>
      <w:r w:rsidRPr="008516D1">
        <w:t>de</w:t>
      </w:r>
      <w:r>
        <w:t xml:space="preserve"> </w:t>
      </w:r>
      <w:r w:rsidRPr="008516D1">
        <w:t>l</w:t>
      </w:r>
      <w:r>
        <w:t>’</w:t>
      </w:r>
      <w:r w:rsidRPr="008516D1">
        <w:t>extrême</w:t>
      </w:r>
      <w:r>
        <w:t xml:space="preserve"> </w:t>
      </w:r>
      <w:r w:rsidRPr="008516D1">
        <w:t>gravité</w:t>
      </w:r>
      <w:r>
        <w:t xml:space="preserve"> </w:t>
      </w:r>
      <w:r w:rsidRPr="008516D1">
        <w:t>de</w:t>
      </w:r>
      <w:r>
        <w:t xml:space="preserve"> </w:t>
      </w:r>
      <w:r w:rsidRPr="008516D1">
        <w:t>cette</w:t>
      </w:r>
      <w:r>
        <w:t xml:space="preserve"> </w:t>
      </w:r>
      <w:r w:rsidRPr="008516D1">
        <w:t>infraction,</w:t>
      </w:r>
      <w:r>
        <w:t xml:space="preserve"> </w:t>
      </w:r>
      <w:r w:rsidRPr="008516D1">
        <w:t>elle</w:t>
      </w:r>
      <w:r>
        <w:t xml:space="preserve"> </w:t>
      </w:r>
      <w:r w:rsidRPr="008516D1">
        <w:t>est</w:t>
      </w:r>
      <w:r>
        <w:t xml:space="preserve"> </w:t>
      </w:r>
      <w:r w:rsidRPr="008516D1">
        <w:t>assortie</w:t>
      </w:r>
      <w:r>
        <w:t xml:space="preserve"> </w:t>
      </w:r>
      <w:r w:rsidRPr="008516D1">
        <w:t>de</w:t>
      </w:r>
      <w:r>
        <w:t xml:space="preserve"> </w:t>
      </w:r>
      <w:r w:rsidRPr="008516D1">
        <w:t>la</w:t>
      </w:r>
      <w:r>
        <w:t xml:space="preserve"> </w:t>
      </w:r>
      <w:r w:rsidRPr="008516D1">
        <w:t>déchéance</w:t>
      </w:r>
      <w:r>
        <w:t xml:space="preserve"> </w:t>
      </w:r>
      <w:r w:rsidRPr="008516D1">
        <w:t>des</w:t>
      </w:r>
      <w:r>
        <w:t xml:space="preserve"> </w:t>
      </w:r>
      <w:r w:rsidRPr="008516D1">
        <w:t>droits</w:t>
      </w:r>
      <w:r>
        <w:t xml:space="preserve"> </w:t>
      </w:r>
      <w:r w:rsidRPr="008516D1">
        <w:t>civiques</w:t>
      </w:r>
      <w:r>
        <w:t xml:space="preserve"> </w:t>
      </w:r>
      <w:r w:rsidRPr="008516D1">
        <w:t>et</w:t>
      </w:r>
      <w:r>
        <w:t xml:space="preserve"> </w:t>
      </w:r>
      <w:r w:rsidRPr="008516D1">
        <w:t>de</w:t>
      </w:r>
      <w:r>
        <w:t xml:space="preserve"> </w:t>
      </w:r>
      <w:r w:rsidRPr="008516D1">
        <w:t>l</w:t>
      </w:r>
      <w:r>
        <w:t>’</w:t>
      </w:r>
      <w:r w:rsidRPr="008516D1">
        <w:t>interdiction</w:t>
      </w:r>
      <w:r>
        <w:t xml:space="preserve"> </w:t>
      </w:r>
      <w:r w:rsidRPr="008516D1">
        <w:t>absolue</w:t>
      </w:r>
      <w:r>
        <w:t xml:space="preserve"> </w:t>
      </w:r>
      <w:r w:rsidRPr="008516D1">
        <w:t>d</w:t>
      </w:r>
      <w:r>
        <w:t>’</w:t>
      </w:r>
      <w:r w:rsidRPr="008516D1">
        <w:t>exercer</w:t>
      </w:r>
      <w:r>
        <w:t xml:space="preserve"> </w:t>
      </w:r>
      <w:r w:rsidRPr="008516D1">
        <w:t>une</w:t>
      </w:r>
      <w:r>
        <w:t xml:space="preserve"> </w:t>
      </w:r>
      <w:r w:rsidRPr="008516D1">
        <w:t>fonction</w:t>
      </w:r>
      <w:r>
        <w:t xml:space="preserve"> </w:t>
      </w:r>
      <w:r w:rsidRPr="008516D1">
        <w:t>publique</w:t>
      </w:r>
      <w:r>
        <w:t xml:space="preserve"> </w:t>
      </w:r>
      <w:r w:rsidRPr="008516D1">
        <w:t>pendant</w:t>
      </w:r>
      <w:r>
        <w:t xml:space="preserve"> </w:t>
      </w:r>
      <w:r w:rsidRPr="008516D1">
        <w:t>toute</w:t>
      </w:r>
      <w:r>
        <w:t xml:space="preserve"> </w:t>
      </w:r>
      <w:r w:rsidRPr="008516D1">
        <w:t>la</w:t>
      </w:r>
      <w:r>
        <w:t xml:space="preserve"> </w:t>
      </w:r>
      <w:r w:rsidRPr="008516D1">
        <w:t>durée</w:t>
      </w:r>
      <w:r>
        <w:t xml:space="preserve"> </w:t>
      </w:r>
      <w:r w:rsidRPr="008516D1">
        <w:t>de</w:t>
      </w:r>
      <w:r>
        <w:t xml:space="preserve"> </w:t>
      </w:r>
      <w:r w:rsidRPr="008516D1">
        <w:t>la</w:t>
      </w:r>
      <w:r>
        <w:t xml:space="preserve"> </w:t>
      </w:r>
      <w:r w:rsidRPr="008516D1">
        <w:t>peine</w:t>
      </w:r>
      <w:r>
        <w:t xml:space="preserve"> </w:t>
      </w:r>
      <w:r w:rsidRPr="008516D1">
        <w:t>d</w:t>
      </w:r>
      <w:r>
        <w:t>’</w:t>
      </w:r>
      <w:r w:rsidRPr="008516D1">
        <w:t>emprisonnement</w:t>
      </w:r>
      <w:r w:rsidRPr="008516D1">
        <w:rPr>
          <w:rStyle w:val="Appelnotedebasdep"/>
        </w:rPr>
        <w:footnoteReference w:id="41"/>
      </w:r>
      <w:r w:rsidRPr="008516D1">
        <w:t>.</w:t>
      </w:r>
    </w:p>
    <w:p w14:paraId="7EE6930C" w14:textId="000E22A0" w:rsidR="00286956" w:rsidRPr="008516D1" w:rsidRDefault="00286956" w:rsidP="0013732F">
      <w:pPr>
        <w:pStyle w:val="SingleTxtG"/>
      </w:pPr>
      <w:r w:rsidRPr="008516D1">
        <w:t>14.</w:t>
      </w:r>
      <w:r w:rsidRPr="008516D1">
        <w:tab/>
        <w:t>Il</w:t>
      </w:r>
      <w:r>
        <w:t xml:space="preserve"> </w:t>
      </w:r>
      <w:r w:rsidRPr="008516D1">
        <w:t>est</w:t>
      </w:r>
      <w:r>
        <w:t xml:space="preserve"> </w:t>
      </w:r>
      <w:r w:rsidRPr="008516D1">
        <w:t>important</w:t>
      </w:r>
      <w:r>
        <w:t xml:space="preserve"> </w:t>
      </w:r>
      <w:r w:rsidRPr="008516D1">
        <w:t>de</w:t>
      </w:r>
      <w:r>
        <w:t xml:space="preserve"> </w:t>
      </w:r>
      <w:r w:rsidRPr="008516D1">
        <w:t>souligner</w:t>
      </w:r>
      <w:r>
        <w:t xml:space="preserve"> </w:t>
      </w:r>
      <w:r w:rsidRPr="008516D1">
        <w:t>que,</w:t>
      </w:r>
      <w:r>
        <w:t xml:space="preserve"> </w:t>
      </w:r>
      <w:r w:rsidRPr="008516D1">
        <w:t>pendant</w:t>
      </w:r>
      <w:r>
        <w:t xml:space="preserve"> </w:t>
      </w:r>
      <w:r w:rsidRPr="008516D1">
        <w:t>toute</w:t>
      </w:r>
      <w:r>
        <w:t xml:space="preserve"> </w:t>
      </w:r>
      <w:r w:rsidRPr="008516D1">
        <w:t>la</w:t>
      </w:r>
      <w:r>
        <w:t xml:space="preserve"> </w:t>
      </w:r>
      <w:r w:rsidRPr="008516D1">
        <w:t>procédure</w:t>
      </w:r>
      <w:r>
        <w:t xml:space="preserve"> </w:t>
      </w:r>
      <w:r w:rsidRPr="008516D1">
        <w:t>de</w:t>
      </w:r>
      <w:r>
        <w:t xml:space="preserve"> </w:t>
      </w:r>
      <w:r w:rsidRPr="008516D1">
        <w:t>rédaction</w:t>
      </w:r>
      <w:r>
        <w:t xml:space="preserve"> </w:t>
      </w:r>
      <w:r w:rsidRPr="008516D1">
        <w:t>et</w:t>
      </w:r>
      <w:r>
        <w:t xml:space="preserve"> </w:t>
      </w:r>
      <w:r w:rsidRPr="008516D1">
        <w:t>de</w:t>
      </w:r>
      <w:r>
        <w:t xml:space="preserve"> </w:t>
      </w:r>
      <w:r w:rsidRPr="008516D1">
        <w:t>présentation</w:t>
      </w:r>
      <w:r>
        <w:t xml:space="preserve"> </w:t>
      </w:r>
      <w:r w:rsidRPr="008516D1">
        <w:t>du</w:t>
      </w:r>
      <w:r>
        <w:t xml:space="preserve"> </w:t>
      </w:r>
      <w:r w:rsidRPr="008516D1">
        <w:t>nouveau</w:t>
      </w:r>
      <w:r>
        <w:t xml:space="preserve"> </w:t>
      </w:r>
      <w:r w:rsidRPr="008516D1">
        <w:t>Code</w:t>
      </w:r>
      <w:r>
        <w:t xml:space="preserve"> </w:t>
      </w:r>
      <w:r w:rsidRPr="008516D1">
        <w:t>pénal,</w:t>
      </w:r>
      <w:r>
        <w:t xml:space="preserve"> </w:t>
      </w:r>
      <w:r w:rsidRPr="008516D1">
        <w:t>le</w:t>
      </w:r>
      <w:r>
        <w:t xml:space="preserve"> </w:t>
      </w:r>
      <w:r w:rsidRPr="008516D1">
        <w:t>Congrès</w:t>
      </w:r>
      <w:r>
        <w:t xml:space="preserve"> </w:t>
      </w:r>
      <w:r w:rsidRPr="008516D1">
        <w:t>national</w:t>
      </w:r>
      <w:r>
        <w:t xml:space="preserve"> </w:t>
      </w:r>
      <w:r w:rsidRPr="008516D1">
        <w:t>a</w:t>
      </w:r>
      <w:r>
        <w:t xml:space="preserve"> </w:t>
      </w:r>
      <w:r w:rsidRPr="008516D1">
        <w:t>bénéficié</w:t>
      </w:r>
      <w:r>
        <w:t xml:space="preserve"> </w:t>
      </w:r>
      <w:r w:rsidRPr="008516D1">
        <w:t>de</w:t>
      </w:r>
      <w:r>
        <w:t xml:space="preserve"> </w:t>
      </w:r>
      <w:r w:rsidRPr="008516D1">
        <w:t>l</w:t>
      </w:r>
      <w:r>
        <w:t>’</w:t>
      </w:r>
      <w:r w:rsidRPr="008516D1">
        <w:t>assistance</w:t>
      </w:r>
      <w:r>
        <w:t xml:space="preserve"> </w:t>
      </w:r>
      <w:r w:rsidRPr="008516D1">
        <w:t>technique</w:t>
      </w:r>
      <w:r>
        <w:t xml:space="preserve"> </w:t>
      </w:r>
      <w:r w:rsidRPr="008516D1">
        <w:t>du</w:t>
      </w:r>
      <w:r>
        <w:t xml:space="preserve"> </w:t>
      </w:r>
      <w:r w:rsidRPr="008516D1">
        <w:t>Comité</w:t>
      </w:r>
      <w:r>
        <w:t xml:space="preserve"> </w:t>
      </w:r>
      <w:r w:rsidRPr="008516D1">
        <w:t>international</w:t>
      </w:r>
      <w:r>
        <w:t xml:space="preserve"> </w:t>
      </w:r>
      <w:r w:rsidRPr="008516D1">
        <w:t>de</w:t>
      </w:r>
      <w:r>
        <w:t xml:space="preserve"> </w:t>
      </w:r>
      <w:r w:rsidRPr="008516D1">
        <w:t>la</w:t>
      </w:r>
      <w:r>
        <w:t xml:space="preserve"> </w:t>
      </w:r>
      <w:r w:rsidRPr="008516D1">
        <w:t>Croix-Rouge</w:t>
      </w:r>
      <w:r>
        <w:t xml:space="preserve"> </w:t>
      </w:r>
      <w:r w:rsidRPr="008516D1">
        <w:t>(CICR)</w:t>
      </w:r>
      <w:r>
        <w:t xml:space="preserve"> </w:t>
      </w:r>
      <w:r w:rsidRPr="008516D1">
        <w:t>pour</w:t>
      </w:r>
      <w:r>
        <w:t xml:space="preserve"> </w:t>
      </w:r>
      <w:r w:rsidRPr="008516D1">
        <w:t>mener</w:t>
      </w:r>
      <w:r>
        <w:t xml:space="preserve"> </w:t>
      </w:r>
      <w:r w:rsidRPr="008516D1">
        <w:t>l</w:t>
      </w:r>
      <w:r>
        <w:t>’</w:t>
      </w:r>
      <w:r w:rsidRPr="008516D1">
        <w:t>étude</w:t>
      </w:r>
      <w:r>
        <w:t xml:space="preserve"> </w:t>
      </w:r>
      <w:r w:rsidRPr="008516D1">
        <w:t>de</w:t>
      </w:r>
      <w:r>
        <w:t xml:space="preserve"> </w:t>
      </w:r>
      <w:r w:rsidRPr="008516D1">
        <w:t>compatibilité</w:t>
      </w:r>
      <w:r>
        <w:t xml:space="preserve"> </w:t>
      </w:r>
      <w:r w:rsidRPr="008516D1">
        <w:t>avec</w:t>
      </w:r>
      <w:r>
        <w:t xml:space="preserve"> </w:t>
      </w:r>
      <w:r w:rsidRPr="008516D1">
        <w:t>les</w:t>
      </w:r>
      <w:r>
        <w:t xml:space="preserve"> </w:t>
      </w:r>
      <w:r w:rsidRPr="008516D1">
        <w:t>normes</w:t>
      </w:r>
      <w:r>
        <w:t xml:space="preserve"> </w:t>
      </w:r>
      <w:r w:rsidRPr="008516D1">
        <w:t>du</w:t>
      </w:r>
      <w:r>
        <w:t xml:space="preserve"> </w:t>
      </w:r>
      <w:r w:rsidRPr="008516D1">
        <w:t>droit</w:t>
      </w:r>
      <w:r>
        <w:t xml:space="preserve"> </w:t>
      </w:r>
      <w:r w:rsidRPr="008516D1">
        <w:t>international</w:t>
      </w:r>
      <w:r>
        <w:t xml:space="preserve"> </w:t>
      </w:r>
      <w:r w:rsidRPr="008516D1">
        <w:t>humanitaire.</w:t>
      </w:r>
      <w:r>
        <w:t xml:space="preserve"> </w:t>
      </w:r>
      <w:r w:rsidRPr="008516D1">
        <w:t>Le</w:t>
      </w:r>
      <w:r>
        <w:t xml:space="preserve"> </w:t>
      </w:r>
      <w:r w:rsidRPr="008516D1">
        <w:t>CIRC</w:t>
      </w:r>
      <w:r>
        <w:t xml:space="preserve"> </w:t>
      </w:r>
      <w:r w:rsidRPr="008516D1">
        <w:t>a</w:t>
      </w:r>
      <w:r>
        <w:t xml:space="preserve"> </w:t>
      </w:r>
      <w:r w:rsidRPr="008516D1">
        <w:t>proposé</w:t>
      </w:r>
      <w:r>
        <w:t xml:space="preserve"> </w:t>
      </w:r>
      <w:r w:rsidRPr="008516D1">
        <w:t>des</w:t>
      </w:r>
      <w:r>
        <w:t xml:space="preserve"> </w:t>
      </w:r>
      <w:r w:rsidRPr="008516D1">
        <w:t>modifications</w:t>
      </w:r>
      <w:r>
        <w:t xml:space="preserve"> </w:t>
      </w:r>
      <w:r w:rsidRPr="008516D1">
        <w:t>et</w:t>
      </w:r>
      <w:r>
        <w:t xml:space="preserve"> </w:t>
      </w:r>
      <w:r w:rsidRPr="008516D1">
        <w:t>des</w:t>
      </w:r>
      <w:r>
        <w:t xml:space="preserve"> </w:t>
      </w:r>
      <w:r w:rsidRPr="008516D1">
        <w:t>adjonctions</w:t>
      </w:r>
      <w:r>
        <w:t xml:space="preserve"> </w:t>
      </w:r>
      <w:r w:rsidRPr="008516D1">
        <w:t>concernant</w:t>
      </w:r>
      <w:r>
        <w:t xml:space="preserve"> </w:t>
      </w:r>
      <w:r w:rsidRPr="008516D1">
        <w:t>le</w:t>
      </w:r>
      <w:r>
        <w:t xml:space="preserve"> </w:t>
      </w:r>
      <w:r w:rsidRPr="008516D1">
        <w:t>chapitre</w:t>
      </w:r>
      <w:r>
        <w:t xml:space="preserve"> </w:t>
      </w:r>
      <w:r w:rsidRPr="008516D1">
        <w:t>consacré</w:t>
      </w:r>
      <w:r>
        <w:t xml:space="preserve"> </w:t>
      </w:r>
      <w:r w:rsidRPr="008516D1">
        <w:t>aux</w:t>
      </w:r>
      <w:r>
        <w:t xml:space="preserve"> </w:t>
      </w:r>
      <w:r w:rsidRPr="008516D1">
        <w:t>crimes</w:t>
      </w:r>
      <w:r>
        <w:t xml:space="preserve"> </w:t>
      </w:r>
      <w:r w:rsidRPr="008516D1">
        <w:t>et</w:t>
      </w:r>
      <w:r>
        <w:t xml:space="preserve"> </w:t>
      </w:r>
      <w:r w:rsidRPr="008516D1">
        <w:t>délits</w:t>
      </w:r>
      <w:r>
        <w:t xml:space="preserve"> </w:t>
      </w:r>
      <w:r w:rsidRPr="008516D1">
        <w:t>de</w:t>
      </w:r>
      <w:r>
        <w:t xml:space="preserve"> </w:t>
      </w:r>
      <w:r w:rsidRPr="008516D1">
        <w:t>guerre,</w:t>
      </w:r>
      <w:r>
        <w:t xml:space="preserve"> </w:t>
      </w:r>
      <w:r w:rsidRPr="008516D1">
        <w:t>avant</w:t>
      </w:r>
      <w:r>
        <w:t xml:space="preserve"> </w:t>
      </w:r>
      <w:r w:rsidRPr="008516D1">
        <w:t>l</w:t>
      </w:r>
      <w:r>
        <w:t>’</w:t>
      </w:r>
      <w:r w:rsidRPr="008516D1">
        <w:t>entrée</w:t>
      </w:r>
      <w:r>
        <w:t xml:space="preserve"> </w:t>
      </w:r>
      <w:r w:rsidRPr="008516D1">
        <w:t>en</w:t>
      </w:r>
      <w:r>
        <w:t xml:space="preserve"> </w:t>
      </w:r>
      <w:r w:rsidRPr="008516D1">
        <w:t>vigueur</w:t>
      </w:r>
      <w:r>
        <w:t xml:space="preserve"> </w:t>
      </w:r>
      <w:r w:rsidRPr="008516D1">
        <w:t>du</w:t>
      </w:r>
      <w:r>
        <w:t xml:space="preserve"> </w:t>
      </w:r>
      <w:r w:rsidRPr="008516D1">
        <w:t>nouveau</w:t>
      </w:r>
      <w:r>
        <w:t xml:space="preserve"> </w:t>
      </w:r>
      <w:r w:rsidR="002F2D61" w:rsidRPr="008516D1">
        <w:t>Code</w:t>
      </w:r>
      <w:r w:rsidR="002F2D61">
        <w:t xml:space="preserve"> </w:t>
      </w:r>
      <w:r w:rsidRPr="008516D1">
        <w:t>en</w:t>
      </w:r>
      <w:r>
        <w:t xml:space="preserve"> </w:t>
      </w:r>
      <w:r w:rsidRPr="008516D1">
        <w:t>mai</w:t>
      </w:r>
      <w:r>
        <w:t xml:space="preserve"> </w:t>
      </w:r>
      <w:r w:rsidRPr="008516D1">
        <w:t>2020.</w:t>
      </w:r>
      <w:r>
        <w:t xml:space="preserve"> </w:t>
      </w:r>
      <w:r w:rsidRPr="008516D1">
        <w:t>L</w:t>
      </w:r>
      <w:r>
        <w:t>’</w:t>
      </w:r>
      <w:r w:rsidRPr="008516D1">
        <w:t>étude</w:t>
      </w:r>
      <w:r>
        <w:t xml:space="preserve"> </w:t>
      </w:r>
      <w:r w:rsidRPr="008516D1">
        <w:t>de</w:t>
      </w:r>
      <w:r>
        <w:t xml:space="preserve"> </w:t>
      </w:r>
      <w:r w:rsidRPr="008516D1">
        <w:t>compatibilité</w:t>
      </w:r>
      <w:r>
        <w:t xml:space="preserve"> </w:t>
      </w:r>
      <w:r w:rsidRPr="008516D1">
        <w:t>a</w:t>
      </w:r>
      <w:r>
        <w:t xml:space="preserve"> </w:t>
      </w:r>
      <w:r w:rsidRPr="008516D1">
        <w:t>notamment</w:t>
      </w:r>
      <w:r>
        <w:t xml:space="preserve"> </w:t>
      </w:r>
      <w:r w:rsidRPr="008516D1">
        <w:t>porté</w:t>
      </w:r>
      <w:r>
        <w:t xml:space="preserve"> </w:t>
      </w:r>
      <w:r w:rsidRPr="008516D1">
        <w:t>sur</w:t>
      </w:r>
      <w:r>
        <w:t xml:space="preserve"> </w:t>
      </w:r>
      <w:r w:rsidRPr="008516D1">
        <w:t>les</w:t>
      </w:r>
      <w:r>
        <w:t xml:space="preserve"> </w:t>
      </w:r>
      <w:r w:rsidRPr="008516D1">
        <w:t>normes</w:t>
      </w:r>
      <w:r>
        <w:t xml:space="preserve"> </w:t>
      </w:r>
      <w:r w:rsidRPr="008516D1">
        <w:t>juridiques</w:t>
      </w:r>
      <w:r>
        <w:t xml:space="preserve"> </w:t>
      </w:r>
      <w:r w:rsidRPr="008516D1">
        <w:t>internationales</w:t>
      </w:r>
      <w:r>
        <w:t xml:space="preserve"> </w:t>
      </w:r>
      <w:r w:rsidRPr="008516D1">
        <w:t>applicables</w:t>
      </w:r>
      <w:r>
        <w:t xml:space="preserve"> </w:t>
      </w:r>
      <w:r w:rsidRPr="008516D1">
        <w:t>aux</w:t>
      </w:r>
      <w:r>
        <w:t xml:space="preserve"> </w:t>
      </w:r>
      <w:r w:rsidRPr="008516D1">
        <w:t>disparitions</w:t>
      </w:r>
      <w:r>
        <w:t xml:space="preserve"> </w:t>
      </w:r>
      <w:r w:rsidRPr="008516D1">
        <w:t>de</w:t>
      </w:r>
      <w:r w:rsidR="00A74554">
        <w:t> </w:t>
      </w:r>
      <w:r w:rsidRPr="008516D1">
        <w:t>personnes</w:t>
      </w:r>
      <w:r w:rsidRPr="008516D1">
        <w:rPr>
          <w:rStyle w:val="Appelnotedebasdep"/>
        </w:rPr>
        <w:footnoteReference w:id="42"/>
      </w:r>
      <w:r w:rsidRPr="008516D1">
        <w:t>.</w:t>
      </w:r>
    </w:p>
    <w:p w14:paraId="6EA42386" w14:textId="011B061F" w:rsidR="00286956" w:rsidRPr="008516D1" w:rsidRDefault="00286956" w:rsidP="0013732F">
      <w:pPr>
        <w:pStyle w:val="H1G"/>
      </w:pPr>
      <w:bookmarkStart w:id="10" w:name="_Toc76740423"/>
      <w:r w:rsidRPr="008516D1">
        <w:tab/>
        <w:t>C.</w:t>
      </w:r>
      <w:r w:rsidRPr="008516D1">
        <w:tab/>
        <w:t>Responsabilité</w:t>
      </w:r>
      <w:r>
        <w:t xml:space="preserve"> </w:t>
      </w:r>
      <w:r w:rsidRPr="008516D1">
        <w:t>pénale</w:t>
      </w:r>
      <w:r>
        <w:t xml:space="preserve"> </w:t>
      </w:r>
      <w:r w:rsidRPr="008516D1">
        <w:t>des</w:t>
      </w:r>
      <w:r>
        <w:t xml:space="preserve"> </w:t>
      </w:r>
      <w:r w:rsidRPr="008516D1">
        <w:t>supérieurs</w:t>
      </w:r>
      <w:r>
        <w:t xml:space="preserve"> </w:t>
      </w:r>
      <w:r w:rsidRPr="008516D1">
        <w:t>hiérarchiques</w:t>
      </w:r>
      <w:r>
        <w:t xml:space="preserve"> </w:t>
      </w:r>
      <w:r w:rsidRPr="008516D1">
        <w:t>et</w:t>
      </w:r>
      <w:r>
        <w:t xml:space="preserve"> </w:t>
      </w:r>
      <w:r w:rsidRPr="008516D1">
        <w:t>devoir</w:t>
      </w:r>
      <w:r>
        <w:t xml:space="preserve"> </w:t>
      </w:r>
      <w:r w:rsidRPr="008516D1">
        <w:t>d</w:t>
      </w:r>
      <w:r>
        <w:t>’</w:t>
      </w:r>
      <w:r w:rsidRPr="008516D1">
        <w:t>obéissance</w:t>
      </w:r>
      <w:r>
        <w:t xml:space="preserve"> </w:t>
      </w:r>
      <w:r w:rsidRPr="008516D1">
        <w:t>(</w:t>
      </w:r>
      <w:r w:rsidR="003A61DD">
        <w:t>art. </w:t>
      </w:r>
      <w:r w:rsidRPr="008516D1">
        <w:t>6)</w:t>
      </w:r>
      <w:bookmarkEnd w:id="10"/>
    </w:p>
    <w:p w14:paraId="29F3C8BD" w14:textId="586876B7" w:rsidR="00286956" w:rsidRPr="008516D1" w:rsidRDefault="00286956" w:rsidP="0013732F">
      <w:pPr>
        <w:pStyle w:val="SingleTxtG"/>
      </w:pPr>
      <w:r w:rsidRPr="008516D1">
        <w:t>15.</w:t>
      </w:r>
      <w:r w:rsidRPr="008516D1">
        <w:tab/>
        <w:t>Concernant</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15</w:t>
      </w:r>
      <w:r w:rsidR="00A74554">
        <w:t> e)</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les</w:t>
      </w:r>
      <w:r>
        <w:t xml:space="preserve"> </w:t>
      </w:r>
      <w:r w:rsidRPr="008516D1">
        <w:t>peines</w:t>
      </w:r>
      <w:r>
        <w:t xml:space="preserve"> </w:t>
      </w:r>
      <w:r w:rsidRPr="008516D1">
        <w:t>applicables</w:t>
      </w:r>
      <w:r>
        <w:t xml:space="preserve"> </w:t>
      </w:r>
      <w:r w:rsidRPr="008516D1">
        <w:t>aux</w:t>
      </w:r>
      <w:r>
        <w:t xml:space="preserve"> </w:t>
      </w:r>
      <w:r w:rsidRPr="008516D1">
        <w:t>auteurs</w:t>
      </w:r>
      <w:r>
        <w:t xml:space="preserve"> </w:t>
      </w:r>
      <w:r w:rsidRPr="008516D1">
        <w:t>de</w:t>
      </w:r>
      <w:r>
        <w:t xml:space="preserve"> </w:t>
      </w:r>
      <w:r w:rsidRPr="008516D1">
        <w:t>toutes</w:t>
      </w:r>
      <w:r>
        <w:t xml:space="preserve"> </w:t>
      </w:r>
      <w:r w:rsidRPr="008516D1">
        <w:t>les</w:t>
      </w:r>
      <w:r>
        <w:t xml:space="preserve"> </w:t>
      </w:r>
      <w:r w:rsidRPr="008516D1">
        <w:t>formes</w:t>
      </w:r>
      <w:r>
        <w:t xml:space="preserve"> </w:t>
      </w:r>
      <w:r w:rsidRPr="008516D1">
        <w:t>de</w:t>
      </w:r>
      <w:r>
        <w:t xml:space="preserve"> </w:t>
      </w:r>
      <w:r w:rsidRPr="008516D1">
        <w:t>disparition</w:t>
      </w:r>
      <w:r>
        <w:t xml:space="preserve"> </w:t>
      </w:r>
      <w:r w:rsidRPr="008516D1">
        <w:t>forcée</w:t>
      </w:r>
      <w:r>
        <w:t xml:space="preserve"> </w:t>
      </w:r>
      <w:r w:rsidRPr="008516D1">
        <w:t>visées</w:t>
      </w:r>
      <w:r>
        <w:t xml:space="preserve"> </w:t>
      </w:r>
      <w:r w:rsidRPr="008516D1">
        <w:t>à</w:t>
      </w:r>
      <w:r>
        <w:t xml:space="preserve"> </w:t>
      </w:r>
      <w:r w:rsidRPr="008516D1">
        <w:t>l</w:t>
      </w:r>
      <w:r>
        <w:t>’</w:t>
      </w:r>
      <w:r w:rsidRPr="008516D1">
        <w:t>alinéa</w:t>
      </w:r>
      <w:r w:rsidR="00A74554">
        <w:t> a)</w:t>
      </w:r>
      <w:r>
        <w:t xml:space="preserve"> </w:t>
      </w:r>
      <w:r w:rsidRPr="008516D1">
        <w:t>du</w:t>
      </w:r>
      <w:r>
        <w:t xml:space="preserve"> </w:t>
      </w:r>
      <w:r w:rsidRPr="008516D1">
        <w:t>paragraphe</w:t>
      </w:r>
      <w:r>
        <w:t xml:space="preserve"> </w:t>
      </w:r>
      <w:r w:rsidRPr="008516D1">
        <w:t>1</w:t>
      </w:r>
      <w:r>
        <w:t xml:space="preserve"> </w:t>
      </w:r>
      <w:r w:rsidRPr="008516D1">
        <w:t>de</w:t>
      </w:r>
      <w:r>
        <w:t xml:space="preserve"> </w:t>
      </w:r>
      <w:r w:rsidRPr="008516D1">
        <w:t>l</w:t>
      </w:r>
      <w:r>
        <w:t>’</w:t>
      </w:r>
      <w:r w:rsidRPr="008516D1">
        <w:t>article</w:t>
      </w:r>
      <w:r>
        <w:t xml:space="preserve"> </w:t>
      </w:r>
      <w:r w:rsidRPr="008516D1">
        <w:t>6</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à</w:t>
      </w:r>
      <w:r>
        <w:t xml:space="preserve"> </w:t>
      </w:r>
      <w:r w:rsidRPr="008516D1">
        <w:t>l</w:t>
      </w:r>
      <w:r>
        <w:t>’</w:t>
      </w:r>
      <w:r w:rsidRPr="008516D1">
        <w:t>article</w:t>
      </w:r>
      <w:r>
        <w:t xml:space="preserve"> </w:t>
      </w:r>
      <w:r w:rsidRPr="008516D1">
        <w:t>3</w:t>
      </w:r>
      <w:r>
        <w:t xml:space="preserve"> </w:t>
      </w:r>
      <w:r w:rsidRPr="008516D1">
        <w:t>de</w:t>
      </w:r>
      <w:r>
        <w:t xml:space="preserve"> </w:t>
      </w:r>
      <w:r w:rsidRPr="008516D1">
        <w:t>la</w:t>
      </w:r>
      <w:r>
        <w:t xml:space="preserve"> </w:t>
      </w:r>
      <w:r w:rsidRPr="008516D1">
        <w:t>Convention</w:t>
      </w:r>
      <w:r>
        <w:t xml:space="preserve"> </w:t>
      </w:r>
      <w:r w:rsidRPr="008516D1">
        <w:t>interaméricaine</w:t>
      </w:r>
      <w:r>
        <w:t xml:space="preserve"> </w:t>
      </w:r>
      <w:r w:rsidRPr="008516D1">
        <w:t>sur</w:t>
      </w:r>
      <w:r>
        <w:t xml:space="preserve"> </w:t>
      </w:r>
      <w:r w:rsidRPr="008516D1">
        <w:t>la</w:t>
      </w:r>
      <w:r>
        <w:t xml:space="preserve"> </w:t>
      </w:r>
      <w:r w:rsidRPr="008516D1">
        <w:t>disparition</w:t>
      </w:r>
      <w:r>
        <w:t xml:space="preserve"> </w:t>
      </w:r>
      <w:r w:rsidRPr="008516D1">
        <w:t>forcée</w:t>
      </w:r>
      <w:r>
        <w:t xml:space="preserve"> </w:t>
      </w:r>
      <w:r w:rsidRPr="008516D1">
        <w:t>des</w:t>
      </w:r>
      <w:r>
        <w:t xml:space="preserve"> </w:t>
      </w:r>
      <w:r w:rsidRPr="008516D1">
        <w:t>personnes,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les</w:t>
      </w:r>
      <w:r>
        <w:t xml:space="preserve"> </w:t>
      </w:r>
      <w:r w:rsidRPr="008516D1">
        <w:t>articles</w:t>
      </w:r>
      <w:r>
        <w:t xml:space="preserve"> </w:t>
      </w:r>
      <w:r w:rsidRPr="008516D1">
        <w:t>24,</w:t>
      </w:r>
      <w:r>
        <w:t xml:space="preserve"> </w:t>
      </w:r>
      <w:r w:rsidRPr="008516D1">
        <w:t>25,</w:t>
      </w:r>
      <w:r>
        <w:t xml:space="preserve"> </w:t>
      </w:r>
      <w:r w:rsidRPr="008516D1">
        <w:t>26</w:t>
      </w:r>
      <w:r>
        <w:t xml:space="preserve"> </w:t>
      </w:r>
      <w:r w:rsidRPr="008516D1">
        <w:t>et</w:t>
      </w:r>
      <w:r>
        <w:t xml:space="preserve"> </w:t>
      </w:r>
      <w:r w:rsidRPr="008516D1">
        <w:t>27</w:t>
      </w:r>
      <w:r>
        <w:t xml:space="preserve"> </w:t>
      </w:r>
      <w:r w:rsidRPr="008516D1">
        <w:t>du</w:t>
      </w:r>
      <w:r>
        <w:t xml:space="preserve"> </w:t>
      </w:r>
      <w:r w:rsidRPr="008516D1">
        <w:t>Code</w:t>
      </w:r>
      <w:r>
        <w:t xml:space="preserve"> </w:t>
      </w:r>
      <w:r w:rsidRPr="008516D1">
        <w:t>pénal</w:t>
      </w:r>
      <w:r>
        <w:t xml:space="preserve"> </w:t>
      </w:r>
      <w:r w:rsidRPr="008516D1">
        <w:t>disposent</w:t>
      </w:r>
      <w:r>
        <w:t xml:space="preserve"> </w:t>
      </w:r>
      <w:r w:rsidRPr="008516D1">
        <w:t>que</w:t>
      </w:r>
      <w:r>
        <w:t xml:space="preserve"> </w:t>
      </w:r>
      <w:r w:rsidRPr="008516D1">
        <w:t>les</w:t>
      </w:r>
      <w:r>
        <w:t xml:space="preserve"> </w:t>
      </w:r>
      <w:r w:rsidRPr="008516D1">
        <w:t>personnes</w:t>
      </w:r>
      <w:r>
        <w:t xml:space="preserve"> </w:t>
      </w:r>
      <w:r w:rsidRPr="008516D1">
        <w:t>ayant</w:t>
      </w:r>
      <w:r>
        <w:t xml:space="preserve"> </w:t>
      </w:r>
      <w:r w:rsidRPr="008516D1">
        <w:t>commis</w:t>
      </w:r>
      <w:r>
        <w:t xml:space="preserve"> </w:t>
      </w:r>
      <w:r w:rsidRPr="008516D1">
        <w:t>de</w:t>
      </w:r>
      <w:r>
        <w:t xml:space="preserve"> </w:t>
      </w:r>
      <w:r w:rsidRPr="008516D1">
        <w:t>tels</w:t>
      </w:r>
      <w:r>
        <w:t xml:space="preserve"> </w:t>
      </w:r>
      <w:r w:rsidRPr="008516D1">
        <w:t>actes,</w:t>
      </w:r>
      <w:r>
        <w:t xml:space="preserve"> </w:t>
      </w:r>
      <w:r w:rsidRPr="008516D1">
        <w:t>en</w:t>
      </w:r>
      <w:r>
        <w:t xml:space="preserve"> </w:t>
      </w:r>
      <w:r w:rsidRPr="008516D1">
        <w:t>tant</w:t>
      </w:r>
      <w:r>
        <w:t xml:space="preserve"> </w:t>
      </w:r>
      <w:r w:rsidRPr="008516D1">
        <w:t>qu</w:t>
      </w:r>
      <w:r>
        <w:t>’</w:t>
      </w:r>
      <w:r w:rsidRPr="008516D1">
        <w:t>auteurs,</w:t>
      </w:r>
      <w:r>
        <w:t xml:space="preserve"> </w:t>
      </w:r>
      <w:r w:rsidRPr="008516D1">
        <w:t>coauteurs,</w:t>
      </w:r>
      <w:r>
        <w:t xml:space="preserve"> </w:t>
      </w:r>
      <w:r w:rsidRPr="008516D1">
        <w:t>instigateurs,</w:t>
      </w:r>
      <w:r>
        <w:t xml:space="preserve"> </w:t>
      </w:r>
      <w:r w:rsidRPr="008516D1">
        <w:t>complices</w:t>
      </w:r>
      <w:r>
        <w:t xml:space="preserve"> </w:t>
      </w:r>
      <w:r w:rsidRPr="008516D1">
        <w:t>ou</w:t>
      </w:r>
      <w:r>
        <w:t xml:space="preserve"> </w:t>
      </w:r>
      <w:r w:rsidRPr="008516D1">
        <w:t>personnes</w:t>
      </w:r>
      <w:r>
        <w:t xml:space="preserve"> </w:t>
      </w:r>
      <w:r w:rsidRPr="008516D1">
        <w:t>agissant</w:t>
      </w:r>
      <w:r>
        <w:t xml:space="preserve"> </w:t>
      </w:r>
      <w:r w:rsidRPr="008516D1">
        <w:t>pour</w:t>
      </w:r>
      <w:r>
        <w:t xml:space="preserve"> </w:t>
      </w:r>
      <w:r w:rsidRPr="008516D1">
        <w:t>le</w:t>
      </w:r>
      <w:r>
        <w:t xml:space="preserve"> </w:t>
      </w:r>
      <w:r w:rsidRPr="008516D1">
        <w:t>compte</w:t>
      </w:r>
      <w:r>
        <w:t xml:space="preserve"> </w:t>
      </w:r>
      <w:r w:rsidRPr="008516D1">
        <w:t>d</w:t>
      </w:r>
      <w:r>
        <w:t>’</w:t>
      </w:r>
      <w:r w:rsidRPr="008516D1">
        <w:t>autrui,</w:t>
      </w:r>
      <w:r>
        <w:t xml:space="preserve"> </w:t>
      </w:r>
      <w:r w:rsidRPr="008516D1">
        <w:t>en</w:t>
      </w:r>
      <w:r>
        <w:t xml:space="preserve"> </w:t>
      </w:r>
      <w:r w:rsidRPr="008516D1">
        <w:t>sont</w:t>
      </w:r>
      <w:r>
        <w:t xml:space="preserve"> </w:t>
      </w:r>
      <w:r w:rsidRPr="008516D1">
        <w:t>pénalement</w:t>
      </w:r>
      <w:r>
        <w:t xml:space="preserve"> </w:t>
      </w:r>
      <w:r w:rsidRPr="008516D1">
        <w:t>responsables.</w:t>
      </w:r>
    </w:p>
    <w:p w14:paraId="0868B449" w14:textId="77777777" w:rsidR="00286956" w:rsidRPr="008516D1" w:rsidRDefault="00286956" w:rsidP="0013732F">
      <w:pPr>
        <w:pStyle w:val="SingleTxtG"/>
      </w:pPr>
      <w:r w:rsidRPr="008516D1">
        <w:t>16.</w:t>
      </w:r>
      <w:r w:rsidRPr="008516D1">
        <w:tab/>
        <w:t>Il</w:t>
      </w:r>
      <w:r>
        <w:t xml:space="preserve"> </w:t>
      </w:r>
      <w:r w:rsidRPr="008516D1">
        <w:t>est</w:t>
      </w:r>
      <w:r>
        <w:t xml:space="preserve"> </w:t>
      </w:r>
      <w:r w:rsidRPr="008516D1">
        <w:t>important</w:t>
      </w:r>
      <w:r>
        <w:t xml:space="preserve"> </w:t>
      </w:r>
      <w:r w:rsidRPr="008516D1">
        <w:t>de</w:t>
      </w:r>
      <w:r>
        <w:t xml:space="preserve"> </w:t>
      </w:r>
      <w:r w:rsidRPr="008516D1">
        <w:t>signaler</w:t>
      </w:r>
      <w:r>
        <w:t xml:space="preserve"> </w:t>
      </w:r>
      <w:r w:rsidRPr="008516D1">
        <w:t>qu</w:t>
      </w:r>
      <w:r>
        <w:t>’</w:t>
      </w:r>
      <w:r w:rsidRPr="008516D1">
        <w:t>en</w:t>
      </w:r>
      <w:r>
        <w:t xml:space="preserve"> </w:t>
      </w:r>
      <w:r w:rsidRPr="008516D1">
        <w:t>cas</w:t>
      </w:r>
      <w:r>
        <w:t xml:space="preserve"> </w:t>
      </w:r>
      <w:r w:rsidRPr="008516D1">
        <w:t>de</w:t>
      </w:r>
      <w:r>
        <w:t xml:space="preserve"> </w:t>
      </w:r>
      <w:r w:rsidRPr="008516D1">
        <w:t>disparition</w:t>
      </w:r>
      <w:r>
        <w:t xml:space="preserve"> </w:t>
      </w:r>
      <w:r w:rsidRPr="008516D1">
        <w:t>forcée,</w:t>
      </w:r>
      <w:r>
        <w:t xml:space="preserve"> </w:t>
      </w:r>
      <w:r w:rsidRPr="008516D1">
        <w:t>le</w:t>
      </w:r>
      <w:r>
        <w:t xml:space="preserve"> </w:t>
      </w:r>
      <w:r w:rsidRPr="008516D1">
        <w:t>ministère</w:t>
      </w:r>
      <w:r>
        <w:t xml:space="preserve"> </w:t>
      </w:r>
      <w:r w:rsidRPr="008516D1">
        <w:t>public</w:t>
      </w:r>
      <w:r>
        <w:t xml:space="preserve"> </w:t>
      </w:r>
      <w:r w:rsidRPr="008516D1">
        <w:t>est</w:t>
      </w:r>
      <w:r>
        <w:t xml:space="preserve"> </w:t>
      </w:r>
      <w:r w:rsidRPr="008516D1">
        <w:t>tenu</w:t>
      </w:r>
      <w:r>
        <w:t xml:space="preserve"> </w:t>
      </w:r>
      <w:r w:rsidRPr="008516D1">
        <w:t>d</w:t>
      </w:r>
      <w:r>
        <w:t>’</w:t>
      </w:r>
      <w:r w:rsidRPr="008516D1">
        <w:t>exercer</w:t>
      </w:r>
      <w:r>
        <w:t xml:space="preserve"> </w:t>
      </w:r>
      <w:r w:rsidRPr="008516D1">
        <w:t>l</w:t>
      </w:r>
      <w:r>
        <w:t>’</w:t>
      </w:r>
      <w:r w:rsidRPr="008516D1">
        <w:t>action</w:t>
      </w:r>
      <w:r>
        <w:t xml:space="preserve"> </w:t>
      </w:r>
      <w:r w:rsidRPr="008516D1">
        <w:t>publique,</w:t>
      </w:r>
      <w:r>
        <w:t xml:space="preserve"> </w:t>
      </w:r>
      <w:r w:rsidRPr="008516D1">
        <w:t>d</w:t>
      </w:r>
      <w:r>
        <w:t>’</w:t>
      </w:r>
      <w:r w:rsidRPr="008516D1">
        <w:t>office</w:t>
      </w:r>
      <w:r>
        <w:t xml:space="preserve"> </w:t>
      </w:r>
      <w:r w:rsidRPr="008516D1">
        <w:t>ou</w:t>
      </w:r>
      <w:r>
        <w:t xml:space="preserve"> </w:t>
      </w:r>
      <w:r w:rsidRPr="008516D1">
        <w:t>à</w:t>
      </w:r>
      <w:r>
        <w:t xml:space="preserve"> </w:t>
      </w:r>
      <w:r w:rsidRPr="008516D1">
        <w:t>la</w:t>
      </w:r>
      <w:r>
        <w:t xml:space="preserve"> </w:t>
      </w:r>
      <w:r w:rsidRPr="008516D1">
        <w:t>demande</w:t>
      </w:r>
      <w:r>
        <w:t xml:space="preserve"> </w:t>
      </w:r>
      <w:r w:rsidRPr="008516D1">
        <w:t>de</w:t>
      </w:r>
      <w:r>
        <w:t xml:space="preserve"> </w:t>
      </w:r>
      <w:r w:rsidRPr="008516D1">
        <w:t>la</w:t>
      </w:r>
      <w:r>
        <w:t xml:space="preserve"> </w:t>
      </w:r>
      <w:r w:rsidRPr="008516D1">
        <w:t>partie</w:t>
      </w:r>
      <w:r>
        <w:t xml:space="preserve"> </w:t>
      </w:r>
      <w:r w:rsidRPr="008516D1">
        <w:t>intéressée</w:t>
      </w:r>
      <w:r w:rsidRPr="008516D1">
        <w:rPr>
          <w:rStyle w:val="Appelnotedebasdep"/>
        </w:rPr>
        <w:footnoteReference w:id="43"/>
      </w:r>
      <w:r w:rsidRPr="008516D1">
        <w:t>.</w:t>
      </w:r>
      <w:r>
        <w:t xml:space="preserve"> </w:t>
      </w:r>
      <w:r w:rsidRPr="008516D1">
        <w:t>Même</w:t>
      </w:r>
      <w:r>
        <w:t xml:space="preserve"> </w:t>
      </w:r>
      <w:r w:rsidRPr="008516D1">
        <w:t>si</w:t>
      </w:r>
      <w:r>
        <w:t xml:space="preserve"> </w:t>
      </w:r>
      <w:r w:rsidRPr="008516D1">
        <w:t>les</w:t>
      </w:r>
      <w:r>
        <w:t xml:space="preserve"> </w:t>
      </w:r>
      <w:r w:rsidRPr="008516D1">
        <w:t>victimes</w:t>
      </w:r>
      <w:r>
        <w:t xml:space="preserve"> </w:t>
      </w:r>
      <w:r w:rsidRPr="008516D1">
        <w:t>se</w:t>
      </w:r>
      <w:r>
        <w:t xml:space="preserve"> </w:t>
      </w:r>
      <w:r w:rsidRPr="008516D1">
        <w:t>sont</w:t>
      </w:r>
      <w:r>
        <w:t xml:space="preserve"> </w:t>
      </w:r>
      <w:r w:rsidRPr="008516D1">
        <w:t>constituées</w:t>
      </w:r>
      <w:r>
        <w:t xml:space="preserve"> </w:t>
      </w:r>
      <w:r w:rsidRPr="008516D1">
        <w:t>accusateur</w:t>
      </w:r>
      <w:r>
        <w:t xml:space="preserve"> </w:t>
      </w:r>
      <w:r w:rsidRPr="008516D1">
        <w:t>privé,</w:t>
      </w:r>
      <w:r>
        <w:t xml:space="preserve"> </w:t>
      </w:r>
      <w:r w:rsidRPr="008516D1">
        <w:t>il</w:t>
      </w:r>
      <w:r>
        <w:t xml:space="preserve"> </w:t>
      </w:r>
      <w:r w:rsidRPr="008516D1">
        <w:t>doit</w:t>
      </w:r>
      <w:r>
        <w:t xml:space="preserve"> </w:t>
      </w:r>
      <w:r w:rsidRPr="008516D1">
        <w:t>exercer</w:t>
      </w:r>
      <w:r>
        <w:t xml:space="preserve"> </w:t>
      </w:r>
      <w:r w:rsidRPr="008516D1">
        <w:t>les</w:t>
      </w:r>
      <w:r>
        <w:t xml:space="preserve"> </w:t>
      </w:r>
      <w:r w:rsidRPr="008516D1">
        <w:t>fonctions</w:t>
      </w:r>
      <w:r>
        <w:t xml:space="preserve"> </w:t>
      </w:r>
      <w:r w:rsidRPr="008516D1">
        <w:t>qui</w:t>
      </w:r>
      <w:r>
        <w:t xml:space="preserve"> </w:t>
      </w:r>
      <w:r w:rsidRPr="008516D1">
        <w:t>lui</w:t>
      </w:r>
      <w:r>
        <w:t xml:space="preserve"> </w:t>
      </w:r>
      <w:r w:rsidRPr="008516D1">
        <w:t>sont</w:t>
      </w:r>
      <w:r>
        <w:t xml:space="preserve"> </w:t>
      </w:r>
      <w:r w:rsidRPr="008516D1">
        <w:t>attribuées</w:t>
      </w:r>
      <w:r>
        <w:t xml:space="preserve"> </w:t>
      </w:r>
      <w:r w:rsidRPr="008516D1">
        <w:t>par</w:t>
      </w:r>
      <w:r>
        <w:t xml:space="preserve"> </w:t>
      </w:r>
      <w:r w:rsidRPr="008516D1">
        <w:t>le</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ou</w:t>
      </w:r>
      <w:r>
        <w:t xml:space="preserve"> </w:t>
      </w:r>
      <w:r w:rsidRPr="008516D1">
        <w:t>la</w:t>
      </w:r>
      <w:r>
        <w:t xml:space="preserve"> </w:t>
      </w:r>
      <w:r w:rsidRPr="008516D1">
        <w:t>législation</w:t>
      </w:r>
      <w:r>
        <w:t xml:space="preserve"> </w:t>
      </w:r>
      <w:r w:rsidRPr="008516D1">
        <w:t>en</w:t>
      </w:r>
      <w:r>
        <w:t xml:space="preserve"> </w:t>
      </w:r>
      <w:r w:rsidRPr="008516D1">
        <w:t>la</w:t>
      </w:r>
      <w:r>
        <w:t xml:space="preserve"> </w:t>
      </w:r>
      <w:r w:rsidRPr="008516D1">
        <w:t>matière</w:t>
      </w:r>
      <w:r>
        <w:t xml:space="preserve"> </w:t>
      </w:r>
      <w:r w:rsidRPr="008516D1">
        <w:t>et</w:t>
      </w:r>
      <w:r>
        <w:t xml:space="preserve"> </w:t>
      </w:r>
      <w:r w:rsidRPr="008516D1">
        <w:t>ne</w:t>
      </w:r>
      <w:r>
        <w:t xml:space="preserve"> </w:t>
      </w:r>
      <w:r w:rsidRPr="008516D1">
        <w:t>peut</w:t>
      </w:r>
      <w:r>
        <w:t xml:space="preserve"> </w:t>
      </w:r>
      <w:r w:rsidRPr="008516D1">
        <w:t>être</w:t>
      </w:r>
      <w:r>
        <w:t xml:space="preserve"> </w:t>
      </w:r>
      <w:r w:rsidRPr="008516D1">
        <w:t>exempté</w:t>
      </w:r>
      <w:r>
        <w:t xml:space="preserve"> </w:t>
      </w:r>
      <w:r w:rsidRPr="008516D1">
        <w:t>de</w:t>
      </w:r>
      <w:r>
        <w:t xml:space="preserve"> </w:t>
      </w:r>
      <w:r w:rsidRPr="008516D1">
        <w:t>ses</w:t>
      </w:r>
      <w:r>
        <w:t xml:space="preserve"> </w:t>
      </w:r>
      <w:r w:rsidRPr="008516D1">
        <w:t>responsabilités</w:t>
      </w:r>
      <w:r w:rsidRPr="008516D1">
        <w:rPr>
          <w:rStyle w:val="Appelnotedebasdep"/>
        </w:rPr>
        <w:footnoteReference w:id="44"/>
      </w:r>
      <w:r w:rsidRPr="008516D1">
        <w:t>.</w:t>
      </w:r>
      <w:r>
        <w:t xml:space="preserve"> </w:t>
      </w:r>
      <w:r w:rsidRPr="008516D1">
        <w:t>Ainsi,</w:t>
      </w:r>
      <w:r>
        <w:t xml:space="preserve"> </w:t>
      </w:r>
      <w:r w:rsidRPr="008516D1">
        <w:t>même</w:t>
      </w:r>
      <w:r>
        <w:t xml:space="preserve"> </w:t>
      </w:r>
      <w:r w:rsidRPr="008516D1">
        <w:t>si</w:t>
      </w:r>
      <w:r>
        <w:t xml:space="preserve"> </w:t>
      </w:r>
      <w:r w:rsidRPr="008516D1">
        <w:t>les</w:t>
      </w:r>
      <w:r>
        <w:t xml:space="preserve"> </w:t>
      </w:r>
      <w:r w:rsidRPr="008516D1">
        <w:t>mis</w:t>
      </w:r>
      <w:r>
        <w:t xml:space="preserve"> </w:t>
      </w:r>
      <w:r w:rsidRPr="008516D1">
        <w:t>en</w:t>
      </w:r>
      <w:r>
        <w:t xml:space="preserve"> </w:t>
      </w:r>
      <w:r w:rsidRPr="008516D1">
        <w:t>cause</w:t>
      </w:r>
      <w:r>
        <w:t xml:space="preserve"> </w:t>
      </w:r>
      <w:r w:rsidRPr="008516D1">
        <w:t>collaborent</w:t>
      </w:r>
      <w:r>
        <w:t xml:space="preserve"> </w:t>
      </w:r>
      <w:r w:rsidRPr="008516D1">
        <w:t>à</w:t>
      </w:r>
      <w:r>
        <w:t xml:space="preserve"> </w:t>
      </w:r>
      <w:r w:rsidRPr="008516D1">
        <w:t>l</w:t>
      </w:r>
      <w:r>
        <w:t>’</w:t>
      </w:r>
      <w:r w:rsidRPr="008516D1">
        <w:t>enquête,</w:t>
      </w:r>
      <w:r>
        <w:t xml:space="preserve"> </w:t>
      </w:r>
      <w:r w:rsidRPr="008516D1">
        <w:t>il</w:t>
      </w:r>
      <w:r>
        <w:t xml:space="preserve"> </w:t>
      </w:r>
      <w:r w:rsidRPr="008516D1">
        <w:t>ne</w:t>
      </w:r>
      <w:r>
        <w:t xml:space="preserve"> </w:t>
      </w:r>
      <w:r w:rsidRPr="008516D1">
        <w:t>peut</w:t>
      </w:r>
      <w:r>
        <w:t xml:space="preserve"> </w:t>
      </w:r>
      <w:r w:rsidRPr="008516D1">
        <w:t>s</w:t>
      </w:r>
      <w:r>
        <w:t>’</w:t>
      </w:r>
      <w:r w:rsidRPr="008516D1">
        <w:t>abstenir</w:t>
      </w:r>
      <w:r>
        <w:t xml:space="preserve"> </w:t>
      </w:r>
      <w:r w:rsidRPr="008516D1">
        <w:t>d</w:t>
      </w:r>
      <w:r>
        <w:t>’</w:t>
      </w:r>
      <w:r w:rsidRPr="008516D1">
        <w:t>exercer</w:t>
      </w:r>
      <w:r>
        <w:t xml:space="preserve"> </w:t>
      </w:r>
      <w:r w:rsidRPr="008516D1">
        <w:t>l</w:t>
      </w:r>
      <w:r>
        <w:t>’</w:t>
      </w:r>
      <w:r w:rsidRPr="008516D1">
        <w:t>action</w:t>
      </w:r>
      <w:r>
        <w:t xml:space="preserve"> </w:t>
      </w:r>
      <w:r w:rsidRPr="008516D1">
        <w:t>publique.</w:t>
      </w:r>
    </w:p>
    <w:p w14:paraId="33D8FBC8" w14:textId="6ABE997A" w:rsidR="00286956" w:rsidRPr="008516D1" w:rsidRDefault="00286956" w:rsidP="0013732F">
      <w:pPr>
        <w:pStyle w:val="SingleTxtG"/>
      </w:pPr>
      <w:r w:rsidRPr="008516D1">
        <w:t>17.</w:t>
      </w:r>
      <w:r w:rsidRPr="008516D1">
        <w:tab/>
        <w:t>Le</w:t>
      </w:r>
      <w:r>
        <w:t xml:space="preserve"> </w:t>
      </w:r>
      <w:r w:rsidRPr="008516D1">
        <w:t>nouveau</w:t>
      </w:r>
      <w:r>
        <w:t xml:space="preserve"> </w:t>
      </w:r>
      <w:r w:rsidRPr="008516D1">
        <w:t>Code</w:t>
      </w:r>
      <w:r>
        <w:t xml:space="preserve"> </w:t>
      </w:r>
      <w:r w:rsidRPr="008516D1">
        <w:t>pénal</w:t>
      </w:r>
      <w:r>
        <w:t xml:space="preserve"> </w:t>
      </w:r>
      <w:r w:rsidRPr="008516D1">
        <w:t>dispose</w:t>
      </w:r>
      <w:r>
        <w:t xml:space="preserve"> </w:t>
      </w:r>
      <w:r w:rsidRPr="008516D1">
        <w:t>que</w:t>
      </w:r>
      <w:r>
        <w:t xml:space="preserve"> </w:t>
      </w:r>
      <w:r w:rsidRPr="008516D1">
        <w:t>la</w:t>
      </w:r>
      <w:r>
        <w:t xml:space="preserve"> </w:t>
      </w:r>
      <w:r w:rsidRPr="008516D1">
        <w:t>peine</w:t>
      </w:r>
      <w:r>
        <w:t xml:space="preserve"> </w:t>
      </w:r>
      <w:r w:rsidRPr="008516D1">
        <w:t>applicable</w:t>
      </w:r>
      <w:r>
        <w:t xml:space="preserve"> </w:t>
      </w:r>
      <w:r w:rsidRPr="008516D1">
        <w:t>à</w:t>
      </w:r>
      <w:r>
        <w:t xml:space="preserve"> </w:t>
      </w:r>
      <w:r w:rsidRPr="008516D1">
        <w:t>la</w:t>
      </w:r>
      <w:r>
        <w:t xml:space="preserve"> </w:t>
      </w:r>
      <w:r w:rsidRPr="008516D1">
        <w:t>disparition</w:t>
      </w:r>
      <w:r>
        <w:t xml:space="preserve"> </w:t>
      </w:r>
      <w:r w:rsidRPr="008516D1">
        <w:t>forcée</w:t>
      </w:r>
      <w:r>
        <w:t xml:space="preserve"> </w:t>
      </w:r>
      <w:r w:rsidRPr="008516D1">
        <w:t>ne</w:t>
      </w:r>
      <w:r>
        <w:t xml:space="preserve"> </w:t>
      </w:r>
      <w:r w:rsidRPr="008516D1">
        <w:t>peut</w:t>
      </w:r>
      <w:r>
        <w:t xml:space="preserve"> </w:t>
      </w:r>
      <w:r w:rsidRPr="008516D1">
        <w:t>être</w:t>
      </w:r>
      <w:r>
        <w:t xml:space="preserve"> </w:t>
      </w:r>
      <w:r w:rsidRPr="008516D1">
        <w:t>réduite</w:t>
      </w:r>
      <w:r>
        <w:t xml:space="preserve"> </w:t>
      </w:r>
      <w:r w:rsidRPr="008516D1">
        <w:t>d</w:t>
      </w:r>
      <w:r>
        <w:t>’</w:t>
      </w:r>
      <w:r w:rsidRPr="008516D1">
        <w:t>un</w:t>
      </w:r>
      <w:r>
        <w:t xml:space="preserve"> </w:t>
      </w:r>
      <w:r w:rsidRPr="008516D1">
        <w:t>tiers</w:t>
      </w:r>
      <w:r>
        <w:t xml:space="preserve"> </w:t>
      </w:r>
      <w:r w:rsidRPr="008516D1">
        <w:t>(1/3)</w:t>
      </w:r>
      <w:r>
        <w:t xml:space="preserve"> </w:t>
      </w:r>
      <w:r w:rsidRPr="008516D1">
        <w:t>que</w:t>
      </w:r>
      <w:r>
        <w:t xml:space="preserve"> </w:t>
      </w:r>
      <w:r w:rsidRPr="008516D1">
        <w:t>dans</w:t>
      </w:r>
      <w:r>
        <w:t xml:space="preserve"> </w:t>
      </w:r>
      <w:r w:rsidRPr="008516D1">
        <w:t>la</w:t>
      </w:r>
      <w:r>
        <w:t xml:space="preserve"> </w:t>
      </w:r>
      <w:r w:rsidRPr="008516D1">
        <w:t>circonstance</w:t>
      </w:r>
      <w:r>
        <w:t xml:space="preserve"> </w:t>
      </w:r>
      <w:r w:rsidRPr="008516D1">
        <w:t>atténuante</w:t>
      </w:r>
      <w:r>
        <w:t xml:space="preserve"> </w:t>
      </w:r>
      <w:r w:rsidRPr="008516D1">
        <w:t>où,</w:t>
      </w:r>
      <w:r>
        <w:t xml:space="preserve"> </w:t>
      </w:r>
      <w:r w:rsidRPr="008516D1">
        <w:t>dans</w:t>
      </w:r>
      <w:r>
        <w:t xml:space="preserve"> </w:t>
      </w:r>
      <w:r w:rsidRPr="008516D1">
        <w:t>un</w:t>
      </w:r>
      <w:r>
        <w:t xml:space="preserve"> </w:t>
      </w:r>
      <w:r w:rsidRPr="008516D1">
        <w:t>délai</w:t>
      </w:r>
      <w:r>
        <w:t xml:space="preserve"> </w:t>
      </w:r>
      <w:r w:rsidRPr="008516D1">
        <w:t>ne</w:t>
      </w:r>
      <w:r>
        <w:t xml:space="preserve"> </w:t>
      </w:r>
      <w:r w:rsidRPr="008516D1">
        <w:t>dépassant</w:t>
      </w:r>
      <w:r>
        <w:t xml:space="preserve"> </w:t>
      </w:r>
      <w:r w:rsidRPr="008516D1">
        <w:t>pas</w:t>
      </w:r>
      <w:r>
        <w:t xml:space="preserve"> </w:t>
      </w:r>
      <w:r w:rsidR="002F2D61">
        <w:t>soixante-douze</w:t>
      </w:r>
      <w:r>
        <w:t xml:space="preserve"> </w:t>
      </w:r>
      <w:r w:rsidRPr="008516D1">
        <w:t>heures,</w:t>
      </w:r>
      <w:r>
        <w:t xml:space="preserve"> </w:t>
      </w:r>
      <w:r w:rsidRPr="008516D1">
        <w:t>l</w:t>
      </w:r>
      <w:r>
        <w:t>’</w:t>
      </w:r>
      <w:r w:rsidRPr="008516D1">
        <w:t>auteur</w:t>
      </w:r>
      <w:r>
        <w:t xml:space="preserve"> </w:t>
      </w:r>
      <w:r w:rsidRPr="008516D1">
        <w:t>libère</w:t>
      </w:r>
      <w:r>
        <w:t xml:space="preserve"> </w:t>
      </w:r>
      <w:r w:rsidRPr="008516D1">
        <w:t>volontairement</w:t>
      </w:r>
      <w:r>
        <w:t xml:space="preserve"> </w:t>
      </w:r>
      <w:r w:rsidRPr="008516D1">
        <w:t>la</w:t>
      </w:r>
      <w:r>
        <w:t xml:space="preserve"> </w:t>
      </w:r>
      <w:r w:rsidRPr="008516D1">
        <w:t>victime</w:t>
      </w:r>
      <w:r>
        <w:t xml:space="preserve"> </w:t>
      </w:r>
      <w:r w:rsidRPr="008516D1">
        <w:t>ou,</w:t>
      </w:r>
      <w:r>
        <w:t xml:space="preserve"> </w:t>
      </w:r>
      <w:r w:rsidRPr="008516D1">
        <w:t>dans</w:t>
      </w:r>
      <w:r>
        <w:t xml:space="preserve"> </w:t>
      </w:r>
      <w:r w:rsidRPr="008516D1">
        <w:t>le</w:t>
      </w:r>
      <w:r>
        <w:t xml:space="preserve"> </w:t>
      </w:r>
      <w:r w:rsidRPr="008516D1">
        <w:t>cadre</w:t>
      </w:r>
      <w:r>
        <w:t xml:space="preserve"> </w:t>
      </w:r>
      <w:r w:rsidRPr="008516D1">
        <w:t>d</w:t>
      </w:r>
      <w:r>
        <w:t>’</w:t>
      </w:r>
      <w:r w:rsidRPr="008516D1">
        <w:t>une</w:t>
      </w:r>
      <w:r>
        <w:t xml:space="preserve"> </w:t>
      </w:r>
      <w:r w:rsidRPr="008516D1">
        <w:t>négociation,</w:t>
      </w:r>
      <w:r>
        <w:t xml:space="preserve"> </w:t>
      </w:r>
      <w:r w:rsidRPr="008516D1">
        <w:t>fournit</w:t>
      </w:r>
      <w:r>
        <w:t xml:space="preserve"> </w:t>
      </w:r>
      <w:r w:rsidRPr="008516D1">
        <w:t>des</w:t>
      </w:r>
      <w:r>
        <w:t xml:space="preserve"> </w:t>
      </w:r>
      <w:r w:rsidRPr="008516D1">
        <w:t>indications</w:t>
      </w:r>
      <w:r>
        <w:t xml:space="preserve"> </w:t>
      </w:r>
      <w:r w:rsidRPr="008516D1">
        <w:t>permettant</w:t>
      </w:r>
      <w:r>
        <w:t xml:space="preserve"> </w:t>
      </w:r>
      <w:r w:rsidRPr="008516D1">
        <w:t>de</w:t>
      </w:r>
      <w:r>
        <w:t xml:space="preserve"> </w:t>
      </w:r>
      <w:r w:rsidRPr="008516D1">
        <w:t>la</w:t>
      </w:r>
      <w:r>
        <w:t xml:space="preserve"> </w:t>
      </w:r>
      <w:r w:rsidRPr="008516D1">
        <w:t>localiser,</w:t>
      </w:r>
      <w:r>
        <w:t xml:space="preserve"> </w:t>
      </w:r>
      <w:r w:rsidRPr="008516D1">
        <w:t>dès</w:t>
      </w:r>
      <w:r>
        <w:t xml:space="preserve"> </w:t>
      </w:r>
      <w:r w:rsidRPr="008516D1">
        <w:t>lors</w:t>
      </w:r>
      <w:r>
        <w:t xml:space="preserve"> </w:t>
      </w:r>
      <w:r w:rsidRPr="008516D1">
        <w:t>qu</w:t>
      </w:r>
      <w:r>
        <w:t>’</w:t>
      </w:r>
      <w:r w:rsidRPr="008516D1">
        <w:t>il</w:t>
      </w:r>
      <w:r>
        <w:t xml:space="preserve"> </w:t>
      </w:r>
      <w:r w:rsidRPr="008516D1">
        <w:t>n</w:t>
      </w:r>
      <w:r>
        <w:t>’</w:t>
      </w:r>
      <w:r w:rsidRPr="008516D1">
        <w:t>a</w:t>
      </w:r>
      <w:r>
        <w:t xml:space="preserve"> </w:t>
      </w:r>
      <w:r w:rsidRPr="008516D1">
        <w:t>pas</w:t>
      </w:r>
      <w:r>
        <w:t xml:space="preserve"> </w:t>
      </w:r>
      <w:r w:rsidRPr="008516D1">
        <w:t>été</w:t>
      </w:r>
      <w:r>
        <w:t xml:space="preserve"> </w:t>
      </w:r>
      <w:r w:rsidRPr="008516D1">
        <w:t>porté</w:t>
      </w:r>
      <w:r>
        <w:t xml:space="preserve"> </w:t>
      </w:r>
      <w:r w:rsidRPr="008516D1">
        <w:t>atteinte</w:t>
      </w:r>
      <w:r>
        <w:t xml:space="preserve"> </w:t>
      </w:r>
      <w:r w:rsidRPr="008516D1">
        <w:t>à</w:t>
      </w:r>
      <w:r>
        <w:t xml:space="preserve"> </w:t>
      </w:r>
      <w:r w:rsidRPr="008516D1">
        <w:t>la</w:t>
      </w:r>
      <w:r>
        <w:t xml:space="preserve"> </w:t>
      </w:r>
      <w:r w:rsidRPr="008516D1">
        <w:t>santé</w:t>
      </w:r>
      <w:r>
        <w:t xml:space="preserve"> </w:t>
      </w:r>
      <w:r w:rsidRPr="008516D1">
        <w:t>et</w:t>
      </w:r>
      <w:r>
        <w:t xml:space="preserve"> </w:t>
      </w:r>
      <w:r w:rsidRPr="008516D1">
        <w:t>à</w:t>
      </w:r>
      <w:r>
        <w:t xml:space="preserve"> </w:t>
      </w:r>
      <w:r w:rsidRPr="008516D1">
        <w:t>l</w:t>
      </w:r>
      <w:r>
        <w:t>’</w:t>
      </w:r>
      <w:r w:rsidRPr="008516D1">
        <w:t>intégrité</w:t>
      </w:r>
      <w:r>
        <w:t xml:space="preserve"> </w:t>
      </w:r>
      <w:r w:rsidRPr="008516D1">
        <w:t>physique</w:t>
      </w:r>
      <w:r>
        <w:t xml:space="preserve"> </w:t>
      </w:r>
      <w:r w:rsidRPr="008516D1">
        <w:t>de</w:t>
      </w:r>
      <w:r>
        <w:t xml:space="preserve"> </w:t>
      </w:r>
      <w:r w:rsidRPr="008516D1">
        <w:t>la</w:t>
      </w:r>
      <w:r>
        <w:t xml:space="preserve"> </w:t>
      </w:r>
      <w:r w:rsidRPr="008516D1">
        <w:t>victime,</w:t>
      </w:r>
      <w:r>
        <w:t xml:space="preserve"> </w:t>
      </w:r>
      <w:r w:rsidRPr="008516D1">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7</w:t>
      </w:r>
      <w:r>
        <w:t xml:space="preserve"> </w:t>
      </w:r>
      <w:r w:rsidRPr="008516D1">
        <w:t>(</w:t>
      </w:r>
      <w:r w:rsidR="003A61DD">
        <w:t>par. </w:t>
      </w:r>
      <w:r w:rsidRPr="008516D1">
        <w:t>2</w:t>
      </w:r>
      <w:r w:rsidR="00A74554">
        <w:t> a)</w:t>
      </w:r>
      <w:r w:rsidRPr="008516D1">
        <w:t>)</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de</w:t>
      </w:r>
      <w:r>
        <w:t xml:space="preserve"> </w:t>
      </w:r>
      <w:r w:rsidRPr="008516D1">
        <w:t>l</w:t>
      </w:r>
      <w:r>
        <w:t>’</w:t>
      </w:r>
      <w:r w:rsidRPr="008516D1">
        <w:t>article</w:t>
      </w:r>
      <w:r>
        <w:t xml:space="preserve"> </w:t>
      </w:r>
      <w:r w:rsidRPr="008516D1">
        <w:t>3</w:t>
      </w:r>
      <w:r>
        <w:t xml:space="preserve"> </w:t>
      </w:r>
      <w:r w:rsidRPr="008516D1">
        <w:t>de</w:t>
      </w:r>
      <w:r>
        <w:t xml:space="preserve"> </w:t>
      </w:r>
      <w:r w:rsidRPr="008516D1">
        <w:t>la</w:t>
      </w:r>
      <w:r>
        <w:t xml:space="preserve"> </w:t>
      </w:r>
      <w:r w:rsidRPr="008516D1">
        <w:t>Convention</w:t>
      </w:r>
      <w:r>
        <w:t xml:space="preserve"> </w:t>
      </w:r>
      <w:r w:rsidRPr="008516D1">
        <w:t>interaméricaine</w:t>
      </w:r>
      <w:r>
        <w:t xml:space="preserve"> </w:t>
      </w:r>
      <w:r w:rsidRPr="008516D1">
        <w:t>sur</w:t>
      </w:r>
      <w:r>
        <w:t xml:space="preserve"> </w:t>
      </w:r>
      <w:r w:rsidRPr="008516D1">
        <w:t>la</w:t>
      </w:r>
      <w:r>
        <w:t xml:space="preserve"> </w:t>
      </w:r>
      <w:r w:rsidRPr="008516D1">
        <w:t>disparition</w:t>
      </w:r>
      <w:r>
        <w:t xml:space="preserve"> </w:t>
      </w:r>
      <w:r w:rsidRPr="008516D1">
        <w:t>forcée</w:t>
      </w:r>
      <w:r>
        <w:t xml:space="preserve"> </w:t>
      </w:r>
      <w:r w:rsidRPr="008516D1">
        <w:t>des</w:t>
      </w:r>
      <w:r>
        <w:t xml:space="preserve"> </w:t>
      </w:r>
      <w:r w:rsidRPr="008516D1">
        <w:t>personnes.</w:t>
      </w:r>
    </w:p>
    <w:p w14:paraId="26400864" w14:textId="366C5BD6" w:rsidR="00286956" w:rsidRPr="008516D1" w:rsidRDefault="00286956" w:rsidP="0013732F">
      <w:pPr>
        <w:pStyle w:val="SingleTxtG"/>
      </w:pPr>
      <w:r w:rsidRPr="008516D1">
        <w:t>18.</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17</w:t>
      </w:r>
      <w:r w:rsidR="00A74554">
        <w:t> a)</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prendre</w:t>
      </w:r>
      <w:r>
        <w:t xml:space="preserve"> </w:t>
      </w:r>
      <w:r w:rsidRPr="008516D1">
        <w:t>les</w:t>
      </w:r>
      <w:r>
        <w:t xml:space="preserve"> </w:t>
      </w:r>
      <w:r w:rsidRPr="008516D1">
        <w:t>mesures</w:t>
      </w:r>
      <w:r>
        <w:t xml:space="preserve"> </w:t>
      </w:r>
      <w:r w:rsidRPr="008516D1">
        <w:t>législatives</w:t>
      </w:r>
      <w:r>
        <w:t xml:space="preserve"> </w:t>
      </w:r>
      <w:r w:rsidRPr="008516D1">
        <w:t>nécessaires</w:t>
      </w:r>
      <w:r>
        <w:t xml:space="preserve"> </w:t>
      </w:r>
      <w:r w:rsidRPr="008516D1">
        <w:t>pour</w:t>
      </w:r>
      <w:r>
        <w:t xml:space="preserve"> </w:t>
      </w:r>
      <w:r w:rsidRPr="008516D1">
        <w:t>garantir</w:t>
      </w:r>
      <w:r>
        <w:t xml:space="preserve"> </w:t>
      </w:r>
      <w:r w:rsidRPr="008516D1">
        <w:t>que</w:t>
      </w:r>
      <w:r>
        <w:t xml:space="preserve"> </w:t>
      </w:r>
      <w:r w:rsidRPr="008516D1">
        <w:t>les</w:t>
      </w:r>
      <w:r>
        <w:t xml:space="preserve"> </w:t>
      </w:r>
      <w:r w:rsidRPr="008516D1">
        <w:t>supérieurs</w:t>
      </w:r>
      <w:r>
        <w:t xml:space="preserve"> </w:t>
      </w:r>
      <w:r w:rsidRPr="008516D1">
        <w:t>hiérarchiques</w:t>
      </w:r>
      <w:r>
        <w:t xml:space="preserve"> </w:t>
      </w:r>
      <w:r w:rsidRPr="008516D1">
        <w:t>soient</w:t>
      </w:r>
      <w:r>
        <w:t xml:space="preserve"> </w:t>
      </w:r>
      <w:r w:rsidRPr="008516D1">
        <w:t>pénalement</w:t>
      </w:r>
      <w:r>
        <w:t xml:space="preserve"> </w:t>
      </w:r>
      <w:r w:rsidRPr="008516D1">
        <w:t>responsables</w:t>
      </w:r>
      <w:r>
        <w:t xml:space="preserve"> </w:t>
      </w:r>
      <w:r w:rsidRPr="008516D1">
        <w:t>en</w:t>
      </w:r>
      <w:r>
        <w:t xml:space="preserve"> </w:t>
      </w:r>
      <w:r w:rsidRPr="008516D1">
        <w:t>cas</w:t>
      </w:r>
      <w:r>
        <w:t xml:space="preserve"> </w:t>
      </w:r>
      <w:r w:rsidRPr="008516D1">
        <w:t>de</w:t>
      </w:r>
      <w:r>
        <w:t xml:space="preserve"> </w:t>
      </w:r>
      <w:r w:rsidRPr="008516D1">
        <w:t>disparitions</w:t>
      </w:r>
      <w:r>
        <w:t xml:space="preserve"> </w:t>
      </w:r>
      <w:r w:rsidRPr="008516D1">
        <w:t>forcées</w:t>
      </w:r>
      <w:r>
        <w:t xml:space="preserve"> </w:t>
      </w:r>
      <w:r w:rsidRPr="008516D1">
        <w:t>commises</w:t>
      </w:r>
      <w:r>
        <w:t xml:space="preserve"> </w:t>
      </w:r>
      <w:r w:rsidRPr="008516D1">
        <w:t>par</w:t>
      </w:r>
      <w:r>
        <w:t xml:space="preserve"> </w:t>
      </w:r>
      <w:r w:rsidRPr="008516D1">
        <w:t>des</w:t>
      </w:r>
      <w:r>
        <w:t xml:space="preserve"> </w:t>
      </w:r>
      <w:r w:rsidRPr="008516D1">
        <w:t>subordonnés,</w:t>
      </w:r>
      <w:r>
        <w:t xml:space="preserve"> </w:t>
      </w:r>
      <w:r w:rsidRPr="008516D1">
        <w:t>s</w:t>
      </w:r>
      <w:r>
        <w:t>’</w:t>
      </w:r>
      <w:r w:rsidRPr="008516D1">
        <w:t>ils</w:t>
      </w:r>
      <w:r>
        <w:t xml:space="preserve"> </w:t>
      </w:r>
      <w:r w:rsidRPr="008516D1">
        <w:t>en</w:t>
      </w:r>
      <w:r>
        <w:t xml:space="preserve"> </w:t>
      </w:r>
      <w:r w:rsidRPr="008516D1">
        <w:t>avaient</w:t>
      </w:r>
      <w:r>
        <w:t xml:space="preserve"> </w:t>
      </w:r>
      <w:r w:rsidRPr="008516D1">
        <w:t>connaissance,</w:t>
      </w:r>
      <w:r>
        <w:t xml:space="preserve"> </w:t>
      </w:r>
      <w:r w:rsidRPr="008516D1">
        <w:t>y</w:t>
      </w:r>
      <w:r>
        <w:t xml:space="preserve"> </w:t>
      </w:r>
      <w:r w:rsidRPr="008516D1">
        <w:t>ont</w:t>
      </w:r>
      <w:r>
        <w:t xml:space="preserve"> </w:t>
      </w:r>
      <w:r w:rsidRPr="008516D1">
        <w:t>consenti,</w:t>
      </w:r>
      <w:r>
        <w:t xml:space="preserve"> </w:t>
      </w:r>
      <w:r w:rsidRPr="008516D1">
        <w:t>les</w:t>
      </w:r>
      <w:r>
        <w:t xml:space="preserve"> </w:t>
      </w:r>
      <w:r w:rsidRPr="008516D1">
        <w:t>ont</w:t>
      </w:r>
      <w:r>
        <w:t xml:space="preserve"> </w:t>
      </w:r>
      <w:r w:rsidRPr="008516D1">
        <w:t>commises</w:t>
      </w:r>
      <w:r>
        <w:t xml:space="preserve"> </w:t>
      </w:r>
      <w:r w:rsidRPr="008516D1">
        <w:t>eux-mêmes,</w:t>
      </w:r>
      <w:r>
        <w:t xml:space="preserve"> </w:t>
      </w:r>
      <w:r w:rsidRPr="008516D1">
        <w:t>ou</w:t>
      </w:r>
      <w:r>
        <w:t xml:space="preserve"> </w:t>
      </w:r>
      <w:r w:rsidRPr="008516D1">
        <w:t>n</w:t>
      </w:r>
      <w:r>
        <w:t>’</w:t>
      </w:r>
      <w:r w:rsidRPr="008516D1">
        <w:t>ont</w:t>
      </w:r>
      <w:r>
        <w:t xml:space="preserve"> </w:t>
      </w:r>
      <w:r w:rsidRPr="008516D1">
        <w:t>pas</w:t>
      </w:r>
      <w:r>
        <w:t xml:space="preserve"> </w:t>
      </w:r>
      <w:r w:rsidRPr="008516D1">
        <w:t>pris</w:t>
      </w:r>
      <w:r>
        <w:t xml:space="preserve"> </w:t>
      </w:r>
      <w:r w:rsidRPr="008516D1">
        <w:t>les</w:t>
      </w:r>
      <w:r>
        <w:t xml:space="preserve"> </w:t>
      </w:r>
      <w:r w:rsidRPr="008516D1">
        <w:t>mesures</w:t>
      </w:r>
      <w:r>
        <w:t xml:space="preserve"> </w:t>
      </w:r>
      <w:r w:rsidRPr="008516D1">
        <w:t>nécessaires</w:t>
      </w:r>
      <w:r>
        <w:t xml:space="preserve"> </w:t>
      </w:r>
      <w:r w:rsidRPr="008516D1">
        <w:t>pour</w:t>
      </w:r>
      <w:r>
        <w:t xml:space="preserve"> </w:t>
      </w:r>
      <w:r w:rsidRPr="008516D1">
        <w:t>empêcher</w:t>
      </w:r>
      <w:r>
        <w:t xml:space="preserve"> </w:t>
      </w:r>
      <w:r w:rsidRPr="008516D1">
        <w:t>leur</w:t>
      </w:r>
      <w:r>
        <w:t xml:space="preserve"> </w:t>
      </w:r>
      <w:r w:rsidRPr="008516D1">
        <w:t>commission,</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les</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153</w:t>
      </w:r>
      <w:r>
        <w:t xml:space="preserve"> </w:t>
      </w:r>
      <w:r w:rsidRPr="008516D1">
        <w:t>du</w:t>
      </w:r>
      <w:r>
        <w:t xml:space="preserve"> </w:t>
      </w:r>
      <w:r w:rsidRPr="008516D1">
        <w:t>chapitre</w:t>
      </w:r>
      <w:r>
        <w:t xml:space="preserve"> </w:t>
      </w:r>
      <w:r w:rsidRPr="008516D1">
        <w:t>V</w:t>
      </w:r>
      <w:r>
        <w:t xml:space="preserve"> </w:t>
      </w:r>
      <w:r w:rsidRPr="008516D1">
        <w:t>(Dispositions</w:t>
      </w:r>
      <w:r>
        <w:t xml:space="preserve"> </w:t>
      </w:r>
      <w:r w:rsidRPr="008516D1">
        <w:t>communes</w:t>
      </w:r>
      <w:r>
        <w:t xml:space="preserve"> </w:t>
      </w:r>
      <w:r w:rsidRPr="008516D1">
        <w:t>sur</w:t>
      </w:r>
      <w:r>
        <w:t xml:space="preserve"> </w:t>
      </w:r>
      <w:r w:rsidRPr="008516D1">
        <w:t>les</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le</w:t>
      </w:r>
      <w:r>
        <w:t xml:space="preserve"> </w:t>
      </w:r>
      <w:r w:rsidRPr="008516D1">
        <w:t>génocide</w:t>
      </w:r>
      <w:r>
        <w:t xml:space="preserve"> </w:t>
      </w:r>
      <w:r w:rsidRPr="008516D1">
        <w:t>et</w:t>
      </w:r>
      <w:r>
        <w:t xml:space="preserve"> </w:t>
      </w:r>
      <w:r w:rsidRPr="008516D1">
        <w:t>les</w:t>
      </w:r>
      <w:r>
        <w:t xml:space="preserve"> </w:t>
      </w:r>
      <w:r w:rsidRPr="008516D1">
        <w:t>crimes</w:t>
      </w:r>
      <w:r>
        <w:t xml:space="preserve"> </w:t>
      </w:r>
      <w:r w:rsidRPr="008516D1">
        <w:t>de</w:t>
      </w:r>
      <w:r>
        <w:t xml:space="preserve"> </w:t>
      </w:r>
      <w:r w:rsidRPr="008516D1">
        <w:t>guerre)</w:t>
      </w:r>
      <w:r>
        <w:t xml:space="preserve"> </w:t>
      </w:r>
      <w:r w:rsidRPr="008516D1">
        <w:t>du</w:t>
      </w:r>
      <w:r>
        <w:t xml:space="preserve"> </w:t>
      </w:r>
      <w:r w:rsidRPr="008516D1">
        <w:t>Code</w:t>
      </w:r>
      <w:r>
        <w:t xml:space="preserve"> </w:t>
      </w:r>
      <w:r w:rsidRPr="008516D1">
        <w:t>pénal</w:t>
      </w:r>
      <w:r>
        <w:t xml:space="preserve"> </w:t>
      </w:r>
      <w:r w:rsidRPr="008516D1">
        <w:t>portent</w:t>
      </w:r>
      <w:r>
        <w:t xml:space="preserve"> </w:t>
      </w:r>
      <w:r w:rsidRPr="008516D1">
        <w:t>sur</w:t>
      </w:r>
      <w:r>
        <w:t xml:space="preserve"> </w:t>
      </w:r>
      <w:r w:rsidRPr="008516D1">
        <w:t>la</w:t>
      </w:r>
      <w:r>
        <w:t xml:space="preserve"> </w:t>
      </w:r>
      <w:r w:rsidRPr="008516D1">
        <w:t>responsabilité</w:t>
      </w:r>
      <w:r>
        <w:t xml:space="preserve"> </w:t>
      </w:r>
      <w:r w:rsidRPr="008516D1">
        <w:t>des</w:t>
      </w:r>
      <w:r>
        <w:t xml:space="preserve"> </w:t>
      </w:r>
      <w:r w:rsidRPr="008516D1">
        <w:t>militaires,</w:t>
      </w:r>
      <w:r>
        <w:t xml:space="preserve"> </w:t>
      </w:r>
      <w:r w:rsidRPr="008516D1">
        <w:t>des</w:t>
      </w:r>
      <w:r>
        <w:t xml:space="preserve"> </w:t>
      </w:r>
      <w:r w:rsidRPr="008516D1">
        <w:t>autorités</w:t>
      </w:r>
      <w:r>
        <w:t xml:space="preserve"> </w:t>
      </w:r>
      <w:r w:rsidRPr="008516D1">
        <w:t>civiles</w:t>
      </w:r>
      <w:r>
        <w:t xml:space="preserve"> </w:t>
      </w:r>
      <w:r w:rsidRPr="008516D1">
        <w:t>et</w:t>
      </w:r>
      <w:r>
        <w:t xml:space="preserve"> </w:t>
      </w:r>
      <w:r w:rsidRPr="008516D1">
        <w:t>autres</w:t>
      </w:r>
      <w:r>
        <w:t xml:space="preserve"> </w:t>
      </w:r>
      <w:r w:rsidRPr="008516D1">
        <w:t>supérieurs,</w:t>
      </w:r>
      <w:r>
        <w:t xml:space="preserve"> </w:t>
      </w:r>
      <w:r w:rsidRPr="008516D1">
        <w:t>ainsi</w:t>
      </w:r>
      <w:r>
        <w:t xml:space="preserve"> </w:t>
      </w:r>
      <w:r w:rsidRPr="008516D1">
        <w:t>que</w:t>
      </w:r>
      <w:r>
        <w:t xml:space="preserve"> </w:t>
      </w:r>
      <w:r w:rsidRPr="008516D1">
        <w:t>des</w:t>
      </w:r>
      <w:r>
        <w:t xml:space="preserve"> </w:t>
      </w:r>
      <w:r w:rsidRPr="008516D1">
        <w:t>personnes</w:t>
      </w:r>
      <w:r>
        <w:t xml:space="preserve"> </w:t>
      </w:r>
      <w:r w:rsidRPr="008516D1">
        <w:t>qui,</w:t>
      </w:r>
      <w:r>
        <w:t xml:space="preserve"> </w:t>
      </w:r>
      <w:r w:rsidRPr="008516D1">
        <w:t>dans</w:t>
      </w:r>
      <w:r>
        <w:t xml:space="preserve"> </w:t>
      </w:r>
      <w:r w:rsidRPr="008516D1">
        <w:t>les</w:t>
      </w:r>
      <w:r>
        <w:t xml:space="preserve"> </w:t>
      </w:r>
      <w:r w:rsidRPr="008516D1">
        <w:t>faits,</w:t>
      </w:r>
      <w:r>
        <w:t xml:space="preserve"> </w:t>
      </w:r>
      <w:r w:rsidRPr="008516D1">
        <w:t>agissent</w:t>
      </w:r>
      <w:r>
        <w:t xml:space="preserve"> </w:t>
      </w:r>
      <w:r w:rsidRPr="008516D1">
        <w:t>en</w:t>
      </w:r>
      <w:r>
        <w:t xml:space="preserve"> </w:t>
      </w:r>
      <w:r w:rsidRPr="008516D1">
        <w:t>cette</w:t>
      </w:r>
      <w:r>
        <w:t xml:space="preserve"> </w:t>
      </w:r>
      <w:r w:rsidRPr="008516D1">
        <w:t>qualité,</w:t>
      </w:r>
      <w:r>
        <w:t xml:space="preserve"> </w:t>
      </w:r>
      <w:r w:rsidRPr="008516D1">
        <w:t>lorsque</w:t>
      </w:r>
      <w:r>
        <w:t xml:space="preserve"> </w:t>
      </w:r>
      <w:r w:rsidRPr="008516D1">
        <w:t>de</w:t>
      </w:r>
      <w:r>
        <w:t xml:space="preserve"> </w:t>
      </w:r>
      <w:r w:rsidRPr="008516D1">
        <w:t>tels</w:t>
      </w:r>
      <w:r>
        <w:t xml:space="preserve"> </w:t>
      </w:r>
      <w:r w:rsidRPr="008516D1">
        <w:t>crimes</w:t>
      </w:r>
      <w:r>
        <w:t xml:space="preserve"> </w:t>
      </w:r>
      <w:r w:rsidRPr="008516D1">
        <w:t>sont</w:t>
      </w:r>
      <w:r>
        <w:t xml:space="preserve"> </w:t>
      </w:r>
      <w:r w:rsidRPr="008516D1">
        <w:t>commis</w:t>
      </w:r>
      <w:r>
        <w:t xml:space="preserve"> </w:t>
      </w:r>
      <w:r w:rsidRPr="008516D1">
        <w:t>par</w:t>
      </w:r>
      <w:r>
        <w:t xml:space="preserve"> </w:t>
      </w:r>
      <w:r w:rsidRPr="008516D1">
        <w:t>des</w:t>
      </w:r>
      <w:r>
        <w:t xml:space="preserve"> </w:t>
      </w:r>
      <w:r w:rsidRPr="008516D1">
        <w:t>forces</w:t>
      </w:r>
      <w:r>
        <w:t xml:space="preserve"> </w:t>
      </w:r>
      <w:r w:rsidRPr="008516D1">
        <w:t>placées</w:t>
      </w:r>
      <w:r>
        <w:t xml:space="preserve"> </w:t>
      </w:r>
      <w:r w:rsidRPr="008516D1">
        <w:t>sous</w:t>
      </w:r>
      <w:r>
        <w:t xml:space="preserve"> </w:t>
      </w:r>
      <w:r w:rsidRPr="008516D1">
        <w:t>leur</w:t>
      </w:r>
      <w:r>
        <w:t xml:space="preserve"> </w:t>
      </w:r>
      <w:r w:rsidRPr="008516D1">
        <w:t>commandement</w:t>
      </w:r>
      <w:r>
        <w:t xml:space="preserve"> </w:t>
      </w:r>
      <w:r w:rsidRPr="008516D1">
        <w:t>ou</w:t>
      </w:r>
      <w:r>
        <w:t xml:space="preserve"> </w:t>
      </w:r>
      <w:r w:rsidRPr="008516D1">
        <w:t>leur</w:t>
      </w:r>
      <w:r>
        <w:t xml:space="preserve"> </w:t>
      </w:r>
      <w:r w:rsidRPr="008516D1">
        <w:t>autorité,</w:t>
      </w:r>
      <w:r>
        <w:t xml:space="preserve"> </w:t>
      </w:r>
      <w:r w:rsidRPr="008516D1">
        <w:t>selon</w:t>
      </w:r>
      <w:r>
        <w:t xml:space="preserve"> </w:t>
      </w:r>
      <w:r w:rsidRPr="008516D1">
        <w:t>le</w:t>
      </w:r>
      <w:r>
        <w:t xml:space="preserve"> </w:t>
      </w:r>
      <w:r w:rsidRPr="008516D1">
        <w:t>cas,</w:t>
      </w:r>
      <w:r>
        <w:t xml:space="preserve"> </w:t>
      </w:r>
      <w:r w:rsidRPr="008516D1">
        <w:t>et</w:t>
      </w:r>
      <w:r>
        <w:t xml:space="preserve"> </w:t>
      </w:r>
      <w:r w:rsidRPr="008516D1">
        <w:t>sous</w:t>
      </w:r>
      <w:r>
        <w:t xml:space="preserve"> </w:t>
      </w:r>
      <w:r w:rsidRPr="008516D1">
        <w:t>leur</w:t>
      </w:r>
      <w:r>
        <w:t xml:space="preserve"> </w:t>
      </w:r>
      <w:r w:rsidRPr="008516D1">
        <w:t>contrôle</w:t>
      </w:r>
      <w:r>
        <w:t xml:space="preserve"> </w:t>
      </w:r>
      <w:r w:rsidRPr="008516D1">
        <w:t>effectif.</w:t>
      </w:r>
    </w:p>
    <w:p w14:paraId="018EAAEA" w14:textId="77777777" w:rsidR="00286956" w:rsidRPr="008516D1" w:rsidRDefault="00286956" w:rsidP="0013732F">
      <w:pPr>
        <w:pStyle w:val="SingleTxtG"/>
      </w:pPr>
      <w:bookmarkStart w:id="11" w:name="_Hlk92653309"/>
      <w:r w:rsidRPr="008516D1">
        <w:t>19.</w:t>
      </w:r>
      <w:r w:rsidRPr="008516D1">
        <w:tab/>
        <w:t>En</w:t>
      </w:r>
      <w:r>
        <w:t xml:space="preserve"> </w:t>
      </w:r>
      <w:r w:rsidRPr="008516D1">
        <w:t>cas</w:t>
      </w:r>
      <w:r>
        <w:t xml:space="preserve"> </w:t>
      </w:r>
      <w:r w:rsidRPr="008516D1">
        <w:t>d</w:t>
      </w:r>
      <w:r>
        <w:t>’</w:t>
      </w:r>
      <w:r w:rsidRPr="008516D1">
        <w:t>omission,</w:t>
      </w:r>
      <w:r>
        <w:t xml:space="preserve"> </w:t>
      </w:r>
      <w:r w:rsidRPr="008516D1">
        <w:t>le</w:t>
      </w:r>
      <w:r>
        <w:t xml:space="preserve"> </w:t>
      </w:r>
      <w:r w:rsidRPr="008516D1">
        <w:t>supérieur</w:t>
      </w:r>
      <w:r>
        <w:t xml:space="preserve"> </w:t>
      </w:r>
      <w:r w:rsidRPr="008516D1">
        <w:t>est</w:t>
      </w:r>
      <w:r>
        <w:t xml:space="preserve"> </w:t>
      </w:r>
      <w:r w:rsidRPr="008516D1">
        <w:t>puni</w:t>
      </w:r>
      <w:r>
        <w:t xml:space="preserve"> </w:t>
      </w:r>
      <w:r w:rsidRPr="008516D1">
        <w:t>lorsqu</w:t>
      </w:r>
      <w:r>
        <w:t>’</w:t>
      </w:r>
      <w:r w:rsidRPr="008516D1">
        <w:t>il</w:t>
      </w:r>
      <w:r>
        <w:t xml:space="preserve"> </w:t>
      </w:r>
      <w:r w:rsidRPr="008516D1">
        <w:t>n</w:t>
      </w:r>
      <w:r>
        <w:t>’</w:t>
      </w:r>
      <w:r w:rsidRPr="008516D1">
        <w:t>a</w:t>
      </w:r>
      <w:r>
        <w:t xml:space="preserve"> </w:t>
      </w:r>
      <w:r w:rsidRPr="008516D1">
        <w:t>pas</w:t>
      </w:r>
      <w:r>
        <w:t xml:space="preserve"> </w:t>
      </w:r>
      <w:r w:rsidRPr="008516D1">
        <w:t>pris</w:t>
      </w:r>
      <w:r>
        <w:t xml:space="preserve"> </w:t>
      </w:r>
      <w:r w:rsidRPr="008516D1">
        <w:t>les</w:t>
      </w:r>
      <w:r>
        <w:t xml:space="preserve"> </w:t>
      </w:r>
      <w:r w:rsidRPr="008516D1">
        <w:t>mesures</w:t>
      </w:r>
      <w:r>
        <w:t xml:space="preserve"> </w:t>
      </w:r>
      <w:r w:rsidRPr="008516D1">
        <w:t>nécessaires</w:t>
      </w:r>
      <w:r>
        <w:t xml:space="preserve"> </w:t>
      </w:r>
      <w:r w:rsidRPr="008516D1">
        <w:t>et</w:t>
      </w:r>
      <w:r>
        <w:t xml:space="preserve"> </w:t>
      </w:r>
      <w:r w:rsidRPr="008516D1">
        <w:t>raisonnables</w:t>
      </w:r>
      <w:r>
        <w:t xml:space="preserve"> </w:t>
      </w:r>
      <w:r w:rsidRPr="008516D1">
        <w:t>en</w:t>
      </w:r>
      <w:r>
        <w:t xml:space="preserve"> </w:t>
      </w:r>
      <w:r w:rsidRPr="008516D1">
        <w:t>son</w:t>
      </w:r>
      <w:r>
        <w:t xml:space="preserve"> </w:t>
      </w:r>
      <w:r w:rsidRPr="008516D1">
        <w:t>pouvoir</w:t>
      </w:r>
      <w:r>
        <w:t xml:space="preserve"> </w:t>
      </w:r>
      <w:r w:rsidRPr="008516D1">
        <w:t>pour</w:t>
      </w:r>
      <w:r>
        <w:t xml:space="preserve"> </w:t>
      </w:r>
      <w:r w:rsidRPr="008516D1">
        <w:t>empêcher</w:t>
      </w:r>
      <w:r>
        <w:t xml:space="preserve"> </w:t>
      </w:r>
      <w:r w:rsidRPr="008516D1">
        <w:t>la</w:t>
      </w:r>
      <w:r>
        <w:t xml:space="preserve"> </w:t>
      </w:r>
      <w:r w:rsidRPr="008516D1">
        <w:t>commission</w:t>
      </w:r>
      <w:r>
        <w:t xml:space="preserve"> </w:t>
      </w:r>
      <w:r w:rsidRPr="008516D1">
        <w:t>de</w:t>
      </w:r>
      <w:r>
        <w:t xml:space="preserve"> </w:t>
      </w:r>
      <w:r w:rsidRPr="008516D1">
        <w:t>l</w:t>
      </w:r>
      <w:r>
        <w:t>’</w:t>
      </w:r>
      <w:r w:rsidRPr="008516D1">
        <w:t>infraction,</w:t>
      </w:r>
      <w:r>
        <w:t xml:space="preserve"> </w:t>
      </w:r>
      <w:r w:rsidRPr="008516D1">
        <w:t>lorsque</w:t>
      </w:r>
      <w:r>
        <w:t xml:space="preserve"> </w:t>
      </w:r>
      <w:r w:rsidRPr="008516D1">
        <w:t>ses</w:t>
      </w:r>
      <w:r>
        <w:t xml:space="preserve"> </w:t>
      </w:r>
      <w:r w:rsidRPr="008516D1">
        <w:t>compétences</w:t>
      </w:r>
      <w:r>
        <w:t xml:space="preserve"> </w:t>
      </w:r>
      <w:r w:rsidRPr="008516D1">
        <w:t>lui</w:t>
      </w:r>
      <w:r>
        <w:t xml:space="preserve"> </w:t>
      </w:r>
      <w:r w:rsidRPr="008516D1">
        <w:t>permettent</w:t>
      </w:r>
      <w:r>
        <w:t xml:space="preserve"> </w:t>
      </w:r>
      <w:r w:rsidRPr="008516D1">
        <w:t>d</w:t>
      </w:r>
      <w:r>
        <w:t>’</w:t>
      </w:r>
      <w:r w:rsidRPr="008516D1">
        <w:t>empêcher</w:t>
      </w:r>
      <w:r>
        <w:t xml:space="preserve"> </w:t>
      </w:r>
      <w:r w:rsidRPr="008516D1">
        <w:t>la</w:t>
      </w:r>
      <w:r>
        <w:t xml:space="preserve"> </w:t>
      </w:r>
      <w:r w:rsidRPr="008516D1">
        <w:t>commission</w:t>
      </w:r>
      <w:r>
        <w:t xml:space="preserve"> </w:t>
      </w:r>
      <w:r w:rsidRPr="008516D1">
        <w:t>de</w:t>
      </w:r>
      <w:r>
        <w:t xml:space="preserve"> </w:t>
      </w:r>
      <w:r w:rsidRPr="008516D1">
        <w:t>l</w:t>
      </w:r>
      <w:r>
        <w:t>’</w:t>
      </w:r>
      <w:r w:rsidRPr="008516D1">
        <w:t>infraction</w:t>
      </w:r>
      <w:r>
        <w:t xml:space="preserve"> </w:t>
      </w:r>
      <w:r w:rsidRPr="008516D1">
        <w:t>par</w:t>
      </w:r>
      <w:r>
        <w:t xml:space="preserve"> </w:t>
      </w:r>
      <w:r w:rsidRPr="008516D1">
        <w:t>ses</w:t>
      </w:r>
      <w:r>
        <w:t xml:space="preserve"> </w:t>
      </w:r>
      <w:r w:rsidRPr="008516D1">
        <w:t>subordonnés</w:t>
      </w:r>
      <w:r>
        <w:t xml:space="preserve"> </w:t>
      </w:r>
      <w:r w:rsidRPr="008516D1">
        <w:t>et</w:t>
      </w:r>
      <w:r>
        <w:t xml:space="preserve"> </w:t>
      </w:r>
      <w:r w:rsidRPr="008516D1">
        <w:t>qu</w:t>
      </w:r>
      <w:r>
        <w:t>’</w:t>
      </w:r>
      <w:r w:rsidRPr="008516D1">
        <w:t>il</w:t>
      </w:r>
      <w:r>
        <w:t xml:space="preserve"> </w:t>
      </w:r>
      <w:r w:rsidRPr="008516D1">
        <w:t>ne</w:t>
      </w:r>
      <w:r>
        <w:t xml:space="preserve"> </w:t>
      </w:r>
      <w:r w:rsidRPr="008516D1">
        <w:t>prend</w:t>
      </w:r>
      <w:r>
        <w:t xml:space="preserve"> </w:t>
      </w:r>
      <w:r w:rsidRPr="008516D1">
        <w:t>pas</w:t>
      </w:r>
      <w:r>
        <w:t xml:space="preserve"> </w:t>
      </w:r>
      <w:r w:rsidRPr="008516D1">
        <w:t>de</w:t>
      </w:r>
      <w:r>
        <w:t xml:space="preserve"> </w:t>
      </w:r>
      <w:r w:rsidRPr="008516D1">
        <w:t>mesures</w:t>
      </w:r>
      <w:r>
        <w:t xml:space="preserve"> </w:t>
      </w:r>
      <w:r w:rsidRPr="008516D1">
        <w:t>pour</w:t>
      </w:r>
      <w:r>
        <w:t xml:space="preserve"> </w:t>
      </w:r>
      <w:r w:rsidRPr="008516D1">
        <w:t>sanctionner</w:t>
      </w:r>
      <w:r>
        <w:t xml:space="preserve"> </w:t>
      </w:r>
      <w:r w:rsidRPr="008516D1">
        <w:t>les</w:t>
      </w:r>
      <w:r>
        <w:t xml:space="preserve"> </w:t>
      </w:r>
      <w:r w:rsidRPr="008516D1">
        <w:t>actes</w:t>
      </w:r>
      <w:r>
        <w:t xml:space="preserve"> </w:t>
      </w:r>
      <w:r w:rsidRPr="008516D1">
        <w:t>commis</w:t>
      </w:r>
      <w:r>
        <w:t xml:space="preserve"> </w:t>
      </w:r>
      <w:r w:rsidRPr="008516D1">
        <w:t>par</w:t>
      </w:r>
      <w:r>
        <w:t xml:space="preserve"> </w:t>
      </w:r>
      <w:r w:rsidRPr="008516D1">
        <w:t>les</w:t>
      </w:r>
      <w:r>
        <w:t xml:space="preserve"> </w:t>
      </w:r>
      <w:r w:rsidRPr="008516D1">
        <w:t>personnes</w:t>
      </w:r>
      <w:r>
        <w:t xml:space="preserve"> </w:t>
      </w:r>
      <w:r w:rsidRPr="008516D1">
        <w:t>placées</w:t>
      </w:r>
      <w:r>
        <w:t xml:space="preserve"> </w:t>
      </w:r>
      <w:r w:rsidRPr="008516D1">
        <w:lastRenderedPageBreak/>
        <w:t>sous</w:t>
      </w:r>
      <w:r>
        <w:t xml:space="preserve"> </w:t>
      </w:r>
      <w:r w:rsidRPr="008516D1">
        <w:t>son</w:t>
      </w:r>
      <w:r>
        <w:t xml:space="preserve"> </w:t>
      </w:r>
      <w:r w:rsidRPr="008516D1">
        <w:t>commandement</w:t>
      </w:r>
      <w:r>
        <w:t xml:space="preserve"> </w:t>
      </w:r>
      <w:r w:rsidRPr="008516D1">
        <w:t>ou</w:t>
      </w:r>
      <w:r>
        <w:t xml:space="preserve"> </w:t>
      </w:r>
      <w:r w:rsidRPr="008516D1">
        <w:t>son</w:t>
      </w:r>
      <w:r>
        <w:t xml:space="preserve"> </w:t>
      </w:r>
      <w:r w:rsidRPr="008516D1">
        <w:t>contrôle</w:t>
      </w:r>
      <w:r>
        <w:t xml:space="preserve"> </w:t>
      </w:r>
      <w:r w:rsidRPr="008516D1">
        <w:t>effectif</w:t>
      </w:r>
      <w:r>
        <w:t xml:space="preserve"> </w:t>
      </w:r>
      <w:r w:rsidRPr="008516D1">
        <w:t>ou</w:t>
      </w:r>
      <w:r>
        <w:t xml:space="preserve"> </w:t>
      </w:r>
      <w:r w:rsidRPr="008516D1">
        <w:t>lorsque,</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ses</w:t>
      </w:r>
      <w:r>
        <w:t xml:space="preserve"> </w:t>
      </w:r>
      <w:r w:rsidRPr="008516D1">
        <w:t>compétences,</w:t>
      </w:r>
      <w:r>
        <w:t xml:space="preserve"> </w:t>
      </w:r>
      <w:r w:rsidRPr="008516D1">
        <w:t>il</w:t>
      </w:r>
      <w:r>
        <w:t xml:space="preserve"> </w:t>
      </w:r>
      <w:r w:rsidRPr="008516D1">
        <w:t>ne</w:t>
      </w:r>
      <w:r>
        <w:t xml:space="preserve"> </w:t>
      </w:r>
      <w:r w:rsidRPr="008516D1">
        <w:t>prend</w:t>
      </w:r>
      <w:r>
        <w:t xml:space="preserve"> </w:t>
      </w:r>
      <w:r w:rsidRPr="008516D1">
        <w:t>pas</w:t>
      </w:r>
      <w:r>
        <w:t xml:space="preserve"> </w:t>
      </w:r>
      <w:r w:rsidRPr="008516D1">
        <w:t>de</w:t>
      </w:r>
      <w:r>
        <w:t xml:space="preserve"> </w:t>
      </w:r>
      <w:r w:rsidRPr="008516D1">
        <w:t>telles</w:t>
      </w:r>
      <w:r>
        <w:t xml:space="preserve"> </w:t>
      </w:r>
      <w:r w:rsidRPr="008516D1">
        <w:t>mesures</w:t>
      </w:r>
      <w:bookmarkEnd w:id="11"/>
      <w:r w:rsidRPr="008516D1">
        <w:rPr>
          <w:rStyle w:val="Appelnotedebasdep"/>
        </w:rPr>
        <w:footnoteReference w:id="45"/>
      </w:r>
      <w:r w:rsidRPr="008516D1">
        <w:t>.</w:t>
      </w:r>
    </w:p>
    <w:p w14:paraId="593F8A87" w14:textId="1C8C14CB" w:rsidR="00286956" w:rsidRPr="008516D1" w:rsidRDefault="00286956" w:rsidP="0013732F">
      <w:pPr>
        <w:pStyle w:val="SingleTxtG"/>
      </w:pPr>
      <w:r w:rsidRPr="008516D1">
        <w:t>20.</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17</w:t>
      </w:r>
      <w:r w:rsidR="00A74554">
        <w:t> b)</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w:t>
      </w:r>
      <w:r>
        <w:t>’</w:t>
      </w:r>
      <w:r w:rsidRPr="008516D1">
        <w:t>interdiction</w:t>
      </w:r>
      <w:r>
        <w:t xml:space="preserve"> </w:t>
      </w:r>
      <w:r w:rsidRPr="008516D1">
        <w:t>explicite</w:t>
      </w:r>
      <w:r>
        <w:t xml:space="preserve"> </w:t>
      </w:r>
      <w:r w:rsidRPr="008516D1">
        <w:t>d</w:t>
      </w:r>
      <w:r>
        <w:t>’</w:t>
      </w:r>
      <w:r w:rsidRPr="008516D1">
        <w:t>invoquer</w:t>
      </w:r>
      <w:r>
        <w:t xml:space="preserve"> </w:t>
      </w:r>
      <w:r w:rsidRPr="008516D1">
        <w:t>les</w:t>
      </w:r>
      <w:r>
        <w:t xml:space="preserve"> </w:t>
      </w:r>
      <w:r w:rsidRPr="008516D1">
        <w:t>ordres</w:t>
      </w:r>
      <w:r>
        <w:t xml:space="preserve"> </w:t>
      </w:r>
      <w:r w:rsidRPr="008516D1">
        <w:t>ou</w:t>
      </w:r>
      <w:r>
        <w:t xml:space="preserve"> </w:t>
      </w:r>
      <w:r w:rsidRPr="008516D1">
        <w:t>les</w:t>
      </w:r>
      <w:r>
        <w:t xml:space="preserve"> </w:t>
      </w:r>
      <w:r w:rsidRPr="008516D1">
        <w:t>instructions</w:t>
      </w:r>
      <w:r>
        <w:t xml:space="preserve"> </w:t>
      </w:r>
      <w:r w:rsidRPr="008516D1">
        <w:t>d</w:t>
      </w:r>
      <w:r>
        <w:t>’</w:t>
      </w:r>
      <w:r w:rsidRPr="008516D1">
        <w:t>un</w:t>
      </w:r>
      <w:r>
        <w:t xml:space="preserve"> </w:t>
      </w:r>
      <w:r w:rsidRPr="008516D1">
        <w:t>supérieur</w:t>
      </w:r>
      <w:r>
        <w:t xml:space="preserve"> </w:t>
      </w:r>
      <w:r w:rsidRPr="008516D1">
        <w:t>pour</w:t>
      </w:r>
      <w:r>
        <w:t xml:space="preserve"> </w:t>
      </w:r>
      <w:r w:rsidRPr="008516D1">
        <w:t>justifier</w:t>
      </w:r>
      <w:r>
        <w:t xml:space="preserve"> </w:t>
      </w:r>
      <w:r w:rsidRPr="008516D1">
        <w:t>la</w:t>
      </w:r>
      <w:r>
        <w:t xml:space="preserve"> </w:t>
      </w:r>
      <w:r w:rsidRPr="008516D1">
        <w:t>commission</w:t>
      </w:r>
      <w:r>
        <w:t xml:space="preserve"> </w:t>
      </w:r>
      <w:r w:rsidRPr="008516D1">
        <w:t>d</w:t>
      </w:r>
      <w:r>
        <w:t>’</w:t>
      </w:r>
      <w:r w:rsidRPr="008516D1">
        <w:t>une</w:t>
      </w:r>
      <w:r>
        <w:t xml:space="preserve"> </w:t>
      </w:r>
      <w:r w:rsidRPr="008516D1">
        <w:t>disparition</w:t>
      </w:r>
      <w:r>
        <w:t xml:space="preserve"> </w:t>
      </w:r>
      <w:r w:rsidRPr="008516D1">
        <w:t>forcée,</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w:t>
      </w:r>
      <w:r>
        <w:t>’</w:t>
      </w:r>
      <w:r w:rsidRPr="008516D1">
        <w:t>article</w:t>
      </w:r>
      <w:r>
        <w:t xml:space="preserve"> </w:t>
      </w:r>
      <w:r w:rsidRPr="008516D1">
        <w:t>157</w:t>
      </w:r>
      <w:r>
        <w:t xml:space="preserve"> </w:t>
      </w:r>
      <w:r w:rsidRPr="008516D1">
        <w:t>du</w:t>
      </w:r>
      <w:r>
        <w:t xml:space="preserve"> </w:t>
      </w:r>
      <w:r w:rsidRPr="008516D1">
        <w:t>Code</w:t>
      </w:r>
      <w:r>
        <w:t xml:space="preserve"> </w:t>
      </w:r>
      <w:r w:rsidRPr="008516D1">
        <w:t>pénal</w:t>
      </w:r>
      <w:r>
        <w:t xml:space="preserve"> </w:t>
      </w:r>
      <w:r w:rsidRPr="008516D1">
        <w:t>ne</w:t>
      </w:r>
      <w:r>
        <w:t xml:space="preserve"> </w:t>
      </w:r>
      <w:r w:rsidRPr="008516D1">
        <w:t>permet</w:t>
      </w:r>
      <w:r>
        <w:t xml:space="preserve"> </w:t>
      </w:r>
      <w:r w:rsidRPr="008516D1">
        <w:t>pas</w:t>
      </w:r>
      <w:r>
        <w:t xml:space="preserve"> </w:t>
      </w:r>
      <w:r w:rsidRPr="008516D1">
        <w:t>d</w:t>
      </w:r>
      <w:r>
        <w:t>’</w:t>
      </w:r>
      <w:r w:rsidRPr="008516D1">
        <w:t>invoquer</w:t>
      </w:r>
      <w:r>
        <w:t xml:space="preserve"> </w:t>
      </w:r>
      <w:r w:rsidRPr="008516D1">
        <w:t>l</w:t>
      </w:r>
      <w:r>
        <w:t>’</w:t>
      </w:r>
      <w:r w:rsidRPr="008516D1">
        <w:t>exercice</w:t>
      </w:r>
      <w:r>
        <w:t xml:space="preserve"> </w:t>
      </w:r>
      <w:r w:rsidRPr="008516D1">
        <w:t>d</w:t>
      </w:r>
      <w:r>
        <w:t>’</w:t>
      </w:r>
      <w:r w:rsidRPr="008516D1">
        <w:t>un</w:t>
      </w:r>
      <w:r>
        <w:t xml:space="preserve"> </w:t>
      </w:r>
      <w:r w:rsidRPr="008516D1">
        <w:t>droit</w:t>
      </w:r>
      <w:r>
        <w:t xml:space="preserve"> </w:t>
      </w:r>
      <w:r w:rsidRPr="008516D1">
        <w:t>ou</w:t>
      </w:r>
      <w:r>
        <w:t xml:space="preserve"> </w:t>
      </w:r>
      <w:r w:rsidRPr="008516D1">
        <w:t>d</w:t>
      </w:r>
      <w:r>
        <w:t>’</w:t>
      </w:r>
      <w:r w:rsidRPr="008516D1">
        <w:t>une</w:t>
      </w:r>
      <w:r>
        <w:t xml:space="preserve"> </w:t>
      </w:r>
      <w:r w:rsidRPr="008516D1">
        <w:t>profession,</w:t>
      </w:r>
      <w:r>
        <w:t xml:space="preserve"> </w:t>
      </w:r>
      <w:r w:rsidRPr="008516D1">
        <w:t>l</w:t>
      </w:r>
      <w:r>
        <w:t>’</w:t>
      </w:r>
      <w:r w:rsidRPr="008516D1">
        <w:t>exécution</w:t>
      </w:r>
      <w:r>
        <w:t xml:space="preserve"> </w:t>
      </w:r>
      <w:r w:rsidRPr="008516D1">
        <w:t>d</w:t>
      </w:r>
      <w:r>
        <w:t>’</w:t>
      </w:r>
      <w:r w:rsidRPr="008516D1">
        <w:t>une</w:t>
      </w:r>
      <w:r>
        <w:t xml:space="preserve"> </w:t>
      </w:r>
      <w:r w:rsidRPr="008516D1">
        <w:t>obligation</w:t>
      </w:r>
      <w:r>
        <w:t xml:space="preserve"> </w:t>
      </w:r>
      <w:r w:rsidRPr="008516D1">
        <w:t>ou</w:t>
      </w:r>
      <w:r>
        <w:t xml:space="preserve"> </w:t>
      </w:r>
      <w:r w:rsidRPr="008516D1">
        <w:t>le</w:t>
      </w:r>
      <w:r>
        <w:t xml:space="preserve"> </w:t>
      </w:r>
      <w:r w:rsidRPr="008516D1">
        <w:t>devoir</w:t>
      </w:r>
      <w:r>
        <w:t xml:space="preserve"> </w:t>
      </w:r>
      <w:r w:rsidRPr="008516D1">
        <w:t>d</w:t>
      </w:r>
      <w:r>
        <w:t>’</w:t>
      </w:r>
      <w:r w:rsidRPr="008516D1">
        <w:t>obéissance</w:t>
      </w:r>
      <w:r>
        <w:t xml:space="preserve"> </w:t>
      </w:r>
      <w:r w:rsidRPr="008516D1">
        <w:t>à</w:t>
      </w:r>
      <w:r>
        <w:t xml:space="preserve"> </w:t>
      </w:r>
      <w:r w:rsidRPr="008516D1">
        <w:t>titre</w:t>
      </w:r>
      <w:r>
        <w:t xml:space="preserve"> </w:t>
      </w:r>
      <w:r w:rsidRPr="008516D1">
        <w:t>de</w:t>
      </w:r>
      <w:r>
        <w:t xml:space="preserve"> </w:t>
      </w:r>
      <w:r w:rsidRPr="008516D1">
        <w:t>fait</w:t>
      </w:r>
      <w:r>
        <w:t xml:space="preserve"> </w:t>
      </w:r>
      <w:r w:rsidRPr="008516D1">
        <w:t>justificatif,</w:t>
      </w:r>
      <w:r>
        <w:t xml:space="preserve"> </w:t>
      </w:r>
      <w:r w:rsidRPr="008516D1">
        <w:t>puisque</w:t>
      </w:r>
      <w:r>
        <w:t xml:space="preserve"> </w:t>
      </w:r>
      <w:r w:rsidRPr="008516D1">
        <w:t>l</w:t>
      </w:r>
      <w:r>
        <w:t>’</w:t>
      </w:r>
      <w:r w:rsidRPr="008516D1">
        <w:t>ordre</w:t>
      </w:r>
      <w:r>
        <w:t xml:space="preserve"> </w:t>
      </w:r>
      <w:r w:rsidRPr="008516D1">
        <w:t>de</w:t>
      </w:r>
      <w:r>
        <w:t xml:space="preserve"> </w:t>
      </w:r>
      <w:r w:rsidRPr="008516D1">
        <w:t>commettre</w:t>
      </w:r>
      <w:r>
        <w:t xml:space="preserve"> </w:t>
      </w:r>
      <w:r w:rsidRPr="008516D1">
        <w:t>un</w:t>
      </w:r>
      <w:r>
        <w:t xml:space="preserve"> </w:t>
      </w:r>
      <w:r w:rsidRPr="008516D1">
        <w:t>génocide,</w:t>
      </w:r>
      <w:r>
        <w:t xml:space="preserve"> </w:t>
      </w:r>
      <w:r w:rsidRPr="008516D1">
        <w:t>des</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ou</w:t>
      </w:r>
      <w:r>
        <w:t xml:space="preserve"> </w:t>
      </w:r>
      <w:r w:rsidRPr="008516D1">
        <w:t>des</w:t>
      </w:r>
      <w:r>
        <w:t xml:space="preserve"> </w:t>
      </w:r>
      <w:r w:rsidRPr="008516D1">
        <w:t>crimes</w:t>
      </w:r>
      <w:r>
        <w:t xml:space="preserve"> </w:t>
      </w:r>
      <w:r w:rsidRPr="008516D1">
        <w:t>de</w:t>
      </w:r>
      <w:r>
        <w:t xml:space="preserve"> </w:t>
      </w:r>
      <w:r w:rsidRPr="008516D1">
        <w:t>guerre</w:t>
      </w:r>
      <w:r>
        <w:t xml:space="preserve"> </w:t>
      </w:r>
      <w:r w:rsidRPr="008516D1">
        <w:t>est</w:t>
      </w:r>
      <w:r>
        <w:t xml:space="preserve"> </w:t>
      </w:r>
      <w:r w:rsidRPr="008516D1">
        <w:t>manifestement</w:t>
      </w:r>
      <w:r>
        <w:t xml:space="preserve"> </w:t>
      </w:r>
      <w:r w:rsidRPr="008516D1">
        <w:t>illégal</w:t>
      </w:r>
      <w:r>
        <w:t xml:space="preserve"> </w:t>
      </w:r>
      <w:r w:rsidRPr="008516D1">
        <w:t>et</w:t>
      </w:r>
      <w:r>
        <w:t xml:space="preserve"> </w:t>
      </w:r>
      <w:r w:rsidRPr="008516D1">
        <w:t>ne</w:t>
      </w:r>
      <w:r>
        <w:t xml:space="preserve"> </w:t>
      </w:r>
      <w:r w:rsidRPr="008516D1">
        <w:t>peut</w:t>
      </w:r>
      <w:r>
        <w:t xml:space="preserve"> </w:t>
      </w:r>
      <w:r w:rsidRPr="008516D1">
        <w:t>servir</w:t>
      </w:r>
      <w:r>
        <w:t xml:space="preserve"> </w:t>
      </w:r>
      <w:r w:rsidRPr="008516D1">
        <w:t>de</w:t>
      </w:r>
      <w:r>
        <w:t xml:space="preserve"> </w:t>
      </w:r>
      <w:r w:rsidRPr="008516D1">
        <w:t>cause</w:t>
      </w:r>
      <w:r>
        <w:t xml:space="preserve"> </w:t>
      </w:r>
      <w:r w:rsidRPr="008516D1">
        <w:t>d</w:t>
      </w:r>
      <w:r>
        <w:t>’</w:t>
      </w:r>
      <w:r w:rsidRPr="008516D1">
        <w:t>irresponsabilité</w:t>
      </w:r>
      <w:r>
        <w:t xml:space="preserve"> </w:t>
      </w:r>
      <w:r w:rsidRPr="008516D1">
        <w:t>pénale.</w:t>
      </w:r>
    </w:p>
    <w:p w14:paraId="75B24DBC" w14:textId="022D189D" w:rsidR="00286956" w:rsidRPr="008516D1" w:rsidRDefault="00286956" w:rsidP="0013732F">
      <w:pPr>
        <w:pStyle w:val="SingleTxtG"/>
      </w:pPr>
      <w:r w:rsidRPr="008516D1">
        <w:t>21.</w:t>
      </w:r>
      <w:r w:rsidRPr="008516D1">
        <w:tab/>
        <w:t>Conjointement</w:t>
      </w:r>
      <w:r>
        <w:t xml:space="preserve"> </w:t>
      </w:r>
      <w:r w:rsidRPr="008516D1">
        <w:t>à</w:t>
      </w:r>
      <w:r>
        <w:t xml:space="preserve"> </w:t>
      </w:r>
      <w:r w:rsidRPr="008516D1">
        <w:t>la</w:t>
      </w:r>
      <w:r>
        <w:t xml:space="preserve"> </w:t>
      </w:r>
      <w:r w:rsidRPr="008516D1">
        <w:t>loi</w:t>
      </w:r>
      <w:r>
        <w:t xml:space="preserve"> </w:t>
      </w:r>
      <w:r w:rsidRPr="008516D1">
        <w:t>organique</w:t>
      </w:r>
      <w:r>
        <w:t xml:space="preserve"> </w:t>
      </w:r>
      <w:r w:rsidRPr="008516D1">
        <w:t>relative</w:t>
      </w:r>
      <w:r>
        <w:t xml:space="preserve"> </w:t>
      </w:r>
      <w:r w:rsidRPr="008516D1">
        <w:t>au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et</w:t>
      </w:r>
      <w:r>
        <w:t xml:space="preserve"> </w:t>
      </w:r>
      <w:r w:rsidRPr="008516D1">
        <w:t>de</w:t>
      </w:r>
      <w:r>
        <w:t xml:space="preserve"> </w:t>
      </w:r>
      <w:r w:rsidRPr="008516D1">
        <w:t>la</w:t>
      </w:r>
      <w:r>
        <w:t xml:space="preserve"> </w:t>
      </w:r>
      <w:r w:rsidR="00AB2CD9">
        <w:t>Police nationale</w:t>
      </w:r>
      <w:r>
        <w:t xml:space="preserve"> </w:t>
      </w:r>
      <w:r w:rsidRPr="008516D1">
        <w:t>du</w:t>
      </w:r>
      <w:r>
        <w:t xml:space="preserve"> </w:t>
      </w:r>
      <w:r w:rsidRPr="008516D1">
        <w:t>Honduras,</w:t>
      </w:r>
      <w:r>
        <w:t xml:space="preserve"> </w:t>
      </w:r>
      <w:r w:rsidRPr="008516D1">
        <w:t>la</w:t>
      </w:r>
      <w:r>
        <w:t xml:space="preserve"> </w:t>
      </w:r>
      <w:r w:rsidRPr="008516D1">
        <w:t>loi</w:t>
      </w:r>
      <w:r>
        <w:t xml:space="preserve"> </w:t>
      </w:r>
      <w:r w:rsidRPr="008516D1">
        <w:t>relative</w:t>
      </w:r>
      <w:r>
        <w:t xml:space="preserve"> </w:t>
      </w:r>
      <w:r w:rsidRPr="008516D1">
        <w:t>aux</w:t>
      </w:r>
      <w:r>
        <w:t xml:space="preserve"> </w:t>
      </w:r>
      <w:r w:rsidRPr="008516D1">
        <w:t>carrières</w:t>
      </w:r>
      <w:r>
        <w:t xml:space="preserve"> </w:t>
      </w:r>
      <w:r w:rsidRPr="008516D1">
        <w:t>de</w:t>
      </w:r>
      <w:r>
        <w:t xml:space="preserve"> </w:t>
      </w:r>
      <w:r w:rsidRPr="008516D1">
        <w:t>la</w:t>
      </w:r>
      <w:r>
        <w:t xml:space="preserve"> </w:t>
      </w:r>
      <w:r w:rsidRPr="008516D1">
        <w:t>police,</w:t>
      </w:r>
      <w:r>
        <w:t xml:space="preserve"> </w:t>
      </w:r>
      <w:r w:rsidRPr="008516D1">
        <w:t>en</w:t>
      </w:r>
      <w:r>
        <w:t xml:space="preserve"> </w:t>
      </w:r>
      <w:r w:rsidRPr="008516D1">
        <w:t>son</w:t>
      </w:r>
      <w:r>
        <w:t xml:space="preserve"> </w:t>
      </w:r>
      <w:r w:rsidRPr="008516D1">
        <w:t>titre</w:t>
      </w:r>
      <w:r>
        <w:t xml:space="preserve"> </w:t>
      </w:r>
      <w:r w:rsidRPr="008516D1">
        <w:t>II</w:t>
      </w:r>
      <w:r>
        <w:t xml:space="preserve"> </w:t>
      </w:r>
      <w:r w:rsidRPr="008516D1">
        <w:t>(Devoirs,</w:t>
      </w:r>
      <w:r>
        <w:t xml:space="preserve"> </w:t>
      </w:r>
      <w:r w:rsidRPr="008516D1">
        <w:t>obligations,</w:t>
      </w:r>
      <w:r>
        <w:t xml:space="preserve"> </w:t>
      </w:r>
      <w:r w:rsidRPr="008516D1">
        <w:t>droits</w:t>
      </w:r>
      <w:r>
        <w:t xml:space="preserve"> </w:t>
      </w:r>
      <w:r w:rsidRPr="008516D1">
        <w:t>et</w:t>
      </w:r>
      <w:r>
        <w:t xml:space="preserve"> </w:t>
      </w:r>
      <w:r w:rsidRPr="008516D1">
        <w:t>interdictions</w:t>
      </w:r>
      <w:r>
        <w:t xml:space="preserve"> </w:t>
      </w:r>
      <w:r w:rsidRPr="008516D1">
        <w:t>applicables</w:t>
      </w:r>
      <w:r>
        <w:t xml:space="preserve"> </w:t>
      </w:r>
      <w:r w:rsidRPr="008516D1">
        <w:t>aux</w:t>
      </w:r>
      <w:r>
        <w:t xml:space="preserve"> </w:t>
      </w:r>
      <w:r w:rsidRPr="008516D1">
        <w:t>policiers)</w:t>
      </w:r>
      <w:r>
        <w:t xml:space="preserve"> </w:t>
      </w:r>
      <w:r w:rsidRPr="008516D1">
        <w:t>dispose</w:t>
      </w:r>
      <w:r>
        <w:t xml:space="preserve"> </w:t>
      </w:r>
      <w:r w:rsidRPr="008516D1">
        <w:t>que</w:t>
      </w:r>
      <w:r>
        <w:t xml:space="preserve"> </w:t>
      </w:r>
      <w:r w:rsidRPr="008516D1">
        <w:t>tout</w:t>
      </w:r>
      <w:r>
        <w:t xml:space="preserve"> </w:t>
      </w:r>
      <w:r w:rsidRPr="008516D1">
        <w:t>policier</w:t>
      </w:r>
      <w:r>
        <w:t xml:space="preserve"> </w:t>
      </w:r>
      <w:r w:rsidRPr="008516D1">
        <w:t>ayant</w:t>
      </w:r>
      <w:r>
        <w:t xml:space="preserve"> </w:t>
      </w:r>
      <w:r w:rsidRPr="008516D1">
        <w:t>connaissance</w:t>
      </w:r>
      <w:r>
        <w:t xml:space="preserve"> </w:t>
      </w:r>
      <w:r w:rsidRPr="008516D1">
        <w:t>de</w:t>
      </w:r>
      <w:r>
        <w:t xml:space="preserve"> </w:t>
      </w:r>
      <w:r w:rsidRPr="008516D1">
        <w:t>la</w:t>
      </w:r>
      <w:r>
        <w:t xml:space="preserve"> </w:t>
      </w:r>
      <w:r w:rsidRPr="008516D1">
        <w:t>commission</w:t>
      </w:r>
      <w:r>
        <w:t xml:space="preserve"> </w:t>
      </w:r>
      <w:r w:rsidRPr="008516D1">
        <w:t>présumée</w:t>
      </w:r>
      <w:r>
        <w:t xml:space="preserve"> </w:t>
      </w:r>
      <w:r w:rsidRPr="008516D1">
        <w:t>d</w:t>
      </w:r>
      <w:r>
        <w:t>’</w:t>
      </w:r>
      <w:r w:rsidRPr="008516D1">
        <w:t>infractions</w:t>
      </w:r>
      <w:r>
        <w:t xml:space="preserve"> </w:t>
      </w:r>
      <w:r w:rsidRPr="008516D1">
        <w:t>est</w:t>
      </w:r>
      <w:r>
        <w:t xml:space="preserve"> </w:t>
      </w:r>
      <w:r w:rsidRPr="008516D1">
        <w:t>tenu</w:t>
      </w:r>
      <w:r>
        <w:t xml:space="preserve"> </w:t>
      </w:r>
      <w:r w:rsidRPr="008516D1">
        <w:t>d</w:t>
      </w:r>
      <w:r>
        <w:t>’</w:t>
      </w:r>
      <w:r w:rsidRPr="008516D1">
        <w:t>en</w:t>
      </w:r>
      <w:r>
        <w:t xml:space="preserve"> </w:t>
      </w:r>
      <w:r w:rsidRPr="008516D1">
        <w:t>informer</w:t>
      </w:r>
      <w:r>
        <w:t xml:space="preserve"> </w:t>
      </w:r>
      <w:r w:rsidRPr="008516D1">
        <w:t>son</w:t>
      </w:r>
      <w:r>
        <w:t xml:space="preserve"> </w:t>
      </w:r>
      <w:r w:rsidRPr="008516D1">
        <w:t>supérieur</w:t>
      </w:r>
      <w:r>
        <w:t xml:space="preserve"> </w:t>
      </w:r>
      <w:r w:rsidRPr="008516D1">
        <w:t>immédiat,</w:t>
      </w:r>
      <w:r>
        <w:t xml:space="preserve"> </w:t>
      </w:r>
      <w:r w:rsidRPr="008516D1">
        <w:t>le</w:t>
      </w:r>
      <w:r>
        <w:t xml:space="preserve"> </w:t>
      </w:r>
      <w:r w:rsidRPr="008516D1">
        <w:t>ministère</w:t>
      </w:r>
      <w:r>
        <w:t xml:space="preserve"> </w:t>
      </w:r>
      <w:r w:rsidRPr="008516D1">
        <w:t>public</w:t>
      </w:r>
      <w:r>
        <w:t xml:space="preserve"> </w:t>
      </w:r>
      <w:r w:rsidRPr="008516D1">
        <w:t>ou</w:t>
      </w:r>
      <w:r>
        <w:t xml:space="preserve"> </w:t>
      </w:r>
      <w:r w:rsidRPr="008516D1">
        <w:t>toute</w:t>
      </w:r>
      <w:r>
        <w:t xml:space="preserve"> </w:t>
      </w:r>
      <w:r w:rsidRPr="008516D1">
        <w:t>autre</w:t>
      </w:r>
      <w:r>
        <w:t xml:space="preserve"> </w:t>
      </w:r>
      <w:r w:rsidRPr="008516D1">
        <w:t>autorité</w:t>
      </w:r>
      <w:r>
        <w:t xml:space="preserve"> </w:t>
      </w:r>
      <w:r w:rsidRPr="008516D1">
        <w:t>compétente,</w:t>
      </w:r>
      <w:r>
        <w:t xml:space="preserve"> </w:t>
      </w:r>
      <w:r w:rsidRPr="008516D1">
        <w:t>afin</w:t>
      </w:r>
      <w:r>
        <w:t xml:space="preserve"> </w:t>
      </w:r>
      <w:r w:rsidRPr="008516D1">
        <w:t>qu</w:t>
      </w:r>
      <w:r>
        <w:t>’</w:t>
      </w:r>
      <w:r w:rsidRPr="008516D1">
        <w:t>une</w:t>
      </w:r>
      <w:r>
        <w:t xml:space="preserve"> </w:t>
      </w:r>
      <w:r w:rsidRPr="008516D1">
        <w:t>enquête</w:t>
      </w:r>
      <w:r>
        <w:t xml:space="preserve"> </w:t>
      </w:r>
      <w:r w:rsidRPr="008516D1">
        <w:t>soit</w:t>
      </w:r>
      <w:r>
        <w:t xml:space="preserve"> </w:t>
      </w:r>
      <w:r w:rsidRPr="008516D1">
        <w:t>ouverte</w:t>
      </w:r>
      <w:r>
        <w:t xml:space="preserve"> </w:t>
      </w:r>
      <w:r w:rsidRPr="008516D1">
        <w:t>(</w:t>
      </w:r>
      <w:r w:rsidR="003A61DD">
        <w:t>art. </w:t>
      </w:r>
      <w:r w:rsidRPr="008516D1">
        <w:t>10,</w:t>
      </w:r>
      <w:r>
        <w:t xml:space="preserve"> </w:t>
      </w:r>
      <w:r w:rsidR="003A61DD">
        <w:t>par. </w:t>
      </w:r>
      <w:r w:rsidRPr="008516D1">
        <w:t>6).</w:t>
      </w:r>
      <w:r>
        <w:t xml:space="preserve"> </w:t>
      </w:r>
      <w:r w:rsidRPr="008516D1">
        <w:t>Elle</w:t>
      </w:r>
      <w:r>
        <w:t xml:space="preserve"> </w:t>
      </w:r>
      <w:r w:rsidRPr="008516D1">
        <w:t>dispose</w:t>
      </w:r>
      <w:r>
        <w:t xml:space="preserve"> </w:t>
      </w:r>
      <w:r w:rsidRPr="008516D1">
        <w:t>également</w:t>
      </w:r>
      <w:r>
        <w:t xml:space="preserve"> </w:t>
      </w:r>
      <w:r w:rsidRPr="008516D1">
        <w:t>que</w:t>
      </w:r>
      <w:r>
        <w:t xml:space="preserve"> </w:t>
      </w:r>
      <w:r w:rsidRPr="008516D1">
        <w:t>tout</w:t>
      </w:r>
      <w:r>
        <w:t xml:space="preserve"> </w:t>
      </w:r>
      <w:r w:rsidRPr="008516D1">
        <w:t>policier</w:t>
      </w:r>
      <w:r>
        <w:t xml:space="preserve"> </w:t>
      </w:r>
      <w:r w:rsidRPr="008516D1">
        <w:t>est</w:t>
      </w:r>
      <w:r>
        <w:t xml:space="preserve"> </w:t>
      </w:r>
      <w:r w:rsidRPr="008516D1">
        <w:t>tenu</w:t>
      </w:r>
      <w:r>
        <w:t xml:space="preserve"> </w:t>
      </w:r>
      <w:r w:rsidRPr="008516D1">
        <w:t>de</w:t>
      </w:r>
      <w:r>
        <w:t xml:space="preserve"> </w:t>
      </w:r>
      <w:r w:rsidRPr="008516D1">
        <w:t>signaler</w:t>
      </w:r>
      <w:r>
        <w:t xml:space="preserve"> </w:t>
      </w:r>
      <w:r w:rsidRPr="008516D1">
        <w:t>aux</w:t>
      </w:r>
      <w:r>
        <w:t xml:space="preserve"> </w:t>
      </w:r>
      <w:r w:rsidRPr="008516D1">
        <w:t>autorités</w:t>
      </w:r>
      <w:r>
        <w:t xml:space="preserve"> </w:t>
      </w:r>
      <w:r w:rsidRPr="008516D1">
        <w:t>compétentes</w:t>
      </w:r>
      <w:r>
        <w:t xml:space="preserve"> </w:t>
      </w:r>
      <w:r w:rsidRPr="008516D1">
        <w:t>tout</w:t>
      </w:r>
      <w:r>
        <w:t xml:space="preserve"> </w:t>
      </w:r>
      <w:r w:rsidRPr="008516D1">
        <w:t>ordre</w:t>
      </w:r>
      <w:r>
        <w:t xml:space="preserve"> </w:t>
      </w:r>
      <w:r w:rsidRPr="008516D1">
        <w:t>illégal</w:t>
      </w:r>
      <w:r>
        <w:t xml:space="preserve"> </w:t>
      </w:r>
      <w:r w:rsidRPr="008516D1">
        <w:t>donné</w:t>
      </w:r>
      <w:r>
        <w:t xml:space="preserve"> </w:t>
      </w:r>
      <w:r w:rsidRPr="008516D1">
        <w:t>par</w:t>
      </w:r>
      <w:r>
        <w:t xml:space="preserve"> </w:t>
      </w:r>
      <w:r w:rsidRPr="008516D1">
        <w:t>son</w:t>
      </w:r>
      <w:r>
        <w:t xml:space="preserve"> </w:t>
      </w:r>
      <w:r w:rsidRPr="008516D1">
        <w:t>supérieur,</w:t>
      </w:r>
      <w:r>
        <w:t xml:space="preserve"> </w:t>
      </w:r>
      <w:r w:rsidRPr="008516D1">
        <w:t>sans</w:t>
      </w:r>
      <w:r>
        <w:t xml:space="preserve"> </w:t>
      </w:r>
      <w:r w:rsidRPr="008516D1">
        <w:t>encourir</w:t>
      </w:r>
      <w:r>
        <w:t xml:space="preserve"> </w:t>
      </w:r>
      <w:r w:rsidRPr="008516D1">
        <w:t>de</w:t>
      </w:r>
      <w:r>
        <w:t xml:space="preserve"> </w:t>
      </w:r>
      <w:r w:rsidRPr="008516D1">
        <w:t>représailles</w:t>
      </w:r>
      <w:r>
        <w:t xml:space="preserve"> </w:t>
      </w:r>
      <w:r w:rsidRPr="008516D1">
        <w:t>(</w:t>
      </w:r>
      <w:r w:rsidR="003A61DD">
        <w:t>art. </w:t>
      </w:r>
      <w:r w:rsidRPr="008516D1">
        <w:t>10,</w:t>
      </w:r>
      <w:r>
        <w:t xml:space="preserve"> </w:t>
      </w:r>
      <w:r w:rsidR="003A61DD">
        <w:t>par. </w:t>
      </w:r>
      <w:r w:rsidRPr="008516D1">
        <w:t>7).</w:t>
      </w:r>
    </w:p>
    <w:p w14:paraId="545D11CB" w14:textId="3F0B4884" w:rsidR="00286956" w:rsidRPr="008516D1" w:rsidRDefault="00286956" w:rsidP="0013732F">
      <w:pPr>
        <w:pStyle w:val="SingleTxtG"/>
      </w:pPr>
      <w:r w:rsidRPr="008516D1">
        <w:t>22.</w:t>
      </w:r>
      <w:r w:rsidRPr="008516D1">
        <w:tab/>
        <w:t>Enfin,</w:t>
      </w:r>
      <w:r>
        <w:t xml:space="preserve"> </w:t>
      </w:r>
      <w:r w:rsidRPr="008516D1">
        <w:t>le</w:t>
      </w:r>
      <w:r>
        <w:t xml:space="preserve"> </w:t>
      </w:r>
      <w:r w:rsidRPr="008516D1">
        <w:t>Règlement</w:t>
      </w:r>
      <w:r>
        <w:t xml:space="preserve"> </w:t>
      </w:r>
      <w:r w:rsidRPr="008516D1">
        <w:t>disciplinaire</w:t>
      </w:r>
      <w:r>
        <w:t xml:space="preserve"> </w:t>
      </w:r>
      <w:r w:rsidRPr="008516D1">
        <w:t>applicable</w:t>
      </w:r>
      <w:r>
        <w:t xml:space="preserve"> </w:t>
      </w:r>
      <w:r w:rsidRPr="008516D1">
        <w:t>au</w:t>
      </w:r>
      <w:r>
        <w:t xml:space="preserve"> </w:t>
      </w:r>
      <w:r w:rsidRPr="008516D1">
        <w:t>personnel</w:t>
      </w:r>
      <w:r>
        <w:t xml:space="preserve"> </w:t>
      </w:r>
      <w:r w:rsidRPr="008516D1">
        <w:t>du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et</w:t>
      </w:r>
      <w:r>
        <w:t xml:space="preserve"> </w:t>
      </w:r>
      <w:r w:rsidRPr="008516D1">
        <w:t>aux</w:t>
      </w:r>
      <w:r>
        <w:t xml:space="preserve"> </w:t>
      </w:r>
      <w:r w:rsidRPr="008516D1">
        <w:t>membres</w:t>
      </w:r>
      <w:r>
        <w:t xml:space="preserve"> </w:t>
      </w:r>
      <w:r w:rsidRPr="008516D1">
        <w:t>de</w:t>
      </w:r>
      <w:r>
        <w:t xml:space="preserve"> </w:t>
      </w:r>
      <w:r w:rsidRPr="008516D1">
        <w:t>la</w:t>
      </w:r>
      <w:r>
        <w:t xml:space="preserve"> </w:t>
      </w:r>
      <w:r w:rsidR="00AB2CD9">
        <w:t>Police nationale</w:t>
      </w:r>
      <w:r>
        <w:t xml:space="preserve"> </w:t>
      </w:r>
      <w:r w:rsidRPr="008516D1">
        <w:t>du</w:t>
      </w:r>
      <w:r>
        <w:t xml:space="preserve"> </w:t>
      </w:r>
      <w:r w:rsidRPr="008516D1">
        <w:t>Honduras</w:t>
      </w:r>
      <w:r>
        <w:t xml:space="preserve"> </w:t>
      </w:r>
      <w:r w:rsidRPr="008516D1">
        <w:t>(</w:t>
      </w:r>
      <w:r w:rsidR="003A61DD">
        <w:t>art. </w:t>
      </w:r>
      <w:r w:rsidRPr="008516D1">
        <w:t>53)</w:t>
      </w:r>
      <w:r>
        <w:t xml:space="preserve"> </w:t>
      </w:r>
      <w:r w:rsidRPr="008516D1">
        <w:t>qualifie</w:t>
      </w:r>
      <w:r>
        <w:t xml:space="preserve"> </w:t>
      </w:r>
      <w:r w:rsidRPr="008516D1">
        <w:t>de</w:t>
      </w:r>
      <w:r>
        <w:t xml:space="preserve"> </w:t>
      </w:r>
      <w:r w:rsidRPr="008516D1">
        <w:t>très</w:t>
      </w:r>
      <w:r>
        <w:t xml:space="preserve"> </w:t>
      </w:r>
      <w:r w:rsidRPr="008516D1">
        <w:t>graves</w:t>
      </w:r>
      <w:r>
        <w:t xml:space="preserve"> </w:t>
      </w:r>
      <w:r w:rsidRPr="008516D1">
        <w:t>les</w:t>
      </w:r>
      <w:r>
        <w:t xml:space="preserve"> </w:t>
      </w:r>
      <w:r w:rsidRPr="008516D1">
        <w:t>infractions</w:t>
      </w:r>
      <w:r>
        <w:t xml:space="preserve"> </w:t>
      </w:r>
      <w:r w:rsidRPr="008516D1">
        <w:t>suivantes</w:t>
      </w:r>
      <w:r>
        <w:t xml:space="preserve"> : </w:t>
      </w:r>
      <w:r w:rsidRPr="008516D1">
        <w:t>ne</w:t>
      </w:r>
      <w:r>
        <w:t xml:space="preserve"> </w:t>
      </w:r>
      <w:r w:rsidRPr="008516D1">
        <w:t>pas</w:t>
      </w:r>
      <w:r>
        <w:t xml:space="preserve"> </w:t>
      </w:r>
      <w:r w:rsidRPr="008516D1">
        <w:t>signaler</w:t>
      </w:r>
      <w:r>
        <w:t xml:space="preserve"> </w:t>
      </w:r>
      <w:r w:rsidRPr="008516D1">
        <w:t>à</w:t>
      </w:r>
      <w:r>
        <w:t xml:space="preserve"> </w:t>
      </w:r>
      <w:r w:rsidRPr="008516D1">
        <w:t>ses</w:t>
      </w:r>
      <w:r>
        <w:t xml:space="preserve"> </w:t>
      </w:r>
      <w:r w:rsidRPr="008516D1">
        <w:t>supérieurs</w:t>
      </w:r>
      <w:r>
        <w:t xml:space="preserve"> </w:t>
      </w:r>
      <w:r w:rsidRPr="008516D1">
        <w:t>les</w:t>
      </w:r>
      <w:r>
        <w:t xml:space="preserve"> </w:t>
      </w:r>
      <w:r w:rsidRPr="008516D1">
        <w:t>actes</w:t>
      </w:r>
      <w:r>
        <w:t xml:space="preserve"> </w:t>
      </w:r>
      <w:r w:rsidRPr="008516D1">
        <w:t>délictueux</w:t>
      </w:r>
      <w:r>
        <w:t xml:space="preserve"> </w:t>
      </w:r>
      <w:r w:rsidRPr="008516D1">
        <w:t>dont</w:t>
      </w:r>
      <w:r>
        <w:t xml:space="preserve"> </w:t>
      </w:r>
      <w:r w:rsidRPr="008516D1">
        <w:t>on</w:t>
      </w:r>
      <w:r>
        <w:t xml:space="preserve"> </w:t>
      </w:r>
      <w:r w:rsidRPr="008516D1">
        <w:t>a</w:t>
      </w:r>
      <w:r>
        <w:t xml:space="preserve"> </w:t>
      </w:r>
      <w:r w:rsidRPr="008516D1">
        <w:t>connaissance</w:t>
      </w:r>
      <w:r>
        <w:t xml:space="preserve"> </w:t>
      </w:r>
      <w:r w:rsidRPr="008516D1">
        <w:t>et</w:t>
      </w:r>
      <w:r>
        <w:t xml:space="preserve"> </w:t>
      </w:r>
      <w:r w:rsidRPr="008516D1">
        <w:t>qu</w:t>
      </w:r>
      <w:r>
        <w:t>’</w:t>
      </w:r>
      <w:r w:rsidRPr="008516D1">
        <w:t>on</w:t>
      </w:r>
      <w:r>
        <w:t xml:space="preserve"> </w:t>
      </w:r>
      <w:r w:rsidRPr="008516D1">
        <w:t>est</w:t>
      </w:r>
      <w:r>
        <w:t xml:space="preserve"> </w:t>
      </w:r>
      <w:r w:rsidRPr="008516D1">
        <w:t>tenu</w:t>
      </w:r>
      <w:r>
        <w:t xml:space="preserve"> </w:t>
      </w:r>
      <w:r w:rsidRPr="008516D1">
        <w:t>de</w:t>
      </w:r>
      <w:r>
        <w:t xml:space="preserve"> </w:t>
      </w:r>
      <w:r w:rsidRPr="008516D1">
        <w:t>signaler</w:t>
      </w:r>
      <w:r>
        <w:t xml:space="preserve"> </w:t>
      </w:r>
      <w:r w:rsidRPr="008516D1">
        <w:t>pour</w:t>
      </w:r>
      <w:r>
        <w:t xml:space="preserve"> </w:t>
      </w:r>
      <w:r w:rsidRPr="008516D1">
        <w:t>des</w:t>
      </w:r>
      <w:r>
        <w:t xml:space="preserve"> </w:t>
      </w:r>
      <w:r w:rsidRPr="008516D1">
        <w:t>raisons</w:t>
      </w:r>
      <w:r>
        <w:t xml:space="preserve"> </w:t>
      </w:r>
      <w:r w:rsidRPr="008516D1">
        <w:t>de</w:t>
      </w:r>
      <w:r>
        <w:t xml:space="preserve"> </w:t>
      </w:r>
      <w:r w:rsidRPr="008516D1">
        <w:t>service,</w:t>
      </w:r>
      <w:r>
        <w:t xml:space="preserve"> </w:t>
      </w:r>
      <w:r w:rsidRPr="008516D1">
        <w:t>ou</w:t>
      </w:r>
      <w:r>
        <w:t xml:space="preserve"> </w:t>
      </w:r>
      <w:r w:rsidRPr="008516D1">
        <w:t>le</w:t>
      </w:r>
      <w:r>
        <w:t xml:space="preserve"> </w:t>
      </w:r>
      <w:r w:rsidRPr="008516D1">
        <w:t>faire</w:t>
      </w:r>
      <w:r>
        <w:t xml:space="preserve"> </w:t>
      </w:r>
      <w:r w:rsidRPr="008516D1">
        <w:t>avec</w:t>
      </w:r>
      <w:r>
        <w:t xml:space="preserve"> </w:t>
      </w:r>
      <w:r w:rsidRPr="008516D1">
        <w:t>un</w:t>
      </w:r>
      <w:r>
        <w:t xml:space="preserve"> </w:t>
      </w:r>
      <w:r w:rsidRPr="008516D1">
        <w:t>retard</w:t>
      </w:r>
      <w:r>
        <w:t xml:space="preserve"> </w:t>
      </w:r>
      <w:r w:rsidRPr="008516D1">
        <w:t>intentionnel</w:t>
      </w:r>
      <w:r>
        <w:t xml:space="preserve"> </w:t>
      </w:r>
      <w:r w:rsidRPr="008516D1">
        <w:t>ou</w:t>
      </w:r>
      <w:r>
        <w:t xml:space="preserve"> </w:t>
      </w:r>
      <w:r w:rsidRPr="008516D1">
        <w:t>sans</w:t>
      </w:r>
      <w:r>
        <w:t xml:space="preserve"> </w:t>
      </w:r>
      <w:r w:rsidRPr="008516D1">
        <w:t>sincérité</w:t>
      </w:r>
      <w:r>
        <w:t xml:space="preserve"> </w:t>
      </w:r>
      <w:r w:rsidRPr="008516D1">
        <w:t>(</w:t>
      </w:r>
      <w:r w:rsidR="003A61DD">
        <w:t>par. </w:t>
      </w:r>
      <w:r w:rsidRPr="008516D1">
        <w:t>5)</w:t>
      </w:r>
      <w:r>
        <w:t xml:space="preserve"> ; </w:t>
      </w:r>
      <w:r w:rsidRPr="008516D1">
        <w:t>(</w:t>
      </w:r>
      <w:r w:rsidR="00A74554">
        <w:t>…</w:t>
      </w:r>
      <w:r w:rsidRPr="008516D1">
        <w:t>)</w:t>
      </w:r>
      <w:r>
        <w:t xml:space="preserve"> </w:t>
      </w:r>
      <w:r w:rsidRPr="008516D1">
        <w:t>couvrir</w:t>
      </w:r>
      <w:r>
        <w:t xml:space="preserve"> </w:t>
      </w:r>
      <w:r w:rsidRPr="008516D1">
        <w:t>des</w:t>
      </w:r>
      <w:r>
        <w:t xml:space="preserve"> </w:t>
      </w:r>
      <w:r w:rsidRPr="008516D1">
        <w:t>infractions</w:t>
      </w:r>
      <w:r>
        <w:t xml:space="preserve"> </w:t>
      </w:r>
      <w:r w:rsidRPr="008516D1">
        <w:t>graves</w:t>
      </w:r>
      <w:r>
        <w:t xml:space="preserve"> </w:t>
      </w:r>
      <w:r w:rsidRPr="008516D1">
        <w:t>et</w:t>
      </w:r>
      <w:r>
        <w:t xml:space="preserve"> </w:t>
      </w:r>
      <w:r w:rsidRPr="008516D1">
        <w:t>très</w:t>
      </w:r>
      <w:r>
        <w:t xml:space="preserve"> </w:t>
      </w:r>
      <w:r w:rsidRPr="008516D1">
        <w:t>graves</w:t>
      </w:r>
      <w:r>
        <w:t xml:space="preserve"> </w:t>
      </w:r>
      <w:r w:rsidRPr="008516D1">
        <w:t>commises</w:t>
      </w:r>
      <w:r>
        <w:t xml:space="preserve"> </w:t>
      </w:r>
      <w:r w:rsidRPr="008516D1">
        <w:t>par</w:t>
      </w:r>
      <w:r>
        <w:t xml:space="preserve"> </w:t>
      </w:r>
      <w:r w:rsidRPr="008516D1">
        <w:t>des</w:t>
      </w:r>
      <w:r>
        <w:t xml:space="preserve"> </w:t>
      </w:r>
      <w:r w:rsidRPr="008516D1">
        <w:t>supérieurs</w:t>
      </w:r>
      <w:r>
        <w:t xml:space="preserve"> </w:t>
      </w:r>
      <w:r w:rsidRPr="008516D1">
        <w:t>ou</w:t>
      </w:r>
      <w:r>
        <w:t xml:space="preserve"> </w:t>
      </w:r>
      <w:r w:rsidRPr="008516D1">
        <w:t>des</w:t>
      </w:r>
      <w:r>
        <w:t xml:space="preserve"> </w:t>
      </w:r>
      <w:r w:rsidRPr="008516D1">
        <w:t>subordonnés</w:t>
      </w:r>
      <w:r>
        <w:t xml:space="preserve"> </w:t>
      </w:r>
      <w:r w:rsidRPr="008516D1">
        <w:t>(</w:t>
      </w:r>
      <w:r w:rsidR="003A61DD">
        <w:t>par. </w:t>
      </w:r>
      <w:r w:rsidRPr="008516D1">
        <w:t>7)</w:t>
      </w:r>
      <w:r>
        <w:t xml:space="preserve"> ; </w:t>
      </w:r>
      <w:r w:rsidRPr="008516D1">
        <w:t>(</w:t>
      </w:r>
      <w:r w:rsidR="00A74554">
        <w:t>…</w:t>
      </w:r>
      <w:r w:rsidRPr="008516D1">
        <w:t>)</w:t>
      </w:r>
      <w:r>
        <w:t xml:space="preserve"> </w:t>
      </w:r>
      <w:r w:rsidRPr="008516D1">
        <w:t>et</w:t>
      </w:r>
      <w:r>
        <w:t xml:space="preserve"> </w:t>
      </w:r>
      <w:r w:rsidRPr="008516D1">
        <w:t>donner</w:t>
      </w:r>
      <w:r>
        <w:t xml:space="preserve"> </w:t>
      </w:r>
      <w:r w:rsidRPr="008516D1">
        <w:t>ou</w:t>
      </w:r>
      <w:r>
        <w:t xml:space="preserve"> </w:t>
      </w:r>
      <w:r w:rsidRPr="008516D1">
        <w:t>exécuter</w:t>
      </w:r>
      <w:r>
        <w:t xml:space="preserve"> </w:t>
      </w:r>
      <w:r w:rsidRPr="008516D1">
        <w:t>des</w:t>
      </w:r>
      <w:r>
        <w:t xml:space="preserve"> </w:t>
      </w:r>
      <w:r w:rsidRPr="008516D1">
        <w:t>ordres</w:t>
      </w:r>
      <w:r>
        <w:t xml:space="preserve"> </w:t>
      </w:r>
      <w:r w:rsidRPr="008516D1">
        <w:t>illégaux</w:t>
      </w:r>
      <w:r>
        <w:t xml:space="preserve"> </w:t>
      </w:r>
      <w:r w:rsidRPr="008516D1">
        <w:t>(</w:t>
      </w:r>
      <w:r w:rsidR="003A61DD">
        <w:t>par. </w:t>
      </w:r>
      <w:r w:rsidRPr="008516D1">
        <w:t>29).</w:t>
      </w:r>
    </w:p>
    <w:p w14:paraId="11807330" w14:textId="728D05E1" w:rsidR="00286956" w:rsidRPr="008516D1" w:rsidRDefault="00286956" w:rsidP="0013732F">
      <w:pPr>
        <w:pStyle w:val="H1G"/>
      </w:pPr>
      <w:bookmarkStart w:id="12" w:name="_Toc76740424"/>
      <w:r w:rsidRPr="008516D1">
        <w:tab/>
        <w:t>D.</w:t>
      </w:r>
      <w:r w:rsidRPr="008516D1">
        <w:tab/>
      </w:r>
      <w:r w:rsidRPr="008516D1">
        <w:tab/>
        <w:t>Caractère</w:t>
      </w:r>
      <w:r>
        <w:t xml:space="preserve"> </w:t>
      </w:r>
      <w:r w:rsidRPr="008516D1">
        <w:t>continu</w:t>
      </w:r>
      <w:r>
        <w:t xml:space="preserve"> </w:t>
      </w:r>
      <w:r w:rsidRPr="008516D1">
        <w:t>de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8)</w:t>
      </w:r>
      <w:bookmarkEnd w:id="12"/>
    </w:p>
    <w:p w14:paraId="07CFB522" w14:textId="66E5A484" w:rsidR="00286956" w:rsidRPr="008516D1" w:rsidRDefault="00286956" w:rsidP="0013732F">
      <w:pPr>
        <w:pStyle w:val="SingleTxtG"/>
        <w:rPr>
          <w:i/>
          <w:iCs/>
        </w:rPr>
      </w:pPr>
      <w:bookmarkStart w:id="13" w:name="_Hlk92653351"/>
      <w:r w:rsidRPr="008516D1">
        <w:t>23.</w:t>
      </w:r>
      <w:r w:rsidRPr="008516D1">
        <w:tab/>
        <w:t>Concernant</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19</w:t>
      </w:r>
      <w:r w:rsidR="00A74554">
        <w:t> a)</w:t>
      </w:r>
      <w:r>
        <w:t xml:space="preserve"> </w:t>
      </w:r>
      <w:r w:rsidRPr="008516D1">
        <w:t>des</w:t>
      </w:r>
      <w:r>
        <w:t xml:space="preserve"> </w:t>
      </w:r>
      <w:r w:rsidRPr="008516D1">
        <w:t>observations</w:t>
      </w:r>
      <w:r>
        <w:t xml:space="preserve"> </w:t>
      </w:r>
      <w:r w:rsidRPr="008516D1">
        <w:t>finales,</w:t>
      </w:r>
      <w:r>
        <w:t xml:space="preserve"> </w:t>
      </w:r>
      <w:r w:rsidRPr="008516D1">
        <w:t>compte</w:t>
      </w:r>
      <w:r>
        <w:t xml:space="preserve"> </w:t>
      </w:r>
      <w:r w:rsidRPr="008516D1">
        <w:t>tenu</w:t>
      </w:r>
      <w:r>
        <w:t xml:space="preserve"> </w:t>
      </w:r>
      <w:r w:rsidRPr="008516D1">
        <w:t>du</w:t>
      </w:r>
      <w:r>
        <w:t xml:space="preserve"> </w:t>
      </w:r>
      <w:r w:rsidRPr="008516D1">
        <w:t>caractère</w:t>
      </w:r>
      <w:r>
        <w:t xml:space="preserve"> </w:t>
      </w:r>
      <w:r w:rsidRPr="008516D1">
        <w:t>continu</w:t>
      </w:r>
      <w:r>
        <w:t xml:space="preserve"> </w:t>
      </w:r>
      <w:r w:rsidRPr="008516D1">
        <w:t>de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r>
        <w:t xml:space="preserve"> </w:t>
      </w:r>
      <w:r w:rsidRPr="008516D1">
        <w:t>qui</w:t>
      </w:r>
      <w:r>
        <w:t xml:space="preserve"> </w:t>
      </w:r>
      <w:r w:rsidRPr="008516D1">
        <w:t>oblige</w:t>
      </w:r>
      <w:r>
        <w:t xml:space="preserve"> </w:t>
      </w:r>
      <w:r w:rsidRPr="008516D1">
        <w:t>les</w:t>
      </w:r>
      <w:r>
        <w:t xml:space="preserve"> </w:t>
      </w:r>
      <w:r w:rsidRPr="008516D1">
        <w:t>États</w:t>
      </w:r>
      <w:r>
        <w:t xml:space="preserve"> </w:t>
      </w:r>
      <w:r w:rsidRPr="008516D1">
        <w:t>à</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le</w:t>
      </w:r>
      <w:r>
        <w:t xml:space="preserve"> </w:t>
      </w:r>
      <w:r w:rsidRPr="008516D1">
        <w:t>délai</w:t>
      </w:r>
      <w:r>
        <w:t xml:space="preserve"> </w:t>
      </w:r>
      <w:r w:rsidRPr="008516D1">
        <w:t>de</w:t>
      </w:r>
      <w:r>
        <w:t xml:space="preserve"> </w:t>
      </w:r>
      <w:r w:rsidRPr="008516D1">
        <w:t>prescription</w:t>
      </w:r>
      <w:r>
        <w:t xml:space="preserve"> </w:t>
      </w:r>
      <w:r w:rsidRPr="008516D1">
        <w:t>de</w:t>
      </w:r>
      <w:r>
        <w:t xml:space="preserve"> </w:t>
      </w:r>
      <w:r w:rsidRPr="008516D1">
        <w:t>cette</w:t>
      </w:r>
      <w:r>
        <w:t xml:space="preserve"> </w:t>
      </w:r>
      <w:r w:rsidRPr="008516D1">
        <w:t>infraction</w:t>
      </w:r>
      <w:r>
        <w:t xml:space="preserve"> </w:t>
      </w:r>
      <w:r w:rsidRPr="008516D1">
        <w:t>soit</w:t>
      </w:r>
      <w:r>
        <w:t xml:space="preserve"> </w:t>
      </w:r>
      <w:r w:rsidRPr="008516D1">
        <w:t>de</w:t>
      </w:r>
      <w:r>
        <w:t xml:space="preserve"> </w:t>
      </w:r>
      <w:r w:rsidRPr="008516D1">
        <w:t>longue</w:t>
      </w:r>
      <w:r>
        <w:t xml:space="preserve"> </w:t>
      </w:r>
      <w:r w:rsidRPr="008516D1">
        <w:t>durée</w:t>
      </w:r>
      <w:r>
        <w:t xml:space="preserve"> </w:t>
      </w:r>
      <w:r w:rsidRPr="008516D1">
        <w:t>et</w:t>
      </w:r>
      <w:r>
        <w:t xml:space="preserve"> </w:t>
      </w:r>
      <w:r w:rsidRPr="008516D1">
        <w:t>proportionné</w:t>
      </w:r>
      <w:r>
        <w:t xml:space="preserve"> </w:t>
      </w:r>
      <w:r w:rsidRPr="008516D1">
        <w:t>à</w:t>
      </w:r>
      <w:r>
        <w:t xml:space="preserve"> </w:t>
      </w:r>
      <w:r w:rsidRPr="008516D1">
        <w:t>son</w:t>
      </w:r>
      <w:r>
        <w:t xml:space="preserve"> </w:t>
      </w:r>
      <w:r w:rsidRPr="008516D1">
        <w:t>extrême</w:t>
      </w:r>
      <w:r>
        <w:t xml:space="preserve"> </w:t>
      </w:r>
      <w:r w:rsidRPr="008516D1">
        <w:t>gravité</w:t>
      </w:r>
      <w:r>
        <w:t xml:space="preserve"> </w:t>
      </w:r>
      <w:r w:rsidRPr="008516D1">
        <w:t>(</w:t>
      </w:r>
      <w:r w:rsidR="003A61DD">
        <w:t>art. </w:t>
      </w:r>
      <w:r w:rsidRPr="008516D1">
        <w:t>8</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des</w:t>
      </w:r>
      <w:r>
        <w:t xml:space="preserve"> </w:t>
      </w:r>
      <w:r w:rsidRPr="008516D1">
        <w:t>dispositions</w:t>
      </w:r>
      <w:r>
        <w:t xml:space="preserve"> </w:t>
      </w:r>
      <w:r w:rsidRPr="008516D1">
        <w:t>de</w:t>
      </w:r>
      <w:r>
        <w:t xml:space="preserve"> </w:t>
      </w:r>
      <w:r w:rsidRPr="008516D1">
        <w:t>l</w:t>
      </w:r>
      <w:r>
        <w:t>’</w:t>
      </w:r>
      <w:r w:rsidRPr="008516D1">
        <w:t>article</w:t>
      </w:r>
      <w:r w:rsidR="00216393">
        <w:t> </w:t>
      </w:r>
      <w:r w:rsidRPr="008516D1">
        <w:t>3</w:t>
      </w:r>
      <w:r>
        <w:t xml:space="preserve"> </w:t>
      </w:r>
      <w:r w:rsidRPr="008516D1">
        <w:t>de</w:t>
      </w:r>
      <w:r>
        <w:t xml:space="preserve"> </w:t>
      </w:r>
      <w:r w:rsidRPr="008516D1">
        <w:t>la</w:t>
      </w:r>
      <w:r>
        <w:t xml:space="preserve"> </w:t>
      </w:r>
      <w:r w:rsidRPr="008516D1">
        <w:t>Convention</w:t>
      </w:r>
      <w:r>
        <w:t xml:space="preserve"> </w:t>
      </w:r>
      <w:r w:rsidRPr="008516D1">
        <w:t>interaméricaine</w:t>
      </w:r>
      <w:r>
        <w:t xml:space="preserve"> </w:t>
      </w:r>
      <w:r w:rsidRPr="008516D1">
        <w:t>sur</w:t>
      </w:r>
      <w:r>
        <w:t xml:space="preserve"> </w:t>
      </w:r>
      <w:r w:rsidRPr="008516D1">
        <w:t>la</w:t>
      </w:r>
      <w:r>
        <w:t xml:space="preserve"> </w:t>
      </w:r>
      <w:r w:rsidRPr="008516D1">
        <w:t>disparition</w:t>
      </w:r>
      <w:r>
        <w:t xml:space="preserve"> </w:t>
      </w:r>
      <w:r w:rsidRPr="008516D1">
        <w:t>forcée</w:t>
      </w:r>
      <w:r>
        <w:t xml:space="preserve"> </w:t>
      </w:r>
      <w:r w:rsidRPr="008516D1">
        <w:t>des</w:t>
      </w:r>
      <w:r>
        <w:t xml:space="preserve"> </w:t>
      </w:r>
      <w:r w:rsidRPr="008516D1">
        <w:t>personnes,</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w:t>
      </w:r>
      <w:r>
        <w:t>’</w:t>
      </w:r>
      <w:r w:rsidRPr="008516D1">
        <w:t>en</w:t>
      </w:r>
      <w:r>
        <w:t xml:space="preserve"> </w:t>
      </w:r>
      <w:r w:rsidRPr="008516D1">
        <w:t>son</w:t>
      </w:r>
      <w:r>
        <w:t xml:space="preserve"> </w:t>
      </w:r>
      <w:r w:rsidRPr="008516D1">
        <w:t>titre</w:t>
      </w:r>
      <w:r>
        <w:t xml:space="preserve"> </w:t>
      </w:r>
      <w:r w:rsidRPr="008516D1">
        <w:t>VIII</w:t>
      </w:r>
      <w:r>
        <w:t xml:space="preserve"> </w:t>
      </w:r>
      <w:r w:rsidRPr="008516D1">
        <w:t>(Extinction</w:t>
      </w:r>
      <w:r>
        <w:t xml:space="preserve"> </w:t>
      </w:r>
      <w:r w:rsidRPr="008516D1">
        <w:t>de</w:t>
      </w:r>
      <w:r>
        <w:t xml:space="preserve"> </w:t>
      </w:r>
      <w:r w:rsidRPr="008516D1">
        <w:t>la</w:t>
      </w:r>
      <w:r>
        <w:t xml:space="preserve"> </w:t>
      </w:r>
      <w:r w:rsidRPr="008516D1">
        <w:t>responsabilité</w:t>
      </w:r>
      <w:r>
        <w:t xml:space="preserve"> </w:t>
      </w:r>
      <w:r w:rsidRPr="008516D1">
        <w:t>pénale</w:t>
      </w:r>
      <w:r>
        <w:t xml:space="preserve"> </w:t>
      </w:r>
      <w:r w:rsidRPr="008516D1">
        <w:t>et</w:t>
      </w:r>
      <w:r>
        <w:t xml:space="preserve"> </w:t>
      </w:r>
      <w:r w:rsidRPr="008516D1">
        <w:t>ses</w:t>
      </w:r>
      <w:r>
        <w:t xml:space="preserve"> </w:t>
      </w:r>
      <w:r w:rsidRPr="008516D1">
        <w:t>effets),</w:t>
      </w:r>
      <w:r>
        <w:t xml:space="preserve"> </w:t>
      </w:r>
      <w:r w:rsidRPr="008516D1">
        <w:t>le</w:t>
      </w:r>
      <w:r>
        <w:t xml:space="preserve"> </w:t>
      </w:r>
      <w:r w:rsidRPr="008516D1">
        <w:t>Code</w:t>
      </w:r>
      <w:r>
        <w:t xml:space="preserve"> </w:t>
      </w:r>
      <w:r w:rsidRPr="008516D1">
        <w:t>pénal</w:t>
      </w:r>
      <w:r>
        <w:t xml:space="preserve"> </w:t>
      </w:r>
      <w:r w:rsidRPr="008516D1">
        <w:t>(</w:t>
      </w:r>
      <w:r w:rsidR="003A61DD">
        <w:t>art. </w:t>
      </w:r>
      <w:r w:rsidRPr="008516D1">
        <w:t>116</w:t>
      </w:r>
      <w:r>
        <w:t xml:space="preserve"> </w:t>
      </w:r>
      <w:r w:rsidRPr="008516D1">
        <w:t>relatif</w:t>
      </w:r>
      <w:r>
        <w:t xml:space="preserve"> </w:t>
      </w:r>
      <w:r w:rsidRPr="008516D1">
        <w:t>aux</w:t>
      </w:r>
      <w:r>
        <w:t xml:space="preserve"> </w:t>
      </w:r>
      <w:r w:rsidRPr="008516D1">
        <w:t>infractions</w:t>
      </w:r>
      <w:r>
        <w:t xml:space="preserve"> </w:t>
      </w:r>
      <w:r w:rsidRPr="008516D1">
        <w:t>et</w:t>
      </w:r>
      <w:r>
        <w:t xml:space="preserve"> </w:t>
      </w:r>
      <w:r w:rsidRPr="008516D1">
        <w:t>aux</w:t>
      </w:r>
      <w:r>
        <w:t xml:space="preserve"> </w:t>
      </w:r>
      <w:r w:rsidRPr="008516D1">
        <w:t>peines</w:t>
      </w:r>
      <w:r>
        <w:t xml:space="preserve"> </w:t>
      </w:r>
      <w:r w:rsidRPr="008516D1">
        <w:t>imprescriptibles)</w:t>
      </w:r>
      <w:r>
        <w:t xml:space="preserve"> </w:t>
      </w:r>
      <w:r w:rsidRPr="008516D1">
        <w:t>dispose</w:t>
      </w:r>
      <w:r>
        <w:t xml:space="preserve"> </w:t>
      </w:r>
      <w:r w:rsidRPr="008516D1">
        <w:t>que</w:t>
      </w:r>
      <w:r>
        <w:t xml:space="preserve"> </w:t>
      </w:r>
      <w:r w:rsidRPr="008516D1">
        <w:t>sont</w:t>
      </w:r>
      <w:r>
        <w:t xml:space="preserve"> </w:t>
      </w:r>
      <w:r w:rsidRPr="008516D1">
        <w:t>imprescriptibles,</w:t>
      </w:r>
      <w:r>
        <w:t xml:space="preserve"> </w:t>
      </w:r>
      <w:r w:rsidRPr="008516D1">
        <w:t>dans</w:t>
      </w:r>
      <w:r>
        <w:t xml:space="preserve"> </w:t>
      </w:r>
      <w:r w:rsidRPr="008516D1">
        <w:t>tous</w:t>
      </w:r>
      <w:r>
        <w:t xml:space="preserve"> </w:t>
      </w:r>
      <w:r w:rsidRPr="008516D1">
        <w:t>les</w:t>
      </w:r>
      <w:r>
        <w:t xml:space="preserve"> </w:t>
      </w:r>
      <w:r w:rsidRPr="008516D1">
        <w:t>cas</w:t>
      </w:r>
      <w:r>
        <w:t> :</w:t>
      </w:r>
    </w:p>
    <w:bookmarkEnd w:id="13"/>
    <w:p w14:paraId="466491C6" w14:textId="5C3FD5EB" w:rsidR="00286956" w:rsidRPr="008516D1" w:rsidRDefault="00286956" w:rsidP="0013732F">
      <w:pPr>
        <w:pStyle w:val="SingleTxtG"/>
        <w:ind w:left="1701"/>
      </w:pPr>
      <w:r w:rsidRPr="008516D1">
        <w:t>1.</w:t>
      </w:r>
      <w:r w:rsidR="0013732F">
        <w:tab/>
      </w:r>
      <w:r w:rsidRPr="008516D1">
        <w:t>Les</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le</w:t>
      </w:r>
      <w:r>
        <w:t xml:space="preserve"> </w:t>
      </w:r>
      <w:r w:rsidRPr="008516D1">
        <w:t>terrorisme</w:t>
      </w:r>
      <w:r>
        <w:t xml:space="preserve"> </w:t>
      </w:r>
      <w:r w:rsidRPr="008516D1">
        <w:t>lorsqu</w:t>
      </w:r>
      <w:r>
        <w:t>’</w:t>
      </w:r>
      <w:r w:rsidRPr="008516D1">
        <w:t>il</w:t>
      </w:r>
      <w:r>
        <w:t xml:space="preserve"> </w:t>
      </w:r>
      <w:r w:rsidRPr="008516D1">
        <w:t>a</w:t>
      </w:r>
      <w:r>
        <w:t xml:space="preserve"> </w:t>
      </w:r>
      <w:r w:rsidRPr="008516D1">
        <w:t>causé</w:t>
      </w:r>
      <w:r>
        <w:t xml:space="preserve"> </w:t>
      </w:r>
      <w:r w:rsidRPr="008516D1">
        <w:t>la</w:t>
      </w:r>
      <w:r>
        <w:t xml:space="preserve"> </w:t>
      </w:r>
      <w:r w:rsidRPr="008516D1">
        <w:t>mort</w:t>
      </w:r>
      <w:r>
        <w:t xml:space="preserve"> </w:t>
      </w:r>
      <w:r w:rsidRPr="008516D1">
        <w:t>d</w:t>
      </w:r>
      <w:r>
        <w:t>’</w:t>
      </w:r>
      <w:r w:rsidRPr="008516D1">
        <w:t>une</w:t>
      </w:r>
      <w:r>
        <w:t xml:space="preserve"> </w:t>
      </w:r>
      <w:r w:rsidRPr="008516D1">
        <w:t>ou</w:t>
      </w:r>
      <w:r>
        <w:t xml:space="preserve"> </w:t>
      </w:r>
      <w:r w:rsidRPr="008516D1">
        <w:t>plusieurs</w:t>
      </w:r>
      <w:r>
        <w:t xml:space="preserve"> </w:t>
      </w:r>
      <w:r w:rsidRPr="008516D1">
        <w:t>personnes,</w:t>
      </w:r>
      <w:r>
        <w:t xml:space="preserve"> </w:t>
      </w:r>
      <w:r w:rsidRPr="008516D1">
        <w:t>la</w:t>
      </w:r>
      <w:r>
        <w:t xml:space="preserve"> </w:t>
      </w:r>
      <w:r w:rsidRPr="008516D1">
        <w:t>torture,</w:t>
      </w:r>
      <w:r>
        <w:t xml:space="preserve"> </w:t>
      </w:r>
      <w:r w:rsidRPr="008516D1">
        <w:t>la</w:t>
      </w:r>
      <w:r>
        <w:t xml:space="preserve"> </w:t>
      </w:r>
      <w:r w:rsidRPr="008516D1">
        <w:t>disparition</w:t>
      </w:r>
      <w:r>
        <w:t xml:space="preserve"> </w:t>
      </w:r>
      <w:r w:rsidRPr="008516D1">
        <w:t>forcée,</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et</w:t>
      </w:r>
      <w:r>
        <w:t xml:space="preserve"> </w:t>
      </w:r>
      <w:r w:rsidRPr="008516D1">
        <w:t>l</w:t>
      </w:r>
      <w:r>
        <w:t>’</w:t>
      </w:r>
      <w:r w:rsidRPr="008516D1">
        <w:t>exploitation</w:t>
      </w:r>
      <w:r>
        <w:t xml:space="preserve"> </w:t>
      </w:r>
      <w:r w:rsidRPr="008516D1">
        <w:t>sexuelle</w:t>
      </w:r>
      <w:r>
        <w:t xml:space="preserve"> </w:t>
      </w:r>
      <w:r w:rsidRPr="008516D1">
        <w:t>des</w:t>
      </w:r>
      <w:r>
        <w:t xml:space="preserve"> </w:t>
      </w:r>
      <w:r w:rsidRPr="008516D1">
        <w:t>mineurs</w:t>
      </w:r>
      <w:r>
        <w:t xml:space="preserve"> </w:t>
      </w:r>
      <w:r w:rsidRPr="008516D1">
        <w:t>de</w:t>
      </w:r>
      <w:r>
        <w:t xml:space="preserve"> </w:t>
      </w:r>
      <w:r w:rsidRPr="008516D1">
        <w:t>moins</w:t>
      </w:r>
      <w:r>
        <w:t xml:space="preserve"> </w:t>
      </w:r>
      <w:r w:rsidRPr="008516D1">
        <w:t>de</w:t>
      </w:r>
      <w:r>
        <w:t xml:space="preserve"> </w:t>
      </w:r>
      <w:r w:rsidRPr="008516D1">
        <w:t>dix-huit</w:t>
      </w:r>
      <w:r>
        <w:t xml:space="preserve"> </w:t>
      </w:r>
      <w:r w:rsidRPr="008516D1">
        <w:t>(18)</w:t>
      </w:r>
      <w:r>
        <w:t xml:space="preserve"> </w:t>
      </w:r>
      <w:r w:rsidRPr="008516D1">
        <w:t>ans</w:t>
      </w:r>
      <w:r>
        <w:t xml:space="preserve"> ; </w:t>
      </w:r>
      <w:r w:rsidRPr="008516D1">
        <w:t>et</w:t>
      </w:r>
    </w:p>
    <w:p w14:paraId="1B392A28" w14:textId="0A99F522" w:rsidR="00286956" w:rsidRPr="008516D1" w:rsidRDefault="00286956" w:rsidP="0013732F">
      <w:pPr>
        <w:pStyle w:val="SingleTxtG"/>
        <w:ind w:left="1701"/>
      </w:pPr>
      <w:r w:rsidRPr="008516D1">
        <w:t>2.</w:t>
      </w:r>
      <w:r w:rsidR="0013732F">
        <w:tab/>
      </w:r>
      <w:r w:rsidRPr="008516D1">
        <w:t>Les</w:t>
      </w:r>
      <w:r>
        <w:t xml:space="preserve"> </w:t>
      </w:r>
      <w:r w:rsidRPr="008516D1">
        <w:t>infractions</w:t>
      </w:r>
      <w:r>
        <w:t xml:space="preserve"> </w:t>
      </w:r>
      <w:r w:rsidRPr="008516D1">
        <w:t>passibles</w:t>
      </w:r>
      <w:r>
        <w:t xml:space="preserve"> </w:t>
      </w:r>
      <w:r w:rsidRPr="008516D1">
        <w:t>d</w:t>
      </w:r>
      <w:r>
        <w:t>’</w:t>
      </w:r>
      <w:r w:rsidRPr="008516D1">
        <w:t>une</w:t>
      </w:r>
      <w:r>
        <w:t xml:space="preserve"> </w:t>
      </w:r>
      <w:r w:rsidRPr="008516D1">
        <w:t>peine</w:t>
      </w:r>
      <w:r>
        <w:t xml:space="preserve"> </w:t>
      </w:r>
      <w:r w:rsidRPr="008516D1">
        <w:t>d</w:t>
      </w:r>
      <w:r>
        <w:t>’</w:t>
      </w:r>
      <w:r w:rsidRPr="008516D1">
        <w:t>emprisonnement</w:t>
      </w:r>
      <w:r>
        <w:t xml:space="preserve"> </w:t>
      </w:r>
      <w:r w:rsidRPr="008516D1">
        <w:t>à</w:t>
      </w:r>
      <w:r>
        <w:t xml:space="preserve"> </w:t>
      </w:r>
      <w:r w:rsidRPr="008516D1">
        <w:t>vie.</w:t>
      </w:r>
    </w:p>
    <w:p w14:paraId="7B12F01C" w14:textId="26427F4B" w:rsidR="00286956" w:rsidRPr="008516D1" w:rsidRDefault="00286956" w:rsidP="0013732F">
      <w:pPr>
        <w:pStyle w:val="SingleTxtG"/>
        <w:keepNext/>
      </w:pPr>
      <w:r w:rsidRPr="008516D1">
        <w:t>24.</w:t>
      </w:r>
      <w:r w:rsidRPr="008516D1">
        <w:tab/>
        <w:t>Sont</w:t>
      </w:r>
      <w:r>
        <w:t xml:space="preserve"> </w:t>
      </w:r>
      <w:r w:rsidRPr="008516D1">
        <w:t>également</w:t>
      </w:r>
      <w:r>
        <w:t xml:space="preserve"> </w:t>
      </w:r>
      <w:r w:rsidRPr="008516D1">
        <w:t>imprescriptibles</w:t>
      </w:r>
      <w:r>
        <w:t> :</w:t>
      </w:r>
    </w:p>
    <w:p w14:paraId="20924920" w14:textId="57F8C9AD" w:rsidR="00286956" w:rsidRPr="008516D1" w:rsidRDefault="00286956" w:rsidP="0013732F">
      <w:pPr>
        <w:pStyle w:val="SingleTxtG"/>
        <w:ind w:left="1701"/>
      </w:pPr>
      <w:r w:rsidRPr="008516D1">
        <w:t>1.</w:t>
      </w:r>
      <w:r w:rsidR="0013732F">
        <w:tab/>
      </w:r>
      <w:r w:rsidRPr="008516D1">
        <w:t>Les</w:t>
      </w:r>
      <w:r>
        <w:t xml:space="preserve"> </w:t>
      </w:r>
      <w:r w:rsidRPr="008516D1">
        <w:t>peines</w:t>
      </w:r>
      <w:r>
        <w:t xml:space="preserve"> </w:t>
      </w:r>
      <w:r w:rsidRPr="008516D1">
        <w:t>prononcées</w:t>
      </w:r>
      <w:r>
        <w:t xml:space="preserve"> </w:t>
      </w:r>
      <w:r w:rsidRPr="008516D1">
        <w:t>dans</w:t>
      </w:r>
      <w:r>
        <w:t xml:space="preserve"> </w:t>
      </w:r>
      <w:r w:rsidRPr="008516D1">
        <w:t>le</w:t>
      </w:r>
      <w:r>
        <w:t xml:space="preserve"> </w:t>
      </w:r>
      <w:r w:rsidRPr="008516D1">
        <w:t>cadre</w:t>
      </w:r>
      <w:r>
        <w:t xml:space="preserve"> </w:t>
      </w:r>
      <w:r w:rsidRPr="008516D1">
        <w:t>d</w:t>
      </w:r>
      <w:r>
        <w:t>’</w:t>
      </w:r>
      <w:r w:rsidRPr="008516D1">
        <w:t>une</w:t>
      </w:r>
      <w:r>
        <w:t xml:space="preserve"> </w:t>
      </w:r>
      <w:r w:rsidRPr="008516D1">
        <w:t>décision</w:t>
      </w:r>
      <w:r>
        <w:t xml:space="preserve"> </w:t>
      </w:r>
      <w:r w:rsidRPr="008516D1">
        <w:t>ayant</w:t>
      </w:r>
      <w:r>
        <w:t xml:space="preserve"> </w:t>
      </w:r>
      <w:r w:rsidRPr="008516D1">
        <w:t>force</w:t>
      </w:r>
      <w:r>
        <w:t xml:space="preserve"> </w:t>
      </w:r>
      <w:r w:rsidRPr="008516D1">
        <w:t>de</w:t>
      </w:r>
      <w:r>
        <w:t xml:space="preserve"> </w:t>
      </w:r>
      <w:r w:rsidRPr="008516D1">
        <w:t>chose</w:t>
      </w:r>
      <w:r>
        <w:t xml:space="preserve"> </w:t>
      </w:r>
      <w:r w:rsidRPr="008516D1">
        <w:t>jugée</w:t>
      </w:r>
      <w:r>
        <w:t xml:space="preserve"> </w:t>
      </w:r>
      <w:r w:rsidRPr="008516D1">
        <w:t>pour</w:t>
      </w:r>
      <w:r>
        <w:t xml:space="preserve"> </w:t>
      </w:r>
      <w:r w:rsidRPr="008516D1">
        <w:t>la</w:t>
      </w:r>
      <w:r>
        <w:t xml:space="preserve"> </w:t>
      </w:r>
      <w:r w:rsidRPr="008516D1">
        <w:t>commission</w:t>
      </w:r>
      <w:r>
        <w:t xml:space="preserve"> </w:t>
      </w:r>
      <w:r w:rsidRPr="008516D1">
        <w:t>des</w:t>
      </w:r>
      <w:r>
        <w:t xml:space="preserve"> </w:t>
      </w:r>
      <w:r w:rsidRPr="008516D1">
        <w:t>infractions</w:t>
      </w:r>
      <w:r>
        <w:t xml:space="preserve"> </w:t>
      </w:r>
      <w:r w:rsidRPr="008516D1">
        <w:t>citées</w:t>
      </w:r>
      <w:r>
        <w:t xml:space="preserve"> </w:t>
      </w:r>
      <w:r w:rsidRPr="008516D1">
        <w:t>aux</w:t>
      </w:r>
      <w:r>
        <w:t xml:space="preserve"> </w:t>
      </w:r>
      <w:r w:rsidRPr="008516D1">
        <w:t>paragraphes</w:t>
      </w:r>
      <w:r>
        <w:t xml:space="preserve"> </w:t>
      </w:r>
      <w:r w:rsidRPr="008516D1">
        <w:t>précédents</w:t>
      </w:r>
      <w:r>
        <w:t xml:space="preserve"> ; </w:t>
      </w:r>
      <w:r w:rsidRPr="008516D1">
        <w:t>et</w:t>
      </w:r>
    </w:p>
    <w:p w14:paraId="270C1A48" w14:textId="73979FDA" w:rsidR="00286956" w:rsidRPr="008516D1" w:rsidRDefault="00286956" w:rsidP="0013732F">
      <w:pPr>
        <w:pStyle w:val="SingleTxtG"/>
        <w:ind w:left="1701"/>
      </w:pPr>
      <w:r w:rsidRPr="008516D1">
        <w:t>2.</w:t>
      </w:r>
      <w:r w:rsidR="0013732F">
        <w:tab/>
      </w:r>
      <w:r w:rsidRPr="008516D1">
        <w:t>Les</w:t>
      </w:r>
      <w:r>
        <w:t xml:space="preserve"> </w:t>
      </w:r>
      <w:r w:rsidRPr="008516D1">
        <w:t>actions</w:t>
      </w:r>
      <w:r>
        <w:t xml:space="preserve"> </w:t>
      </w:r>
      <w:r w:rsidRPr="008516D1">
        <w:t>pénales</w:t>
      </w:r>
      <w:r>
        <w:t xml:space="preserve"> </w:t>
      </w:r>
      <w:r w:rsidRPr="008516D1">
        <w:t>et</w:t>
      </w:r>
      <w:r>
        <w:t xml:space="preserve"> </w:t>
      </w:r>
      <w:r w:rsidRPr="008516D1">
        <w:t>les</w:t>
      </w:r>
      <w:r>
        <w:t xml:space="preserve"> </w:t>
      </w:r>
      <w:r w:rsidRPr="008516D1">
        <w:t>peines</w:t>
      </w:r>
      <w:r>
        <w:t xml:space="preserve"> </w:t>
      </w:r>
      <w:r w:rsidRPr="008516D1">
        <w:t>considérées</w:t>
      </w:r>
      <w:r>
        <w:t xml:space="preserve"> </w:t>
      </w:r>
      <w:r w:rsidRPr="008516D1">
        <w:t>comme</w:t>
      </w:r>
      <w:r>
        <w:t xml:space="preserve"> </w:t>
      </w:r>
      <w:r w:rsidRPr="008516D1">
        <w:t>imprescriptibles</w:t>
      </w:r>
      <w:r>
        <w:t xml:space="preserve"> </w:t>
      </w:r>
      <w:r w:rsidRPr="008516D1">
        <w:t>par</w:t>
      </w:r>
      <w:r>
        <w:t xml:space="preserve"> </w:t>
      </w:r>
      <w:r w:rsidRPr="008516D1">
        <w:t>la</w:t>
      </w:r>
      <w:r>
        <w:t xml:space="preserve"> </w:t>
      </w:r>
      <w:r w:rsidRPr="008516D1">
        <w:t>Constitution,</w:t>
      </w:r>
      <w:r>
        <w:t xml:space="preserve"> </w:t>
      </w:r>
      <w:r w:rsidRPr="008516D1">
        <w:t>les</w:t>
      </w:r>
      <w:r>
        <w:t xml:space="preserve"> </w:t>
      </w:r>
      <w:r w:rsidRPr="008516D1">
        <w:t>traités</w:t>
      </w:r>
      <w:r>
        <w:t xml:space="preserve"> </w:t>
      </w:r>
      <w:r w:rsidRPr="008516D1">
        <w:t>et</w:t>
      </w:r>
      <w:r>
        <w:t xml:space="preserve"> </w:t>
      </w:r>
      <w:r w:rsidRPr="008516D1">
        <w:t>conventions</w:t>
      </w:r>
      <w:r>
        <w:t xml:space="preserve"> </w:t>
      </w:r>
      <w:r w:rsidRPr="008516D1">
        <w:t>internationaux</w:t>
      </w:r>
      <w:r>
        <w:t xml:space="preserve"> </w:t>
      </w:r>
      <w:r w:rsidRPr="008516D1">
        <w:t>signés</w:t>
      </w:r>
      <w:r>
        <w:t xml:space="preserve"> </w:t>
      </w:r>
      <w:r w:rsidRPr="008516D1">
        <w:t>ou</w:t>
      </w:r>
      <w:r>
        <w:t xml:space="preserve"> </w:t>
      </w:r>
      <w:r w:rsidRPr="008516D1">
        <w:t>ratifiés</w:t>
      </w:r>
      <w:r>
        <w:t xml:space="preserve"> </w:t>
      </w:r>
      <w:r w:rsidRPr="008516D1">
        <w:t>par</w:t>
      </w:r>
      <w:r>
        <w:t xml:space="preserve"> </w:t>
      </w:r>
      <w:r w:rsidRPr="008516D1">
        <w:t>le</w:t>
      </w:r>
      <w:r>
        <w:t xml:space="preserve"> </w:t>
      </w:r>
      <w:r w:rsidRPr="008516D1">
        <w:t>Honduras</w:t>
      </w:r>
      <w:r>
        <w:t xml:space="preserve"> </w:t>
      </w:r>
      <w:r w:rsidRPr="008516D1">
        <w:t>ou</w:t>
      </w:r>
      <w:r>
        <w:t xml:space="preserve"> </w:t>
      </w:r>
      <w:r w:rsidRPr="008516D1">
        <w:t>autres</w:t>
      </w:r>
      <w:r>
        <w:t xml:space="preserve"> </w:t>
      </w:r>
      <w:r w:rsidRPr="008516D1">
        <w:t>dispositions</w:t>
      </w:r>
      <w:r>
        <w:t xml:space="preserve"> </w:t>
      </w:r>
      <w:r w:rsidRPr="008516D1">
        <w:t>pénales.</w:t>
      </w:r>
    </w:p>
    <w:p w14:paraId="165904D7" w14:textId="28C82A86" w:rsidR="00286956" w:rsidRPr="008516D1" w:rsidRDefault="00286956" w:rsidP="0013732F">
      <w:pPr>
        <w:pStyle w:val="SingleTxtG"/>
      </w:pPr>
      <w:r w:rsidRPr="008516D1">
        <w:t>25.</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19</w:t>
      </w:r>
      <w:r w:rsidR="00A74554">
        <w:t> b)</w:t>
      </w:r>
      <w:r>
        <w:t xml:space="preserve"> </w:t>
      </w:r>
      <w:r w:rsidRPr="008516D1">
        <w:t>des</w:t>
      </w:r>
      <w:r>
        <w:t xml:space="preserve"> </w:t>
      </w:r>
      <w:r w:rsidRPr="008516D1">
        <w:t>observations</w:t>
      </w:r>
      <w:r>
        <w:t xml:space="preserve"> </w:t>
      </w:r>
      <w:r w:rsidRPr="008516D1">
        <w:t>finales,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w:t>
      </w:r>
      <w:r>
        <w:t>’</w:t>
      </w:r>
      <w:r w:rsidRPr="008516D1">
        <w:t>article</w:t>
      </w:r>
      <w:r>
        <w:t xml:space="preserve"> </w:t>
      </w:r>
      <w:r w:rsidRPr="008516D1">
        <w:t>110</w:t>
      </w:r>
      <w:r>
        <w:t xml:space="preserve"> </w:t>
      </w:r>
      <w:r w:rsidRPr="008516D1">
        <w:t>du</w:t>
      </w:r>
      <w:r>
        <w:t xml:space="preserve"> </w:t>
      </w:r>
      <w:r w:rsidRPr="008516D1">
        <w:t>Code</w:t>
      </w:r>
      <w:r>
        <w:t xml:space="preserve"> </w:t>
      </w:r>
      <w:r w:rsidRPr="008516D1">
        <w:t>pénal</w:t>
      </w:r>
      <w:r>
        <w:t xml:space="preserve"> </w:t>
      </w:r>
      <w:r w:rsidRPr="008516D1">
        <w:t>(par</w:t>
      </w:r>
      <w:r w:rsidR="00216393">
        <w:t>. </w:t>
      </w:r>
      <w:r w:rsidRPr="008516D1">
        <w:t>3</w:t>
      </w:r>
      <w:r>
        <w:t xml:space="preserve"> </w:t>
      </w:r>
      <w:r w:rsidRPr="008516D1">
        <w:t>relatif</w:t>
      </w:r>
      <w:r>
        <w:t xml:space="preserve"> </w:t>
      </w:r>
      <w:r w:rsidRPr="008516D1">
        <w:t>au</w:t>
      </w:r>
      <w:r>
        <w:t xml:space="preserve"> </w:t>
      </w:r>
      <w:r w:rsidRPr="008516D1">
        <w:t>calcul</w:t>
      </w:r>
      <w:r>
        <w:t xml:space="preserve"> </w:t>
      </w:r>
      <w:r w:rsidRPr="008516D1">
        <w:t>du</w:t>
      </w:r>
      <w:r>
        <w:t xml:space="preserve"> </w:t>
      </w:r>
      <w:r w:rsidRPr="008516D1">
        <w:t>délai</w:t>
      </w:r>
      <w:r>
        <w:t xml:space="preserve"> </w:t>
      </w:r>
      <w:r w:rsidRPr="008516D1">
        <w:t>de</w:t>
      </w:r>
      <w:r>
        <w:t xml:space="preserve"> </w:t>
      </w:r>
      <w:r w:rsidRPr="008516D1">
        <w:t>prescription</w:t>
      </w:r>
      <w:r>
        <w:t xml:space="preserve"> </w:t>
      </w:r>
      <w:r w:rsidRPr="008516D1">
        <w:t>de</w:t>
      </w:r>
      <w:r>
        <w:t xml:space="preserve"> </w:t>
      </w:r>
      <w:r w:rsidRPr="008516D1">
        <w:t>l</w:t>
      </w:r>
      <w:r>
        <w:t>’</w:t>
      </w:r>
      <w:r w:rsidRPr="008516D1">
        <w:t>action</w:t>
      </w:r>
      <w:r>
        <w:t xml:space="preserve"> </w:t>
      </w:r>
      <w:r w:rsidRPr="008516D1">
        <w:t>pénale)</w:t>
      </w:r>
      <w:r>
        <w:t xml:space="preserve"> </w:t>
      </w:r>
      <w:r w:rsidRPr="008516D1">
        <w:t>prévoit</w:t>
      </w:r>
      <w:r>
        <w:t xml:space="preserve"> </w:t>
      </w:r>
      <w:r w:rsidRPr="008516D1">
        <w:t>que,</w:t>
      </w:r>
      <w:r>
        <w:t xml:space="preserve"> </w:t>
      </w:r>
      <w:r w:rsidRPr="008516D1">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8</w:t>
      </w:r>
      <w:r w:rsidR="00A74554">
        <w:t> b)</w:t>
      </w:r>
      <w:r>
        <w:t xml:space="preserve"> </w:t>
      </w:r>
      <w:r w:rsidRPr="008516D1">
        <w:t>de</w:t>
      </w:r>
      <w:r>
        <w:t xml:space="preserve"> </w:t>
      </w:r>
      <w:r w:rsidRPr="008516D1">
        <w:t>la</w:t>
      </w:r>
      <w:r>
        <w:t xml:space="preserve"> </w:t>
      </w:r>
      <w:r w:rsidRPr="008516D1">
        <w:t>Convention,</w:t>
      </w:r>
      <w:r>
        <w:t xml:space="preserve"> </w:t>
      </w:r>
      <w:r w:rsidRPr="008516D1">
        <w:t>dans</w:t>
      </w:r>
      <w:r>
        <w:t xml:space="preserve"> </w:t>
      </w:r>
      <w:r w:rsidRPr="008516D1">
        <w:t>le</w:t>
      </w:r>
      <w:r>
        <w:t xml:space="preserve"> </w:t>
      </w:r>
      <w:r w:rsidRPr="008516D1">
        <w:t>cas</w:t>
      </w:r>
      <w:r>
        <w:t xml:space="preserve"> </w:t>
      </w:r>
      <w:r w:rsidRPr="008516D1">
        <w:t>des</w:t>
      </w:r>
      <w:r>
        <w:t xml:space="preserve"> </w:t>
      </w:r>
      <w:r w:rsidRPr="008516D1">
        <w:t>infractions</w:t>
      </w:r>
      <w:r>
        <w:t xml:space="preserve"> </w:t>
      </w:r>
      <w:r w:rsidRPr="008516D1">
        <w:t>continues</w:t>
      </w:r>
      <w:r>
        <w:t xml:space="preserve"> </w:t>
      </w:r>
      <w:r w:rsidRPr="008516D1">
        <w:t>telles</w:t>
      </w:r>
      <w:r>
        <w:t xml:space="preserve"> </w:t>
      </w:r>
      <w:r w:rsidRPr="008516D1">
        <w:t>que</w:t>
      </w:r>
      <w:r>
        <w:t xml:space="preserve"> </w:t>
      </w:r>
      <w:r w:rsidRPr="008516D1">
        <w:t>la</w:t>
      </w:r>
      <w:r>
        <w:t xml:space="preserve"> </w:t>
      </w:r>
      <w:r w:rsidRPr="008516D1">
        <w:t>disparition</w:t>
      </w:r>
      <w:r>
        <w:t xml:space="preserve"> </w:t>
      </w:r>
      <w:r w:rsidRPr="008516D1">
        <w:t>forcée,</w:t>
      </w:r>
      <w:r>
        <w:t xml:space="preserve"> </w:t>
      </w:r>
      <w:r w:rsidRPr="008516D1">
        <w:t>le</w:t>
      </w:r>
      <w:r>
        <w:t xml:space="preserve"> </w:t>
      </w:r>
      <w:r w:rsidRPr="008516D1">
        <w:t>délai</w:t>
      </w:r>
      <w:r>
        <w:t xml:space="preserve"> </w:t>
      </w:r>
      <w:r w:rsidRPr="008516D1">
        <w:t>de</w:t>
      </w:r>
      <w:r>
        <w:t xml:space="preserve"> </w:t>
      </w:r>
      <w:r w:rsidRPr="008516D1">
        <w:t>prescription</w:t>
      </w:r>
      <w:r>
        <w:t xml:space="preserve"> </w:t>
      </w:r>
      <w:r w:rsidRPr="008516D1">
        <w:t>commence</w:t>
      </w:r>
      <w:r>
        <w:t xml:space="preserve"> </w:t>
      </w:r>
      <w:r w:rsidRPr="008516D1">
        <w:t>à</w:t>
      </w:r>
      <w:r>
        <w:t xml:space="preserve"> </w:t>
      </w:r>
      <w:r w:rsidRPr="008516D1">
        <w:t>courir</w:t>
      </w:r>
      <w:r>
        <w:t xml:space="preserve"> </w:t>
      </w:r>
      <w:r w:rsidRPr="008516D1">
        <w:t>lorsque</w:t>
      </w:r>
      <w:r>
        <w:t xml:space="preserve"> </w:t>
      </w:r>
      <w:r w:rsidRPr="008516D1">
        <w:t>cesse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p>
    <w:p w14:paraId="701B66EC" w14:textId="77777777" w:rsidR="00286956" w:rsidRPr="008516D1" w:rsidRDefault="00286956" w:rsidP="0013732F">
      <w:pPr>
        <w:pStyle w:val="SingleTxtG"/>
      </w:pPr>
      <w:r w:rsidRPr="008516D1">
        <w:lastRenderedPageBreak/>
        <w:t>26.</w:t>
      </w:r>
      <w:r w:rsidRPr="008516D1">
        <w:tab/>
        <w:t>En</w:t>
      </w:r>
      <w:r>
        <w:t xml:space="preserve"> </w:t>
      </w:r>
      <w:r w:rsidRPr="008516D1">
        <w:t>cas</w:t>
      </w:r>
      <w:r>
        <w:t xml:space="preserve"> </w:t>
      </w:r>
      <w:r w:rsidRPr="008516D1">
        <w:t>de</w:t>
      </w:r>
      <w:r>
        <w:t xml:space="preserve"> </w:t>
      </w:r>
      <w:r w:rsidRPr="008516D1">
        <w:t>prescription</w:t>
      </w:r>
      <w:r>
        <w:t xml:space="preserve"> </w:t>
      </w:r>
      <w:r w:rsidRPr="008516D1">
        <w:t>de</w:t>
      </w:r>
      <w:r>
        <w:t xml:space="preserve"> </w:t>
      </w:r>
      <w:r w:rsidRPr="008516D1">
        <w:t>l</w:t>
      </w:r>
      <w:r>
        <w:t>’</w:t>
      </w:r>
      <w:r w:rsidRPr="008516D1">
        <w:t>action</w:t>
      </w:r>
      <w:r>
        <w:t xml:space="preserve"> </w:t>
      </w:r>
      <w:r w:rsidRPr="008516D1">
        <w:t>pénale,</w:t>
      </w:r>
      <w:r>
        <w:t xml:space="preserve"> </w:t>
      </w:r>
      <w:r w:rsidRPr="008516D1">
        <w:t>il</w:t>
      </w:r>
      <w:r>
        <w:t xml:space="preserve"> </w:t>
      </w:r>
      <w:r w:rsidRPr="008516D1">
        <w:t>est</w:t>
      </w:r>
      <w:r>
        <w:t xml:space="preserve"> </w:t>
      </w:r>
      <w:r w:rsidRPr="008516D1">
        <w:t>possible</w:t>
      </w:r>
      <w:r>
        <w:t xml:space="preserve"> </w:t>
      </w:r>
      <w:r w:rsidRPr="008516D1">
        <w:t>d</w:t>
      </w:r>
      <w:r>
        <w:t>’</w:t>
      </w:r>
      <w:r w:rsidRPr="008516D1">
        <w:t>introduire</w:t>
      </w:r>
      <w:r>
        <w:t xml:space="preserve"> </w:t>
      </w:r>
      <w:r w:rsidRPr="008516D1">
        <w:t>un</w:t>
      </w:r>
      <w:r>
        <w:t xml:space="preserve"> </w:t>
      </w:r>
      <w:r w:rsidRPr="008516D1">
        <w:t>recours</w:t>
      </w:r>
      <w:r>
        <w:t xml:space="preserve"> </w:t>
      </w:r>
      <w:r w:rsidRPr="008516D1">
        <w:t>en</w:t>
      </w:r>
      <w:r>
        <w:t xml:space="preserve"> </w:t>
      </w:r>
      <w:r w:rsidRPr="008516D1">
        <w:t>rétractation</w:t>
      </w:r>
      <w:r>
        <w:t xml:space="preserve"> </w:t>
      </w:r>
      <w:r w:rsidRPr="008516D1">
        <w:t>ou</w:t>
      </w:r>
      <w:r>
        <w:t xml:space="preserve"> </w:t>
      </w:r>
      <w:r w:rsidRPr="008516D1">
        <w:t>en</w:t>
      </w:r>
      <w:r>
        <w:t xml:space="preserve"> </w:t>
      </w:r>
      <w:r w:rsidRPr="008516D1">
        <w:t>appel</w:t>
      </w:r>
      <w:r w:rsidRPr="008516D1">
        <w:rPr>
          <w:rStyle w:val="Appelnotedebasdep"/>
        </w:rPr>
        <w:footnoteReference w:id="46"/>
      </w:r>
      <w:r w:rsidRPr="008516D1">
        <w:t>.</w:t>
      </w:r>
    </w:p>
    <w:p w14:paraId="66485C20" w14:textId="6733DF1B" w:rsidR="00286956" w:rsidRPr="008516D1" w:rsidRDefault="00286956" w:rsidP="0013732F">
      <w:pPr>
        <w:pStyle w:val="H1G"/>
      </w:pPr>
      <w:bookmarkStart w:id="14" w:name="_Toc76740425"/>
      <w:r w:rsidRPr="008516D1">
        <w:tab/>
        <w:t>E.</w:t>
      </w:r>
      <w:r w:rsidRPr="008516D1">
        <w:tab/>
        <w:t>Compétence</w:t>
      </w:r>
      <w:r>
        <w:t xml:space="preserve"> </w:t>
      </w:r>
      <w:r w:rsidRPr="008516D1">
        <w:t>pour</w:t>
      </w:r>
      <w:r>
        <w:t xml:space="preserve"> </w:t>
      </w:r>
      <w:r w:rsidRPr="008516D1">
        <w:t>connaître</w:t>
      </w:r>
      <w:r>
        <w:t xml:space="preserve"> </w:t>
      </w:r>
      <w:r w:rsidRPr="008516D1">
        <w:t>de</w:t>
      </w:r>
      <w:r>
        <w:t xml:space="preserve"> </w:t>
      </w:r>
      <w:r w:rsidRPr="008516D1">
        <w:t>l</w:t>
      </w:r>
      <w:r>
        <w:t>’</w:t>
      </w:r>
      <w:r w:rsidRPr="008516D1">
        <w:t>infraction</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9,</w:t>
      </w:r>
      <w:r>
        <w:t xml:space="preserve"> </w:t>
      </w:r>
      <w:r w:rsidRPr="008516D1">
        <w:t>14</w:t>
      </w:r>
      <w:r>
        <w:t xml:space="preserve"> </w:t>
      </w:r>
      <w:r w:rsidRPr="008516D1">
        <w:t>et</w:t>
      </w:r>
      <w:r>
        <w:t xml:space="preserve"> </w:t>
      </w:r>
      <w:r w:rsidRPr="008516D1">
        <w:t>15)</w:t>
      </w:r>
      <w:bookmarkEnd w:id="14"/>
    </w:p>
    <w:p w14:paraId="01032327" w14:textId="24F6A2D7" w:rsidR="00286956" w:rsidRPr="008516D1" w:rsidRDefault="00286956" w:rsidP="0013732F">
      <w:pPr>
        <w:pStyle w:val="SingleTxtG"/>
        <w:rPr>
          <w:i/>
          <w:iCs/>
        </w:rPr>
      </w:pPr>
      <w:r w:rsidRPr="008516D1">
        <w:t>27.</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21</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prendre</w:t>
      </w:r>
      <w:r>
        <w:t xml:space="preserve"> </w:t>
      </w:r>
      <w:r w:rsidRPr="008516D1">
        <w:t>les</w:t>
      </w:r>
      <w:r>
        <w:t xml:space="preserve"> </w:t>
      </w:r>
      <w:r w:rsidRPr="008516D1">
        <w:t>mesures</w:t>
      </w:r>
      <w:r>
        <w:t xml:space="preserve"> </w:t>
      </w:r>
      <w:r w:rsidRPr="008516D1">
        <w:t>nécessaires</w:t>
      </w:r>
      <w:r>
        <w:t xml:space="preserve"> </w:t>
      </w:r>
      <w:r w:rsidRPr="008516D1">
        <w:t>pour</w:t>
      </w:r>
      <w:r>
        <w:t xml:space="preserve"> </w:t>
      </w:r>
      <w:r w:rsidRPr="008516D1">
        <w:t>garantir</w:t>
      </w:r>
      <w:r>
        <w:t xml:space="preserve"> </w:t>
      </w:r>
      <w:r w:rsidRPr="008516D1">
        <w:t>pleinement</w:t>
      </w:r>
      <w:r>
        <w:t xml:space="preserve"> </w:t>
      </w:r>
      <w:r w:rsidRPr="008516D1">
        <w:t>l</w:t>
      </w:r>
      <w:r>
        <w:t>’</w:t>
      </w:r>
      <w:r w:rsidRPr="008516D1">
        <w:t>exercice</w:t>
      </w:r>
      <w:r>
        <w:t xml:space="preserve"> </w:t>
      </w:r>
      <w:r w:rsidRPr="008516D1">
        <w:t>de</w:t>
      </w:r>
      <w:r>
        <w:t xml:space="preserve"> </w:t>
      </w:r>
      <w:r w:rsidRPr="008516D1">
        <w:t>la</w:t>
      </w:r>
      <w:r>
        <w:t xml:space="preserve"> </w:t>
      </w:r>
      <w:r w:rsidRPr="008516D1">
        <w:t>compétence</w:t>
      </w:r>
      <w:r>
        <w:t xml:space="preserve"> </w:t>
      </w:r>
      <w:r w:rsidRPr="008516D1">
        <w:t>des</w:t>
      </w:r>
      <w:r>
        <w:t xml:space="preserve"> </w:t>
      </w:r>
      <w:r w:rsidRPr="008516D1">
        <w:t>tribunaux</w:t>
      </w:r>
      <w:r>
        <w:t xml:space="preserve"> </w:t>
      </w:r>
      <w:r w:rsidRPr="008516D1">
        <w:t>honduriens</w:t>
      </w:r>
      <w:r>
        <w:t xml:space="preserve"> </w:t>
      </w:r>
      <w:r w:rsidRPr="008516D1">
        <w:t>à</w:t>
      </w:r>
      <w:r>
        <w:t xml:space="preserve"> </w:t>
      </w:r>
      <w:r w:rsidRPr="008516D1">
        <w:t>l</w:t>
      </w:r>
      <w:r>
        <w:t>’</w:t>
      </w:r>
      <w:r w:rsidRPr="008516D1">
        <w:t>égard</w:t>
      </w:r>
      <w:r>
        <w:t xml:space="preserve"> </w:t>
      </w:r>
      <w:r w:rsidRPr="008516D1">
        <w:t>de</w:t>
      </w:r>
      <w:r>
        <w:t xml:space="preserve"> </w:t>
      </w:r>
      <w:r w:rsidRPr="008516D1">
        <w:t>toutes</w:t>
      </w:r>
      <w:r>
        <w:t xml:space="preserve"> </w:t>
      </w:r>
      <w:r w:rsidRPr="008516D1">
        <w:t>les</w:t>
      </w:r>
      <w:r>
        <w:t xml:space="preserve"> </w:t>
      </w:r>
      <w:r w:rsidRPr="008516D1">
        <w:t>infractions</w:t>
      </w:r>
      <w:r>
        <w:t xml:space="preserve"> </w:t>
      </w:r>
      <w:r w:rsidRPr="008516D1">
        <w:t>de</w:t>
      </w:r>
      <w:r>
        <w:t xml:space="preserve"> </w:t>
      </w:r>
      <w:r w:rsidRPr="008516D1">
        <w:t>disparition</w:t>
      </w:r>
      <w:r>
        <w:t xml:space="preserve"> </w:t>
      </w:r>
      <w:r w:rsidRPr="008516D1">
        <w:t>forcée,</w:t>
      </w:r>
      <w:r>
        <w:t xml:space="preserve"> </w:t>
      </w:r>
      <w:r w:rsidRPr="008516D1">
        <w:t>y</w:t>
      </w:r>
      <w:r>
        <w:t xml:space="preserve"> </w:t>
      </w:r>
      <w:r w:rsidRPr="008516D1">
        <w:t>compris</w:t>
      </w:r>
      <w:r>
        <w:t xml:space="preserve"> </w:t>
      </w:r>
      <w:r w:rsidRPr="008516D1">
        <w:t>celles</w:t>
      </w:r>
      <w:r>
        <w:t xml:space="preserve"> </w:t>
      </w:r>
      <w:r w:rsidRPr="008516D1">
        <w:t>commises</w:t>
      </w:r>
      <w:r>
        <w:t xml:space="preserve"> </w:t>
      </w:r>
      <w:r w:rsidRPr="008516D1">
        <w:t>à</w:t>
      </w:r>
      <w:r>
        <w:t xml:space="preserve"> </w:t>
      </w:r>
      <w:r w:rsidRPr="008516D1">
        <w:t>l</w:t>
      </w:r>
      <w:r>
        <w:t>’</w:t>
      </w:r>
      <w:r w:rsidRPr="008516D1">
        <w:t>étranger</w:t>
      </w:r>
      <w:r>
        <w:t xml:space="preserve"> </w:t>
      </w:r>
      <w:r w:rsidRPr="008516D1">
        <w:t>contre</w:t>
      </w:r>
      <w:r>
        <w:t xml:space="preserve"> </w:t>
      </w:r>
      <w:r w:rsidRPr="008516D1">
        <w:t>des</w:t>
      </w:r>
      <w:r>
        <w:t xml:space="preserve"> </w:t>
      </w:r>
      <w:r w:rsidRPr="008516D1">
        <w:t>Honduriens,</w:t>
      </w:r>
      <w:r>
        <w:t xml:space="preserve"> </w:t>
      </w:r>
      <w:r w:rsidRPr="008516D1">
        <w:t>il</w:t>
      </w:r>
      <w:r>
        <w:t xml:space="preserve"> </w:t>
      </w:r>
      <w:r w:rsidRPr="008516D1">
        <w:t>convient</w:t>
      </w:r>
      <w:r>
        <w:t xml:space="preserve"> </w:t>
      </w:r>
      <w:r w:rsidRPr="008516D1">
        <w:t>de</w:t>
      </w:r>
      <w:r>
        <w:t xml:space="preserve"> </w:t>
      </w:r>
      <w:r w:rsidRPr="008516D1">
        <w:t>rappeler</w:t>
      </w:r>
      <w:r>
        <w:t xml:space="preserve"> </w:t>
      </w:r>
      <w:r w:rsidRPr="008516D1">
        <w:t>que</w:t>
      </w:r>
      <w:r>
        <w:t xml:space="preserve"> </w:t>
      </w:r>
      <w:r w:rsidRPr="008516D1">
        <w:t>le</w:t>
      </w:r>
      <w:r>
        <w:t xml:space="preserve"> </w:t>
      </w:r>
      <w:r w:rsidRPr="008516D1">
        <w:t>Code</w:t>
      </w:r>
      <w:r>
        <w:t xml:space="preserve"> </w:t>
      </w:r>
      <w:r w:rsidRPr="008516D1">
        <w:t>pénal</w:t>
      </w:r>
      <w:r>
        <w:t xml:space="preserve"> </w:t>
      </w:r>
      <w:r w:rsidRPr="008516D1">
        <w:t>(</w:t>
      </w:r>
      <w:r w:rsidR="003A61DD">
        <w:t>art. </w:t>
      </w:r>
      <w:r w:rsidRPr="008516D1">
        <w:t>9,</w:t>
      </w:r>
      <w:r>
        <w:t xml:space="preserve"> </w:t>
      </w:r>
      <w:r w:rsidR="003A61DD">
        <w:t>par. </w:t>
      </w:r>
      <w:r w:rsidRPr="008516D1">
        <w:t>3)</w:t>
      </w:r>
      <w:r>
        <w:t xml:space="preserve"> </w:t>
      </w:r>
      <w:r w:rsidRPr="008516D1">
        <w:t>prévoit</w:t>
      </w:r>
      <w:r>
        <w:t xml:space="preserve"> </w:t>
      </w:r>
      <w:r w:rsidRPr="008516D1">
        <w:t>l</w:t>
      </w:r>
      <w:r>
        <w:t>’</w:t>
      </w:r>
      <w:r w:rsidRPr="008516D1">
        <w:t>application</w:t>
      </w:r>
      <w:r>
        <w:t xml:space="preserve"> </w:t>
      </w:r>
      <w:r w:rsidRPr="008516D1">
        <w:t>extraterritoriale</w:t>
      </w:r>
      <w:r>
        <w:t xml:space="preserve"> </w:t>
      </w:r>
      <w:r w:rsidRPr="008516D1">
        <w:t>de</w:t>
      </w:r>
      <w:r>
        <w:t xml:space="preserve"> </w:t>
      </w:r>
      <w:r w:rsidRPr="008516D1">
        <w:t>la</w:t>
      </w:r>
      <w:r>
        <w:t xml:space="preserve"> </w:t>
      </w:r>
      <w:r w:rsidRPr="008516D1">
        <w:t>loi</w:t>
      </w:r>
      <w:r>
        <w:t xml:space="preserve"> </w:t>
      </w:r>
      <w:r w:rsidRPr="008516D1">
        <w:t>pénale,</w:t>
      </w:r>
      <w:r>
        <w:t xml:space="preserve"> </w:t>
      </w:r>
      <w:r w:rsidRPr="008516D1">
        <w:t>lorsque</w:t>
      </w:r>
      <w:r>
        <w:t xml:space="preserve"> </w:t>
      </w:r>
      <w:r w:rsidRPr="008516D1">
        <w:t>l</w:t>
      </w:r>
      <w:r>
        <w:t>’</w:t>
      </w:r>
      <w:r w:rsidRPr="008516D1">
        <w:t>infraction</w:t>
      </w:r>
      <w:r>
        <w:t xml:space="preserve"> </w:t>
      </w:r>
      <w:r w:rsidRPr="008516D1">
        <w:t>a</w:t>
      </w:r>
      <w:r>
        <w:t xml:space="preserve"> </w:t>
      </w:r>
      <w:r w:rsidRPr="008516D1">
        <w:t>été</w:t>
      </w:r>
      <w:r>
        <w:t xml:space="preserve"> </w:t>
      </w:r>
      <w:r w:rsidRPr="008516D1">
        <w:t>commise</w:t>
      </w:r>
      <w:r>
        <w:t xml:space="preserve"> </w:t>
      </w:r>
      <w:r w:rsidRPr="008516D1">
        <w:t>en</w:t>
      </w:r>
      <w:r>
        <w:t xml:space="preserve"> </w:t>
      </w:r>
      <w:r w:rsidRPr="008516D1">
        <w:t>dehors</w:t>
      </w:r>
      <w:r>
        <w:t xml:space="preserve"> </w:t>
      </w:r>
      <w:r w:rsidRPr="008516D1">
        <w:t>du</w:t>
      </w:r>
      <w:r>
        <w:t xml:space="preserve"> </w:t>
      </w:r>
      <w:r w:rsidRPr="008516D1">
        <w:t>territoire</w:t>
      </w:r>
      <w:r>
        <w:t xml:space="preserve"> </w:t>
      </w:r>
      <w:r w:rsidRPr="008516D1">
        <w:t>national,</w:t>
      </w:r>
      <w:r>
        <w:t xml:space="preserve"> </w:t>
      </w:r>
      <w:r w:rsidRPr="008516D1">
        <w:t>dans</w:t>
      </w:r>
      <w:r>
        <w:t xml:space="preserve"> </w:t>
      </w:r>
      <w:r w:rsidRPr="008516D1">
        <w:t>les</w:t>
      </w:r>
      <w:r>
        <w:t xml:space="preserve"> </w:t>
      </w:r>
      <w:r w:rsidRPr="008516D1">
        <w:t>cas</w:t>
      </w:r>
      <w:r>
        <w:t xml:space="preserve"> </w:t>
      </w:r>
      <w:r w:rsidRPr="008516D1">
        <w:t>suivants</w:t>
      </w:r>
      <w:r>
        <w:t xml:space="preserve"> : </w:t>
      </w:r>
      <w:r w:rsidRPr="008516D1">
        <w:t>(</w:t>
      </w:r>
      <w:r w:rsidR="0013732F">
        <w:t>…</w:t>
      </w:r>
      <w:r w:rsidRPr="008516D1">
        <w:t>)</w:t>
      </w:r>
    </w:p>
    <w:p w14:paraId="70683561" w14:textId="06078B61" w:rsidR="00286956" w:rsidRPr="008516D1" w:rsidRDefault="00286956" w:rsidP="0013732F">
      <w:pPr>
        <w:pStyle w:val="SingleTxtG"/>
        <w:ind w:left="1701"/>
      </w:pPr>
      <w:r w:rsidRPr="008516D1">
        <w:t>3.</w:t>
      </w:r>
      <w:r w:rsidR="0013732F">
        <w:tab/>
      </w:r>
      <w:r w:rsidRPr="008516D1">
        <w:t>Principe</w:t>
      </w:r>
      <w:r>
        <w:t xml:space="preserve"> </w:t>
      </w:r>
      <w:r w:rsidRPr="008516D1">
        <w:t>de</w:t>
      </w:r>
      <w:r>
        <w:t xml:space="preserve"> </w:t>
      </w:r>
      <w:r w:rsidRPr="008516D1">
        <w:t>compétence</w:t>
      </w:r>
      <w:r>
        <w:t xml:space="preserve"> </w:t>
      </w:r>
      <w:r w:rsidRPr="008516D1">
        <w:t>universelle</w:t>
      </w:r>
      <w:r>
        <w:t xml:space="preserve"> : </w:t>
      </w:r>
      <w:r w:rsidRPr="008516D1">
        <w:t>indépendamment</w:t>
      </w:r>
      <w:r>
        <w:t xml:space="preserve"> </w:t>
      </w:r>
      <w:r w:rsidRPr="008516D1">
        <w:t>des</w:t>
      </w:r>
      <w:r>
        <w:t xml:space="preserve"> </w:t>
      </w:r>
      <w:r w:rsidRPr="008516D1">
        <w:t>dispositions</w:t>
      </w:r>
      <w:r>
        <w:t xml:space="preserve"> </w:t>
      </w:r>
      <w:r w:rsidRPr="008516D1">
        <w:t>en</w:t>
      </w:r>
      <w:r>
        <w:t xml:space="preserve"> </w:t>
      </w:r>
      <w:r w:rsidRPr="008516D1">
        <w:t>vigueur</w:t>
      </w:r>
      <w:r>
        <w:t xml:space="preserve"> </w:t>
      </w:r>
      <w:r w:rsidRPr="008516D1">
        <w:t>sur</w:t>
      </w:r>
      <w:r>
        <w:t xml:space="preserve"> </w:t>
      </w:r>
      <w:r w:rsidRPr="008516D1">
        <w:t>le</w:t>
      </w:r>
      <w:r>
        <w:t xml:space="preserve"> </w:t>
      </w:r>
      <w:r w:rsidRPr="008516D1">
        <w:t>territoire</w:t>
      </w:r>
      <w:r>
        <w:t xml:space="preserve"> </w:t>
      </w:r>
      <w:r w:rsidRPr="008516D1">
        <w:t>où</w:t>
      </w:r>
      <w:r>
        <w:t xml:space="preserve"> </w:t>
      </w:r>
      <w:r w:rsidRPr="008516D1">
        <w:t>l</w:t>
      </w:r>
      <w:r>
        <w:t>’</w:t>
      </w:r>
      <w:r w:rsidRPr="008516D1">
        <w:t>infraction</w:t>
      </w:r>
      <w:r>
        <w:t xml:space="preserve"> </w:t>
      </w:r>
      <w:r w:rsidRPr="008516D1">
        <w:t>a</w:t>
      </w:r>
      <w:r>
        <w:t xml:space="preserve"> </w:t>
      </w:r>
      <w:r w:rsidRPr="008516D1">
        <w:t>été</w:t>
      </w:r>
      <w:r>
        <w:t xml:space="preserve"> </w:t>
      </w:r>
      <w:r w:rsidRPr="008516D1">
        <w:t>commise</w:t>
      </w:r>
      <w:r>
        <w:t xml:space="preserve"> </w:t>
      </w:r>
      <w:r w:rsidRPr="008516D1">
        <w:t>et</w:t>
      </w:r>
      <w:r>
        <w:t xml:space="preserve"> </w:t>
      </w:r>
      <w:r w:rsidRPr="008516D1">
        <w:t>de</w:t>
      </w:r>
      <w:r>
        <w:t xml:space="preserve"> </w:t>
      </w:r>
      <w:r w:rsidRPr="008516D1">
        <w:t>la</w:t>
      </w:r>
      <w:r>
        <w:t xml:space="preserve"> </w:t>
      </w:r>
      <w:r w:rsidRPr="008516D1">
        <w:t>nationalité</w:t>
      </w:r>
      <w:r>
        <w:t xml:space="preserve"> </w:t>
      </w:r>
      <w:r w:rsidRPr="008516D1">
        <w:t>de</w:t>
      </w:r>
      <w:r>
        <w:t xml:space="preserve"> </w:t>
      </w:r>
      <w:r w:rsidRPr="008516D1">
        <w:t>l</w:t>
      </w:r>
      <w:r>
        <w:t>’</w:t>
      </w:r>
      <w:r w:rsidRPr="008516D1">
        <w:t>auteur,</w:t>
      </w:r>
      <w:r>
        <w:t xml:space="preserve"> </w:t>
      </w:r>
      <w:r w:rsidRPr="008516D1">
        <w:t>les</w:t>
      </w:r>
      <w:r>
        <w:t xml:space="preserve"> </w:t>
      </w:r>
      <w:r w:rsidRPr="008516D1">
        <w:t>infractions</w:t>
      </w:r>
      <w:r>
        <w:t xml:space="preserve"> </w:t>
      </w:r>
      <w:r w:rsidRPr="008516D1">
        <w:t>commises</w:t>
      </w:r>
      <w:r>
        <w:t xml:space="preserve"> </w:t>
      </w:r>
      <w:r w:rsidRPr="008516D1">
        <w:t>à</w:t>
      </w:r>
      <w:r>
        <w:t xml:space="preserve"> </w:t>
      </w:r>
      <w:r w:rsidRPr="008516D1">
        <w:t>l</w:t>
      </w:r>
      <w:r>
        <w:t>’</w:t>
      </w:r>
      <w:r w:rsidRPr="008516D1">
        <w:t>étranger</w:t>
      </w:r>
      <w:r>
        <w:t xml:space="preserve"> </w:t>
      </w:r>
      <w:r w:rsidRPr="008516D1">
        <w:t>peuvent</w:t>
      </w:r>
      <w:r>
        <w:t xml:space="preserve"> </w:t>
      </w:r>
      <w:r w:rsidRPr="008516D1">
        <w:t>être</w:t>
      </w:r>
      <w:r>
        <w:t xml:space="preserve"> </w:t>
      </w:r>
      <w:r w:rsidRPr="008516D1">
        <w:t>jugées</w:t>
      </w:r>
      <w:r>
        <w:t xml:space="preserve"> </w:t>
      </w:r>
      <w:r w:rsidRPr="008516D1">
        <w:t>et</w:t>
      </w:r>
      <w:r>
        <w:t xml:space="preserve"> </w:t>
      </w:r>
      <w:r w:rsidRPr="008516D1">
        <w:t>réprimées</w:t>
      </w:r>
      <w:r>
        <w:t xml:space="preserve"> </w:t>
      </w:r>
      <w:r w:rsidRPr="008516D1">
        <w:t>conformément</w:t>
      </w:r>
      <w:r>
        <w:t xml:space="preserve"> </w:t>
      </w:r>
      <w:r w:rsidRPr="008516D1">
        <w:t>à</w:t>
      </w:r>
      <w:r>
        <w:t xml:space="preserve"> </w:t>
      </w:r>
      <w:r w:rsidRPr="008516D1">
        <w:t>la</w:t>
      </w:r>
      <w:r>
        <w:t xml:space="preserve"> </w:t>
      </w:r>
      <w:r w:rsidRPr="008516D1">
        <w:t>loi</w:t>
      </w:r>
      <w:r>
        <w:t xml:space="preserve"> </w:t>
      </w:r>
      <w:r w:rsidRPr="008516D1">
        <w:t>pénale</w:t>
      </w:r>
      <w:r>
        <w:t xml:space="preserve"> </w:t>
      </w:r>
      <w:r w:rsidRPr="008516D1">
        <w:t>hondurienne</w:t>
      </w:r>
      <w:r>
        <w:t xml:space="preserve"> </w:t>
      </w:r>
      <w:r w:rsidRPr="008516D1">
        <w:t>lorsque</w:t>
      </w:r>
      <w:r>
        <w:t xml:space="preserve"> </w:t>
      </w:r>
      <w:r w:rsidRPr="008516D1">
        <w:t>les</w:t>
      </w:r>
      <w:r>
        <w:t xml:space="preserve"> </w:t>
      </w:r>
      <w:r w:rsidRPr="008516D1">
        <w:t>conditions</w:t>
      </w:r>
      <w:r>
        <w:t xml:space="preserve"> </w:t>
      </w:r>
      <w:r w:rsidRPr="008516D1">
        <w:t>prévues</w:t>
      </w:r>
      <w:r>
        <w:t xml:space="preserve"> </w:t>
      </w:r>
      <w:r w:rsidRPr="008516D1">
        <w:t>par</w:t>
      </w:r>
      <w:r>
        <w:t xml:space="preserve"> </w:t>
      </w:r>
      <w:r w:rsidRPr="008516D1">
        <w:t>les</w:t>
      </w:r>
      <w:r>
        <w:t xml:space="preserve"> </w:t>
      </w:r>
      <w:r w:rsidRPr="008516D1">
        <w:t>instruments</w:t>
      </w:r>
      <w:r>
        <w:t xml:space="preserve"> </w:t>
      </w:r>
      <w:r w:rsidRPr="008516D1">
        <w:t>internationaux</w:t>
      </w:r>
      <w:r>
        <w:t xml:space="preserve"> </w:t>
      </w:r>
      <w:r w:rsidRPr="008516D1">
        <w:t>signés</w:t>
      </w:r>
      <w:r>
        <w:t xml:space="preserve"> </w:t>
      </w:r>
      <w:r w:rsidRPr="008516D1">
        <w:t>ou</w:t>
      </w:r>
      <w:r>
        <w:t xml:space="preserve"> </w:t>
      </w:r>
      <w:r w:rsidRPr="008516D1">
        <w:t>ratifiés</w:t>
      </w:r>
      <w:r>
        <w:t xml:space="preserve"> </w:t>
      </w:r>
      <w:r w:rsidRPr="008516D1">
        <w:t>par</w:t>
      </w:r>
      <w:r>
        <w:t xml:space="preserve"> </w:t>
      </w:r>
      <w:r w:rsidRPr="008516D1">
        <w:t>le</w:t>
      </w:r>
      <w:r>
        <w:t xml:space="preserve"> </w:t>
      </w:r>
      <w:r w:rsidRPr="008516D1">
        <w:t>Honduras</w:t>
      </w:r>
      <w:r>
        <w:t xml:space="preserve"> </w:t>
      </w:r>
      <w:r w:rsidRPr="008516D1">
        <w:t>sont</w:t>
      </w:r>
      <w:r>
        <w:t xml:space="preserve"> </w:t>
      </w:r>
      <w:r w:rsidRPr="008516D1">
        <w:t>remplies,</w:t>
      </w:r>
      <w:r>
        <w:t xml:space="preserve"> </w:t>
      </w:r>
      <w:r w:rsidRPr="008516D1">
        <w:t>ainsi</w:t>
      </w:r>
      <w:r>
        <w:t xml:space="preserve"> </w:t>
      </w:r>
      <w:r w:rsidRPr="008516D1">
        <w:t>que</w:t>
      </w:r>
      <w:r>
        <w:t xml:space="preserve"> </w:t>
      </w:r>
      <w:r w:rsidRPr="008516D1">
        <w:t>lorsque</w:t>
      </w:r>
      <w:r>
        <w:t xml:space="preserve"> </w:t>
      </w:r>
      <w:r w:rsidRPr="008516D1">
        <w:t>les</w:t>
      </w:r>
      <w:r>
        <w:t xml:space="preserve"> </w:t>
      </w:r>
      <w:r w:rsidRPr="008516D1">
        <w:t>auteurs</w:t>
      </w:r>
      <w:r>
        <w:t xml:space="preserve"> </w:t>
      </w:r>
      <w:r w:rsidRPr="008516D1">
        <w:t>ou</w:t>
      </w:r>
      <w:r>
        <w:t xml:space="preserve"> </w:t>
      </w:r>
      <w:r w:rsidRPr="008516D1">
        <w:t>les</w:t>
      </w:r>
      <w:r>
        <w:t xml:space="preserve"> </w:t>
      </w:r>
      <w:r w:rsidRPr="008516D1">
        <w:t>instruments</w:t>
      </w:r>
      <w:r>
        <w:t xml:space="preserve"> </w:t>
      </w:r>
      <w:r w:rsidRPr="008516D1">
        <w:t>utilisés</w:t>
      </w:r>
      <w:r>
        <w:t xml:space="preserve"> </w:t>
      </w:r>
      <w:r w:rsidRPr="008516D1">
        <w:t>pour</w:t>
      </w:r>
      <w:r>
        <w:t xml:space="preserve"> </w:t>
      </w:r>
      <w:r w:rsidRPr="008516D1">
        <w:t>commettre</w:t>
      </w:r>
      <w:r>
        <w:t xml:space="preserve"> </w:t>
      </w:r>
      <w:r w:rsidRPr="008516D1">
        <w:t>l</w:t>
      </w:r>
      <w:r>
        <w:t>’</w:t>
      </w:r>
      <w:r w:rsidRPr="008516D1">
        <w:t>infraction</w:t>
      </w:r>
      <w:r>
        <w:t xml:space="preserve"> </w:t>
      </w:r>
      <w:r w:rsidRPr="008516D1">
        <w:t>se</w:t>
      </w:r>
      <w:r>
        <w:t xml:space="preserve"> </w:t>
      </w:r>
      <w:r w:rsidRPr="008516D1">
        <w:t>trouvent</w:t>
      </w:r>
      <w:r>
        <w:t xml:space="preserve"> </w:t>
      </w:r>
      <w:r w:rsidRPr="008516D1">
        <w:t>sur</w:t>
      </w:r>
      <w:r>
        <w:t xml:space="preserve"> </w:t>
      </w:r>
      <w:r w:rsidRPr="008516D1">
        <w:t>le</w:t>
      </w:r>
      <w:r>
        <w:t xml:space="preserve"> </w:t>
      </w:r>
      <w:r w:rsidRPr="008516D1">
        <w:t>territoire</w:t>
      </w:r>
      <w:r>
        <w:t xml:space="preserve"> </w:t>
      </w:r>
      <w:r w:rsidRPr="008516D1">
        <w:t>national</w:t>
      </w:r>
      <w:r>
        <w:t xml:space="preserve"> </w:t>
      </w:r>
      <w:r w:rsidRPr="008516D1">
        <w:t>ou</w:t>
      </w:r>
      <w:r>
        <w:t xml:space="preserve"> </w:t>
      </w:r>
      <w:r w:rsidRPr="008516D1">
        <w:t>dans</w:t>
      </w:r>
      <w:r>
        <w:t xml:space="preserve"> </w:t>
      </w:r>
      <w:r w:rsidRPr="008516D1">
        <w:t>un</w:t>
      </w:r>
      <w:r>
        <w:t xml:space="preserve"> </w:t>
      </w:r>
      <w:r w:rsidRPr="008516D1">
        <w:t>lieu</w:t>
      </w:r>
      <w:r>
        <w:t xml:space="preserve"> </w:t>
      </w:r>
      <w:r w:rsidRPr="008516D1">
        <w:t>relevant</w:t>
      </w:r>
      <w:r>
        <w:t xml:space="preserve"> </w:t>
      </w:r>
      <w:r w:rsidRPr="008516D1">
        <w:t>de</w:t>
      </w:r>
      <w:r>
        <w:t xml:space="preserve"> </w:t>
      </w:r>
      <w:r w:rsidRPr="008516D1">
        <w:t>la</w:t>
      </w:r>
      <w:r>
        <w:t xml:space="preserve"> </w:t>
      </w:r>
      <w:r w:rsidRPr="008516D1">
        <w:t>juridiction</w:t>
      </w:r>
      <w:r>
        <w:t xml:space="preserve"> </w:t>
      </w:r>
      <w:r w:rsidRPr="008516D1">
        <w:t>du</w:t>
      </w:r>
      <w:r>
        <w:t xml:space="preserve"> </w:t>
      </w:r>
      <w:r w:rsidRPr="008516D1">
        <w:t>Honduras,</w:t>
      </w:r>
      <w:r>
        <w:t xml:space="preserve"> </w:t>
      </w:r>
      <w:r w:rsidRPr="008516D1">
        <w:t>notamment</w:t>
      </w:r>
      <w:r>
        <w:t xml:space="preserve"> </w:t>
      </w:r>
      <w:r w:rsidRPr="008516D1">
        <w:t>en</w:t>
      </w:r>
      <w:r>
        <w:t xml:space="preserve"> </w:t>
      </w:r>
      <w:r w:rsidRPr="008516D1">
        <w:t>matière</w:t>
      </w:r>
      <w:r>
        <w:t xml:space="preserve"> </w:t>
      </w:r>
      <w:r w:rsidRPr="008516D1">
        <w:t>de</w:t>
      </w:r>
      <w:r>
        <w:t xml:space="preserve"> </w:t>
      </w:r>
      <w:r w:rsidRPr="008516D1">
        <w:t>génocide,</w:t>
      </w:r>
      <w:r>
        <w:t xml:space="preserve"> </w:t>
      </w:r>
      <w:r w:rsidRPr="008516D1">
        <w:t>de</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et</w:t>
      </w:r>
      <w:r>
        <w:t xml:space="preserve"> </w:t>
      </w:r>
      <w:r w:rsidRPr="008516D1">
        <w:t>de</w:t>
      </w:r>
      <w:r>
        <w:t xml:space="preserve"> </w:t>
      </w:r>
      <w:r w:rsidRPr="008516D1">
        <w:t>crimes</w:t>
      </w:r>
      <w:r>
        <w:t xml:space="preserve"> </w:t>
      </w:r>
      <w:r w:rsidRPr="008516D1">
        <w:t>de</w:t>
      </w:r>
      <w:r>
        <w:t xml:space="preserve"> </w:t>
      </w:r>
      <w:r w:rsidRPr="008516D1">
        <w:t>guerre.</w:t>
      </w:r>
    </w:p>
    <w:p w14:paraId="68D4BC81" w14:textId="26BD38C5" w:rsidR="00286956" w:rsidRPr="008516D1" w:rsidRDefault="00286956" w:rsidP="0013732F">
      <w:pPr>
        <w:pStyle w:val="H1G"/>
      </w:pPr>
      <w:bookmarkStart w:id="15" w:name="_Toc76740426"/>
      <w:r w:rsidRPr="008516D1">
        <w:tab/>
        <w:t>F.</w:t>
      </w:r>
      <w:r w:rsidRPr="008516D1">
        <w:tab/>
        <w:t>Enquête</w:t>
      </w:r>
      <w:r>
        <w:t xml:space="preserve"> </w:t>
      </w:r>
      <w:r w:rsidRPr="008516D1">
        <w:t>indépendante</w:t>
      </w:r>
      <w:r>
        <w:t xml:space="preserve"> </w:t>
      </w:r>
      <w:r w:rsidRPr="008516D1">
        <w:t>et</w:t>
      </w:r>
      <w:r>
        <w:t xml:space="preserve"> </w:t>
      </w:r>
      <w:r w:rsidRPr="008516D1">
        <w:t>impartiale</w:t>
      </w:r>
      <w:r>
        <w:t xml:space="preserve"> </w:t>
      </w:r>
      <w:r w:rsidRPr="008516D1">
        <w:t>(</w:t>
      </w:r>
      <w:r w:rsidR="003A61DD">
        <w:t>art. </w:t>
      </w:r>
      <w:r w:rsidRPr="008516D1">
        <w:t>3)</w:t>
      </w:r>
      <w:bookmarkEnd w:id="15"/>
    </w:p>
    <w:p w14:paraId="44508664" w14:textId="5C45F303" w:rsidR="00286956" w:rsidRPr="008516D1" w:rsidRDefault="00286956" w:rsidP="0013732F">
      <w:pPr>
        <w:pStyle w:val="SingleTxtG"/>
      </w:pPr>
      <w:r w:rsidRPr="008516D1">
        <w:t>28.</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23</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garantir</w:t>
      </w:r>
      <w:r>
        <w:t xml:space="preserve"> </w:t>
      </w:r>
      <w:r w:rsidRPr="008516D1">
        <w:t>qu</w:t>
      </w:r>
      <w:r>
        <w:t>’</w:t>
      </w:r>
      <w:r w:rsidRPr="008516D1">
        <w:t>en</w:t>
      </w:r>
      <w:r>
        <w:t xml:space="preserve"> </w:t>
      </w:r>
      <w:r w:rsidRPr="008516D1">
        <w:t>cas</w:t>
      </w:r>
      <w:r>
        <w:t xml:space="preserve"> </w:t>
      </w:r>
      <w:r w:rsidRPr="008516D1">
        <w:t>de</w:t>
      </w:r>
      <w:r>
        <w:t xml:space="preserve"> </w:t>
      </w:r>
      <w:r w:rsidRPr="008516D1">
        <w:t>disparition</w:t>
      </w:r>
      <w:r>
        <w:t xml:space="preserve"> </w:t>
      </w:r>
      <w:r w:rsidRPr="008516D1">
        <w:t>forcée</w:t>
      </w:r>
      <w:r>
        <w:t xml:space="preserve"> </w:t>
      </w:r>
      <w:r w:rsidRPr="008516D1">
        <w:t>mettant</w:t>
      </w:r>
      <w:r>
        <w:t xml:space="preserve"> </w:t>
      </w:r>
      <w:r w:rsidRPr="008516D1">
        <w:t>en</w:t>
      </w:r>
      <w:r>
        <w:t xml:space="preserve"> </w:t>
      </w:r>
      <w:r w:rsidRPr="008516D1">
        <w:t>cause</w:t>
      </w:r>
      <w:r>
        <w:t xml:space="preserve"> </w:t>
      </w:r>
      <w:r w:rsidRPr="008516D1">
        <w:t>des</w:t>
      </w:r>
      <w:r>
        <w:t xml:space="preserve"> </w:t>
      </w:r>
      <w:r w:rsidRPr="008516D1">
        <w:t>membres</w:t>
      </w:r>
      <w:r>
        <w:t xml:space="preserve"> </w:t>
      </w:r>
      <w:r w:rsidRPr="008516D1">
        <w:t>des</w:t>
      </w:r>
      <w:r>
        <w:t xml:space="preserve"> </w:t>
      </w:r>
      <w:r w:rsidRPr="008516D1">
        <w:t>forces</w:t>
      </w:r>
      <w:r>
        <w:t xml:space="preserve"> </w:t>
      </w:r>
      <w:r w:rsidRPr="008516D1">
        <w:t>de</w:t>
      </w:r>
      <w:r>
        <w:t xml:space="preserve"> </w:t>
      </w:r>
      <w:r w:rsidRPr="008516D1">
        <w:t>sécurité,</w:t>
      </w:r>
      <w:r>
        <w:t xml:space="preserve"> </w:t>
      </w:r>
      <w:r w:rsidRPr="008516D1">
        <w:t>les</w:t>
      </w:r>
      <w:r>
        <w:t xml:space="preserve"> </w:t>
      </w:r>
      <w:r w:rsidRPr="008516D1">
        <w:t>enquêtes</w:t>
      </w:r>
      <w:r>
        <w:t xml:space="preserve"> </w:t>
      </w:r>
      <w:r w:rsidRPr="008516D1">
        <w:t>et</w:t>
      </w:r>
      <w:r>
        <w:t xml:space="preserve"> </w:t>
      </w:r>
      <w:r w:rsidRPr="008516D1">
        <w:t>les</w:t>
      </w:r>
      <w:r>
        <w:t xml:space="preserve"> </w:t>
      </w:r>
      <w:r w:rsidRPr="008516D1">
        <w:t>poursuites</w:t>
      </w:r>
      <w:r>
        <w:t xml:space="preserve"> </w:t>
      </w:r>
      <w:r w:rsidRPr="008516D1">
        <w:t>soient</w:t>
      </w:r>
      <w:r>
        <w:t xml:space="preserve"> </w:t>
      </w:r>
      <w:r w:rsidRPr="008516D1">
        <w:t>confiées</w:t>
      </w:r>
      <w:r>
        <w:t xml:space="preserve"> </w:t>
      </w:r>
      <w:r w:rsidRPr="008516D1">
        <w:t>à</w:t>
      </w:r>
      <w:r>
        <w:t xml:space="preserve"> </w:t>
      </w:r>
      <w:r w:rsidRPr="008516D1">
        <w:t>des</w:t>
      </w:r>
      <w:r>
        <w:t xml:space="preserve"> </w:t>
      </w:r>
      <w:r w:rsidRPr="008516D1">
        <w:t>juges</w:t>
      </w:r>
      <w:r>
        <w:t xml:space="preserve"> </w:t>
      </w:r>
      <w:r w:rsidRPr="008516D1">
        <w:t>et</w:t>
      </w:r>
      <w:r>
        <w:t xml:space="preserve"> </w:t>
      </w:r>
      <w:r w:rsidRPr="008516D1">
        <w:t>des</w:t>
      </w:r>
      <w:r>
        <w:t xml:space="preserve"> </w:t>
      </w:r>
      <w:r w:rsidRPr="008516D1">
        <w:t>procureurs</w:t>
      </w:r>
      <w:r>
        <w:t xml:space="preserve"> </w:t>
      </w:r>
      <w:r w:rsidRPr="008516D1">
        <w:t>compétents,</w:t>
      </w:r>
      <w:r>
        <w:t xml:space="preserve"> </w:t>
      </w:r>
      <w:r w:rsidRPr="008516D1">
        <w:t>indépendants</w:t>
      </w:r>
      <w:r>
        <w:t xml:space="preserve"> </w:t>
      </w:r>
      <w:r w:rsidRPr="008516D1">
        <w:t>et</w:t>
      </w:r>
      <w:r>
        <w:t xml:space="preserve"> </w:t>
      </w:r>
      <w:r w:rsidRPr="008516D1">
        <w:t>impartiaux</w:t>
      </w:r>
      <w:r>
        <w:t xml:space="preserve"> </w:t>
      </w:r>
      <w:r w:rsidRPr="008516D1">
        <w:t>n</w:t>
      </w:r>
      <w:r>
        <w:t>’</w:t>
      </w:r>
      <w:r w:rsidRPr="008516D1">
        <w:t>ayant</w:t>
      </w:r>
      <w:r>
        <w:t xml:space="preserve"> </w:t>
      </w:r>
      <w:r w:rsidRPr="008516D1">
        <w:t>aucun</w:t>
      </w:r>
      <w:r>
        <w:t xml:space="preserve"> </w:t>
      </w:r>
      <w:r w:rsidRPr="008516D1">
        <w:t>lien</w:t>
      </w:r>
      <w:r>
        <w:t xml:space="preserve"> </w:t>
      </w:r>
      <w:r w:rsidRPr="008516D1">
        <w:t>institutionnel</w:t>
      </w:r>
      <w:r>
        <w:t xml:space="preserve"> </w:t>
      </w:r>
      <w:r w:rsidRPr="008516D1">
        <w:t>avec</w:t>
      </w:r>
      <w:r>
        <w:t xml:space="preserve"> </w:t>
      </w:r>
      <w:r w:rsidRPr="008516D1">
        <w:t>l</w:t>
      </w:r>
      <w:r>
        <w:t>’</w:t>
      </w:r>
      <w:r w:rsidRPr="008516D1">
        <w:t>entité</w:t>
      </w:r>
      <w:r>
        <w:t xml:space="preserve"> </w:t>
      </w:r>
      <w:r w:rsidRPr="008516D1">
        <w:t>à</w:t>
      </w:r>
      <w:r>
        <w:t xml:space="preserve"> </w:t>
      </w:r>
      <w:r w:rsidRPr="008516D1">
        <w:t>laquelle</w:t>
      </w:r>
      <w:r>
        <w:t xml:space="preserve"> </w:t>
      </w:r>
      <w:r w:rsidRPr="008516D1">
        <w:t>appartiennent</w:t>
      </w:r>
      <w:r>
        <w:t xml:space="preserve"> </w:t>
      </w:r>
      <w:r w:rsidRPr="008516D1">
        <w:t>les</w:t>
      </w:r>
      <w:r>
        <w:t xml:space="preserve"> </w:t>
      </w:r>
      <w:r w:rsidRPr="008516D1">
        <w:t>personnes</w:t>
      </w:r>
      <w:r>
        <w:t xml:space="preserve"> </w:t>
      </w:r>
      <w:r w:rsidRPr="008516D1">
        <w:t>concernées,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le</w:t>
      </w:r>
      <w:r>
        <w:t xml:space="preserve"> </w:t>
      </w:r>
      <w:r w:rsidRPr="008516D1">
        <w:t>Congrès</w:t>
      </w:r>
      <w:r>
        <w:t xml:space="preserve"> </w:t>
      </w:r>
      <w:r w:rsidRPr="008516D1">
        <w:t>national</w:t>
      </w:r>
      <w:r>
        <w:t xml:space="preserve"> </w:t>
      </w:r>
      <w:r w:rsidRPr="008516D1">
        <w:t>et</w:t>
      </w:r>
      <w:r>
        <w:t xml:space="preserve"> </w:t>
      </w:r>
      <w:r w:rsidRPr="008516D1">
        <w:t>le</w:t>
      </w:r>
      <w:r>
        <w:t xml:space="preserve"> </w:t>
      </w:r>
      <w:r w:rsidRPr="008516D1">
        <w:t>pouvoir</w:t>
      </w:r>
      <w:r>
        <w:t xml:space="preserve"> </w:t>
      </w:r>
      <w:r w:rsidRPr="008516D1">
        <w:t>judiciaire</w:t>
      </w:r>
      <w:r>
        <w:t xml:space="preserve"> </w:t>
      </w:r>
      <w:r w:rsidRPr="008516D1">
        <w:t>ont</w:t>
      </w:r>
      <w:r>
        <w:t xml:space="preserve"> </w:t>
      </w:r>
      <w:r w:rsidRPr="008516D1">
        <w:t>mis</w:t>
      </w:r>
      <w:r>
        <w:t xml:space="preserve"> </w:t>
      </w:r>
      <w:r w:rsidRPr="008516D1">
        <w:t>en</w:t>
      </w:r>
      <w:r>
        <w:t xml:space="preserve"> </w:t>
      </w:r>
      <w:r w:rsidRPr="008516D1">
        <w:t>œuvre</w:t>
      </w:r>
      <w:r>
        <w:t xml:space="preserve"> </w:t>
      </w:r>
      <w:r w:rsidRPr="008516D1">
        <w:t>une</w:t>
      </w:r>
      <w:r>
        <w:t xml:space="preserve"> </w:t>
      </w:r>
      <w:r w:rsidRPr="008516D1">
        <w:t>série</w:t>
      </w:r>
      <w:r>
        <w:t xml:space="preserve"> </w:t>
      </w:r>
      <w:r w:rsidRPr="008516D1">
        <w:t>de</w:t>
      </w:r>
      <w:r>
        <w:t xml:space="preserve"> </w:t>
      </w:r>
      <w:r w:rsidRPr="008516D1">
        <w:t>mesures</w:t>
      </w:r>
      <w:r>
        <w:t xml:space="preserve"> </w:t>
      </w:r>
      <w:r w:rsidRPr="008516D1">
        <w:t>législatives</w:t>
      </w:r>
      <w:r>
        <w:t xml:space="preserve"> </w:t>
      </w:r>
      <w:r w:rsidRPr="008516D1">
        <w:t>et</w:t>
      </w:r>
      <w:r>
        <w:t xml:space="preserve"> </w:t>
      </w:r>
      <w:r w:rsidRPr="008516D1">
        <w:t>administratives</w:t>
      </w:r>
      <w:r>
        <w:t xml:space="preserve"> </w:t>
      </w:r>
      <w:r w:rsidRPr="008516D1">
        <w:t>en</w:t>
      </w:r>
      <w:r>
        <w:t xml:space="preserve"> </w:t>
      </w:r>
      <w:r w:rsidRPr="008516D1">
        <w:t>vue</w:t>
      </w:r>
      <w:r>
        <w:t xml:space="preserve"> </w:t>
      </w:r>
      <w:r w:rsidRPr="008516D1">
        <w:t>d</w:t>
      </w:r>
      <w:r>
        <w:t>’</w:t>
      </w:r>
      <w:r w:rsidRPr="008516D1">
        <w:t>élargir</w:t>
      </w:r>
      <w:r>
        <w:t xml:space="preserve"> </w:t>
      </w:r>
      <w:r w:rsidRPr="008516D1">
        <w:t>les</w:t>
      </w:r>
      <w:r>
        <w:t xml:space="preserve"> </w:t>
      </w:r>
      <w:r w:rsidRPr="008516D1">
        <w:t>pouvoirs</w:t>
      </w:r>
      <w:r>
        <w:t xml:space="preserve"> </w:t>
      </w:r>
      <w:r w:rsidRPr="008516D1">
        <w:t>des</w:t>
      </w:r>
      <w:r>
        <w:t xml:space="preserve"> </w:t>
      </w:r>
      <w:r w:rsidRPr="008516D1">
        <w:t>juges</w:t>
      </w:r>
      <w:r>
        <w:t xml:space="preserve"> </w:t>
      </w:r>
      <w:r w:rsidRPr="008516D1">
        <w:t>en</w:t>
      </w:r>
      <w:r>
        <w:t xml:space="preserve"> </w:t>
      </w:r>
      <w:r w:rsidRPr="008516D1">
        <w:t>matière</w:t>
      </w:r>
      <w:r>
        <w:t xml:space="preserve"> </w:t>
      </w:r>
      <w:r w:rsidRPr="008516D1">
        <w:t>pénale</w:t>
      </w:r>
      <w:r>
        <w:t xml:space="preserve"> </w:t>
      </w:r>
      <w:r w:rsidRPr="008516D1">
        <w:t>et</w:t>
      </w:r>
      <w:r>
        <w:t xml:space="preserve"> </w:t>
      </w:r>
      <w:r w:rsidRPr="008516D1">
        <w:t>à</w:t>
      </w:r>
      <w:r>
        <w:t xml:space="preserve"> </w:t>
      </w:r>
      <w:r w:rsidRPr="008516D1">
        <w:t>renforcer</w:t>
      </w:r>
      <w:r>
        <w:t xml:space="preserve"> </w:t>
      </w:r>
      <w:r w:rsidRPr="008516D1">
        <w:t>la</w:t>
      </w:r>
      <w:r>
        <w:t xml:space="preserve"> </w:t>
      </w:r>
      <w:r w:rsidRPr="008516D1">
        <w:t>gestion</w:t>
      </w:r>
      <w:r>
        <w:t xml:space="preserve"> </w:t>
      </w:r>
      <w:r w:rsidRPr="008516D1">
        <w:t>et</w:t>
      </w:r>
      <w:r>
        <w:t xml:space="preserve"> </w:t>
      </w:r>
      <w:r w:rsidRPr="008516D1">
        <w:t>l</w:t>
      </w:r>
      <w:r>
        <w:t>’</w:t>
      </w:r>
      <w:r w:rsidRPr="008516D1">
        <w:t>administration</w:t>
      </w:r>
      <w:r>
        <w:t xml:space="preserve"> </w:t>
      </w:r>
      <w:r w:rsidRPr="008516D1">
        <w:t>de</w:t>
      </w:r>
      <w:r>
        <w:t xml:space="preserve"> </w:t>
      </w:r>
      <w:r w:rsidRPr="008516D1">
        <w:t>la</w:t>
      </w:r>
      <w:r>
        <w:t xml:space="preserve"> </w:t>
      </w:r>
      <w:r w:rsidRPr="008516D1">
        <w:t>justice,</w:t>
      </w:r>
      <w:r>
        <w:t xml:space="preserve"> </w:t>
      </w:r>
      <w:r w:rsidRPr="008516D1">
        <w:t>contribuant</w:t>
      </w:r>
      <w:r>
        <w:t xml:space="preserve"> </w:t>
      </w:r>
      <w:r w:rsidRPr="008516D1">
        <w:t>ainsi</w:t>
      </w:r>
      <w:r>
        <w:t xml:space="preserve"> </w:t>
      </w:r>
      <w:r w:rsidRPr="008516D1">
        <w:t>au</w:t>
      </w:r>
      <w:r>
        <w:t xml:space="preserve"> </w:t>
      </w:r>
      <w:r w:rsidRPr="008516D1">
        <w:t>respect</w:t>
      </w:r>
      <w:r>
        <w:t xml:space="preserve"> </w:t>
      </w:r>
      <w:r w:rsidRPr="008516D1">
        <w:t>du</w:t>
      </w:r>
      <w:r>
        <w:t xml:space="preserve"> </w:t>
      </w:r>
      <w:r w:rsidRPr="008516D1">
        <w:t>principe</w:t>
      </w:r>
      <w:r>
        <w:t xml:space="preserve"> </w:t>
      </w:r>
      <w:r w:rsidRPr="008516D1">
        <w:t>de</w:t>
      </w:r>
      <w:r>
        <w:t xml:space="preserve"> </w:t>
      </w:r>
      <w:r w:rsidRPr="008516D1">
        <w:t>l</w:t>
      </w:r>
      <w:r>
        <w:t>’</w:t>
      </w:r>
      <w:r w:rsidRPr="008516D1">
        <w:t>indépendance</w:t>
      </w:r>
      <w:r>
        <w:t xml:space="preserve"> </w:t>
      </w:r>
      <w:r w:rsidRPr="008516D1">
        <w:t>de</w:t>
      </w:r>
      <w:r>
        <w:t xml:space="preserve"> </w:t>
      </w:r>
      <w:r w:rsidRPr="008516D1">
        <w:t>la</w:t>
      </w:r>
      <w:r>
        <w:t xml:space="preserve"> </w:t>
      </w:r>
      <w:r w:rsidRPr="008516D1">
        <w:t>justice.</w:t>
      </w:r>
      <w:r>
        <w:t xml:space="preserve"> </w:t>
      </w:r>
      <w:r w:rsidRPr="008516D1">
        <w:t>On</w:t>
      </w:r>
      <w:r>
        <w:t xml:space="preserve"> </w:t>
      </w:r>
      <w:r w:rsidRPr="008516D1">
        <w:t>retiendra</w:t>
      </w:r>
      <w:r>
        <w:t xml:space="preserve"> </w:t>
      </w:r>
      <w:r w:rsidRPr="008516D1">
        <w:t>notamment</w:t>
      </w:r>
      <w:r>
        <w:t xml:space="preserve"> </w:t>
      </w:r>
      <w:r w:rsidRPr="008516D1">
        <w:t>les</w:t>
      </w:r>
      <w:r>
        <w:t xml:space="preserve"> </w:t>
      </w:r>
      <w:r w:rsidRPr="008516D1">
        <w:t>mesures</w:t>
      </w:r>
      <w:r>
        <w:t xml:space="preserve"> </w:t>
      </w:r>
      <w:r w:rsidRPr="008516D1">
        <w:t>suivantes</w:t>
      </w:r>
      <w:r>
        <w:t> :</w:t>
      </w:r>
    </w:p>
    <w:p w14:paraId="604088E3" w14:textId="025ECAB9" w:rsidR="00286956" w:rsidRPr="008516D1" w:rsidRDefault="00286956" w:rsidP="0013732F">
      <w:pPr>
        <w:pStyle w:val="SingleTxtG"/>
        <w:ind w:firstLine="567"/>
      </w:pPr>
      <w:r w:rsidRPr="008516D1">
        <w:t>a)</w:t>
      </w:r>
      <w:r w:rsidRPr="008516D1">
        <w:tab/>
        <w:t>Loi</w:t>
      </w:r>
      <w:r>
        <w:t xml:space="preserve"> </w:t>
      </w:r>
      <w:r w:rsidRPr="008516D1">
        <w:t>organique</w:t>
      </w:r>
      <w:r>
        <w:t xml:space="preserve"> </w:t>
      </w:r>
      <w:r w:rsidRPr="008516D1">
        <w:t>relative</w:t>
      </w:r>
      <w:r>
        <w:t xml:space="preserve"> </w:t>
      </w:r>
      <w:r w:rsidRPr="008516D1">
        <w:t>au</w:t>
      </w:r>
      <w:r>
        <w:t xml:space="preserve"> </w:t>
      </w:r>
      <w:r w:rsidRPr="008516D1">
        <w:t>Comité</w:t>
      </w:r>
      <w:r>
        <w:t xml:space="preserve"> </w:t>
      </w:r>
      <w:r w:rsidRPr="008516D1">
        <w:t>de</w:t>
      </w:r>
      <w:r>
        <w:t xml:space="preserve"> </w:t>
      </w:r>
      <w:r w:rsidRPr="008516D1">
        <w:t>désignation</w:t>
      </w:r>
      <w:r>
        <w:t xml:space="preserve"> </w:t>
      </w:r>
      <w:r w:rsidRPr="008516D1">
        <w:t>des</w:t>
      </w:r>
      <w:r>
        <w:t xml:space="preserve"> </w:t>
      </w:r>
      <w:r w:rsidRPr="008516D1">
        <w:t>candidats</w:t>
      </w:r>
      <w:r>
        <w:t xml:space="preserve"> </w:t>
      </w:r>
      <w:r w:rsidRPr="008516D1">
        <w:t>pour</w:t>
      </w:r>
      <w:r>
        <w:t xml:space="preserve"> </w:t>
      </w:r>
      <w:r w:rsidRPr="008516D1">
        <w:t>l</w:t>
      </w:r>
      <w:r>
        <w:t>’</w:t>
      </w:r>
      <w:r w:rsidRPr="008516D1">
        <w:t>élection</w:t>
      </w:r>
      <w:r>
        <w:t xml:space="preserve"> </w:t>
      </w:r>
      <w:r w:rsidRPr="008516D1">
        <w:t>des</w:t>
      </w:r>
      <w:r>
        <w:t xml:space="preserve"> </w:t>
      </w:r>
      <w:r w:rsidRPr="008516D1">
        <w:t>magistrats</w:t>
      </w:r>
      <w:r>
        <w:t xml:space="preserve"> </w:t>
      </w:r>
      <w:r w:rsidRPr="008516D1">
        <w:t>de</w:t>
      </w:r>
      <w:r>
        <w:t xml:space="preserve"> </w:t>
      </w:r>
      <w:r w:rsidRPr="008516D1">
        <w:t>la</w:t>
      </w:r>
      <w:r>
        <w:t xml:space="preserve"> </w:t>
      </w:r>
      <w:r w:rsidRPr="008516D1">
        <w:t>Cour</w:t>
      </w:r>
      <w:r>
        <w:t xml:space="preserve"> </w:t>
      </w:r>
      <w:r w:rsidRPr="008516D1">
        <w:t>suprême</w:t>
      </w:r>
      <w:r w:rsidRPr="008516D1">
        <w:rPr>
          <w:rStyle w:val="Appelnotedebasdep"/>
        </w:rPr>
        <w:footnoteReference w:id="47"/>
      </w:r>
      <w:r>
        <w:t> ;</w:t>
      </w:r>
    </w:p>
    <w:p w14:paraId="26D04F26" w14:textId="60283AA6" w:rsidR="00286956" w:rsidRPr="008516D1" w:rsidRDefault="00286956" w:rsidP="0013732F">
      <w:pPr>
        <w:pStyle w:val="SingleTxtG"/>
        <w:ind w:firstLine="567"/>
      </w:pPr>
      <w:r w:rsidRPr="008516D1">
        <w:t>b)</w:t>
      </w:r>
      <w:r w:rsidRPr="008516D1">
        <w:tab/>
        <w:t>Protocole</w:t>
      </w:r>
      <w:r>
        <w:t xml:space="preserve"> </w:t>
      </w:r>
      <w:r w:rsidRPr="008516D1">
        <w:t>pour</w:t>
      </w:r>
      <w:r>
        <w:t xml:space="preserve"> </w:t>
      </w:r>
      <w:r w:rsidRPr="008516D1">
        <w:t>la</w:t>
      </w:r>
      <w:r>
        <w:t xml:space="preserve"> </w:t>
      </w:r>
      <w:r w:rsidRPr="008516D1">
        <w:t>sélection</w:t>
      </w:r>
      <w:r>
        <w:t xml:space="preserve"> </w:t>
      </w:r>
      <w:r w:rsidRPr="008516D1">
        <w:t>et</w:t>
      </w:r>
      <w:r>
        <w:t xml:space="preserve"> </w:t>
      </w:r>
      <w:r w:rsidRPr="008516D1">
        <w:t>la</w:t>
      </w:r>
      <w:r>
        <w:t xml:space="preserve"> </w:t>
      </w:r>
      <w:r w:rsidRPr="008516D1">
        <w:t>nomination</w:t>
      </w:r>
      <w:r>
        <w:t xml:space="preserve"> </w:t>
      </w:r>
      <w:r w:rsidRPr="008516D1">
        <w:t>des</w:t>
      </w:r>
      <w:r>
        <w:t xml:space="preserve"> </w:t>
      </w:r>
      <w:r w:rsidRPr="008516D1">
        <w:t>magistrats</w:t>
      </w:r>
      <w:r>
        <w:t xml:space="preserve"> </w:t>
      </w:r>
      <w:r w:rsidRPr="008516D1">
        <w:t>des</w:t>
      </w:r>
      <w:r>
        <w:t xml:space="preserve"> </w:t>
      </w:r>
      <w:r w:rsidRPr="008516D1">
        <w:t>cours</w:t>
      </w:r>
      <w:r>
        <w:t xml:space="preserve"> </w:t>
      </w:r>
      <w:r w:rsidRPr="008516D1">
        <w:t>d</w:t>
      </w:r>
      <w:r>
        <w:t>’</w:t>
      </w:r>
      <w:r w:rsidRPr="008516D1">
        <w:t>appel,</w:t>
      </w:r>
      <w:r>
        <w:t xml:space="preserve"> </w:t>
      </w:r>
      <w:r w:rsidRPr="008516D1">
        <w:t>des</w:t>
      </w:r>
      <w:r>
        <w:t xml:space="preserve"> </w:t>
      </w:r>
      <w:r w:rsidRPr="008516D1">
        <w:t>juges</w:t>
      </w:r>
      <w:r>
        <w:t xml:space="preserve"> </w:t>
      </w:r>
      <w:r w:rsidRPr="008516D1">
        <w:t>professionnels,</w:t>
      </w:r>
      <w:r>
        <w:t xml:space="preserve"> </w:t>
      </w:r>
      <w:r w:rsidRPr="008516D1">
        <w:t>des</w:t>
      </w:r>
      <w:r>
        <w:t xml:space="preserve"> </w:t>
      </w:r>
      <w:r w:rsidRPr="008516D1">
        <w:t>juges</w:t>
      </w:r>
      <w:r>
        <w:t xml:space="preserve"> </w:t>
      </w:r>
      <w:r w:rsidRPr="008516D1">
        <w:t>du</w:t>
      </w:r>
      <w:r>
        <w:t xml:space="preserve"> </w:t>
      </w:r>
      <w:r w:rsidRPr="008516D1">
        <w:t>prononcé</w:t>
      </w:r>
      <w:r>
        <w:t xml:space="preserve"> </w:t>
      </w:r>
      <w:r w:rsidRPr="008516D1">
        <w:t>de</w:t>
      </w:r>
      <w:r>
        <w:t xml:space="preserve"> </w:t>
      </w:r>
      <w:r w:rsidRPr="008516D1">
        <w:t>la</w:t>
      </w:r>
      <w:r>
        <w:t xml:space="preserve"> </w:t>
      </w:r>
      <w:r w:rsidRPr="008516D1">
        <w:t>peine,</w:t>
      </w:r>
      <w:r>
        <w:t xml:space="preserve"> </w:t>
      </w:r>
      <w:r w:rsidRPr="008516D1">
        <w:t>des</w:t>
      </w:r>
      <w:r>
        <w:t xml:space="preserve"> </w:t>
      </w:r>
      <w:r w:rsidRPr="008516D1">
        <w:t>juges</w:t>
      </w:r>
      <w:r>
        <w:t xml:space="preserve"> </w:t>
      </w:r>
      <w:r w:rsidRPr="008516D1">
        <w:t>de</w:t>
      </w:r>
      <w:r>
        <w:t xml:space="preserve"> </w:t>
      </w:r>
      <w:r w:rsidRPr="008516D1">
        <w:t>l</w:t>
      </w:r>
      <w:r>
        <w:t>’</w:t>
      </w:r>
      <w:r w:rsidRPr="008516D1">
        <w:t>application</w:t>
      </w:r>
      <w:r>
        <w:t xml:space="preserve"> </w:t>
      </w:r>
      <w:r w:rsidRPr="008516D1">
        <w:t>des</w:t>
      </w:r>
      <w:r>
        <w:t xml:space="preserve"> </w:t>
      </w:r>
      <w:r w:rsidRPr="008516D1">
        <w:t>peines</w:t>
      </w:r>
      <w:r>
        <w:t xml:space="preserve"> </w:t>
      </w:r>
      <w:r w:rsidRPr="008516D1">
        <w:t>et</w:t>
      </w:r>
      <w:r>
        <w:t xml:space="preserve"> </w:t>
      </w:r>
      <w:r w:rsidRPr="008516D1">
        <w:t>des</w:t>
      </w:r>
      <w:r>
        <w:t xml:space="preserve"> </w:t>
      </w:r>
      <w:r w:rsidRPr="008516D1">
        <w:t>juges</w:t>
      </w:r>
      <w:r>
        <w:t xml:space="preserve"> </w:t>
      </w:r>
      <w:r w:rsidRPr="008516D1">
        <w:t>de</w:t>
      </w:r>
      <w:r>
        <w:t xml:space="preserve"> </w:t>
      </w:r>
      <w:r w:rsidRPr="008516D1">
        <w:t>paix</w:t>
      </w:r>
      <w:r>
        <w:t xml:space="preserve"> </w:t>
      </w:r>
      <w:r w:rsidRPr="008516D1">
        <w:t>II</w:t>
      </w:r>
      <w:r w:rsidRPr="008516D1">
        <w:rPr>
          <w:rStyle w:val="Appelnotedebasdep"/>
        </w:rPr>
        <w:footnoteReference w:id="48"/>
      </w:r>
      <w:r>
        <w:t> ;</w:t>
      </w:r>
    </w:p>
    <w:p w14:paraId="207920C0" w14:textId="55740D1F" w:rsidR="00286956" w:rsidRPr="008516D1" w:rsidRDefault="00286956" w:rsidP="0013732F">
      <w:pPr>
        <w:pStyle w:val="SingleTxtG"/>
        <w:ind w:firstLine="567"/>
      </w:pPr>
      <w:r w:rsidRPr="008516D1">
        <w:t>c)</w:t>
      </w:r>
      <w:r w:rsidRPr="008516D1">
        <w:tab/>
        <w:t>Règlement</w:t>
      </w:r>
      <w:r>
        <w:t xml:space="preserve"> </w:t>
      </w:r>
      <w:r w:rsidRPr="008516D1">
        <w:t>relatif</w:t>
      </w:r>
      <w:r>
        <w:t xml:space="preserve"> </w:t>
      </w:r>
      <w:r w:rsidRPr="008516D1">
        <w:t>au</w:t>
      </w:r>
      <w:r>
        <w:t xml:space="preserve"> </w:t>
      </w:r>
      <w:r w:rsidRPr="008516D1">
        <w:t>contrôle</w:t>
      </w:r>
      <w:r>
        <w:t xml:space="preserve"> </w:t>
      </w:r>
      <w:r w:rsidRPr="008516D1">
        <w:t>général</w:t>
      </w:r>
      <w:r>
        <w:t xml:space="preserve"> </w:t>
      </w:r>
      <w:r w:rsidRPr="008516D1">
        <w:t>du</w:t>
      </w:r>
      <w:r>
        <w:t xml:space="preserve"> </w:t>
      </w:r>
      <w:r w:rsidRPr="008516D1">
        <w:t>pouvoir</w:t>
      </w:r>
      <w:r>
        <w:t xml:space="preserve"> </w:t>
      </w:r>
      <w:r w:rsidRPr="008516D1">
        <w:t>judiciaire</w:t>
      </w:r>
      <w:r w:rsidRPr="008516D1">
        <w:rPr>
          <w:rStyle w:val="Appelnotedebasdep"/>
        </w:rPr>
        <w:footnoteReference w:id="49"/>
      </w:r>
      <w:r>
        <w:t> ;</w:t>
      </w:r>
    </w:p>
    <w:p w14:paraId="61EA2536" w14:textId="0ABED167" w:rsidR="00286956" w:rsidRPr="008516D1" w:rsidRDefault="00286956" w:rsidP="0013732F">
      <w:pPr>
        <w:pStyle w:val="SingleTxtG"/>
        <w:ind w:firstLine="567"/>
      </w:pPr>
      <w:r w:rsidRPr="008516D1">
        <w:t>d)</w:t>
      </w:r>
      <w:r w:rsidRPr="008516D1">
        <w:tab/>
        <w:t>Loi</w:t>
      </w:r>
      <w:r>
        <w:t xml:space="preserve"> </w:t>
      </w:r>
      <w:r w:rsidRPr="008516D1">
        <w:t>organique</w:t>
      </w:r>
      <w:r>
        <w:t xml:space="preserve"> </w:t>
      </w:r>
      <w:r w:rsidRPr="008516D1">
        <w:t>relative</w:t>
      </w:r>
      <w:r>
        <w:t xml:space="preserve"> </w:t>
      </w:r>
      <w:r w:rsidRPr="008516D1">
        <w:t>au</w:t>
      </w:r>
      <w:r>
        <w:t xml:space="preserve"> </w:t>
      </w:r>
      <w:r w:rsidRPr="008516D1">
        <w:t>ministère</w:t>
      </w:r>
      <w:r>
        <w:t xml:space="preserve"> </w:t>
      </w:r>
      <w:r w:rsidRPr="008516D1">
        <w:t>public,</w:t>
      </w:r>
      <w:r>
        <w:t xml:space="preserve"> </w:t>
      </w:r>
      <w:r w:rsidRPr="008516D1">
        <w:t>régissant</w:t>
      </w:r>
      <w:r>
        <w:t xml:space="preserve"> </w:t>
      </w:r>
      <w:r w:rsidRPr="008516D1">
        <w:t>la</w:t>
      </w:r>
      <w:r>
        <w:t xml:space="preserve"> </w:t>
      </w:r>
      <w:r w:rsidRPr="008516D1">
        <w:t>procédure</w:t>
      </w:r>
      <w:r>
        <w:t xml:space="preserve"> </w:t>
      </w:r>
      <w:r w:rsidRPr="008516D1">
        <w:t>d</w:t>
      </w:r>
      <w:r>
        <w:t>’</w:t>
      </w:r>
      <w:r w:rsidRPr="008516D1">
        <w:t>élection</w:t>
      </w:r>
      <w:r>
        <w:t xml:space="preserve"> </w:t>
      </w:r>
      <w:r w:rsidRPr="008516D1">
        <w:t>du</w:t>
      </w:r>
      <w:r>
        <w:t xml:space="preserve"> </w:t>
      </w:r>
      <w:bookmarkStart w:id="16" w:name="_Hlk75339381"/>
      <w:r w:rsidRPr="008516D1">
        <w:t>Procureur</w:t>
      </w:r>
      <w:r>
        <w:t xml:space="preserve"> </w:t>
      </w:r>
      <w:r w:rsidRPr="008516D1">
        <w:t>général</w:t>
      </w:r>
      <w:r>
        <w:t xml:space="preserve"> </w:t>
      </w:r>
      <w:r w:rsidRPr="008516D1">
        <w:t>et</w:t>
      </w:r>
      <w:r>
        <w:t xml:space="preserve"> </w:t>
      </w:r>
      <w:r w:rsidRPr="008516D1">
        <w:t>du</w:t>
      </w:r>
      <w:r>
        <w:t xml:space="preserve"> </w:t>
      </w:r>
      <w:r w:rsidRPr="008516D1">
        <w:t>Procureur</w:t>
      </w:r>
      <w:r>
        <w:t xml:space="preserve"> </w:t>
      </w:r>
      <w:r w:rsidRPr="008516D1">
        <w:t>général</w:t>
      </w:r>
      <w:r>
        <w:t xml:space="preserve"> </w:t>
      </w:r>
      <w:r w:rsidRPr="008516D1">
        <w:t>adjoint</w:t>
      </w:r>
      <w:r>
        <w:t xml:space="preserve"> </w:t>
      </w:r>
      <w:bookmarkEnd w:id="16"/>
      <w:r w:rsidRPr="008516D1">
        <w:t>et</w:t>
      </w:r>
      <w:r>
        <w:t xml:space="preserve"> </w:t>
      </w:r>
      <w:r w:rsidRPr="008516D1">
        <w:t>prévoyant</w:t>
      </w:r>
      <w:r>
        <w:t xml:space="preserve"> </w:t>
      </w:r>
      <w:r w:rsidRPr="008516D1">
        <w:t>notamment</w:t>
      </w:r>
      <w:r>
        <w:t xml:space="preserve"> </w:t>
      </w:r>
      <w:r w:rsidRPr="008516D1">
        <w:t>l</w:t>
      </w:r>
      <w:r>
        <w:t>’</w:t>
      </w:r>
      <w:r w:rsidRPr="008516D1">
        <w:t>audience</w:t>
      </w:r>
      <w:r>
        <w:t xml:space="preserve"> </w:t>
      </w:r>
      <w:r w:rsidRPr="008516D1">
        <w:t>publique</w:t>
      </w:r>
      <w:r>
        <w:t xml:space="preserve"> </w:t>
      </w:r>
      <w:r w:rsidRPr="008516D1">
        <w:t>des</w:t>
      </w:r>
      <w:r>
        <w:t xml:space="preserve"> </w:t>
      </w:r>
      <w:r w:rsidRPr="008516D1">
        <w:t>candidats</w:t>
      </w:r>
      <w:r>
        <w:t> ;</w:t>
      </w:r>
    </w:p>
    <w:p w14:paraId="6EA2830C" w14:textId="77DEC64B" w:rsidR="00286956" w:rsidRPr="008516D1" w:rsidRDefault="00286956" w:rsidP="0013732F">
      <w:pPr>
        <w:pStyle w:val="SingleTxtG"/>
        <w:ind w:firstLine="567"/>
      </w:pPr>
      <w:r w:rsidRPr="008516D1">
        <w:t>e)</w:t>
      </w:r>
      <w:r w:rsidRPr="008516D1">
        <w:tab/>
        <w:t>Procédure</w:t>
      </w:r>
      <w:r>
        <w:t xml:space="preserve"> </w:t>
      </w:r>
      <w:r w:rsidRPr="008516D1">
        <w:t>d</w:t>
      </w:r>
      <w:r>
        <w:t>’</w:t>
      </w:r>
      <w:r w:rsidRPr="008516D1">
        <w:t>élection</w:t>
      </w:r>
      <w:r>
        <w:t xml:space="preserve"> </w:t>
      </w:r>
      <w:r w:rsidRPr="008516D1">
        <w:t>du</w:t>
      </w:r>
      <w:r>
        <w:t xml:space="preserve"> </w:t>
      </w:r>
      <w:r w:rsidRPr="008516D1">
        <w:t>Procureur</w:t>
      </w:r>
      <w:r>
        <w:t xml:space="preserve"> </w:t>
      </w:r>
      <w:r w:rsidRPr="008516D1">
        <w:t>général</w:t>
      </w:r>
      <w:r>
        <w:t xml:space="preserve"> </w:t>
      </w:r>
      <w:r w:rsidRPr="008516D1">
        <w:t>et</w:t>
      </w:r>
      <w:r>
        <w:t xml:space="preserve"> </w:t>
      </w:r>
      <w:r w:rsidRPr="008516D1">
        <w:t>du</w:t>
      </w:r>
      <w:r>
        <w:t xml:space="preserve"> </w:t>
      </w:r>
      <w:r w:rsidRPr="008516D1">
        <w:t>Procureur</w:t>
      </w:r>
      <w:r>
        <w:t xml:space="preserve"> </w:t>
      </w:r>
      <w:r w:rsidRPr="008516D1">
        <w:t>général</w:t>
      </w:r>
      <w:r>
        <w:t xml:space="preserve"> </w:t>
      </w:r>
      <w:r w:rsidRPr="008516D1">
        <w:t>adjoint,</w:t>
      </w:r>
      <w:r>
        <w:t xml:space="preserve"> </w:t>
      </w:r>
      <w:r w:rsidRPr="008516D1">
        <w:t>conforme</w:t>
      </w:r>
      <w:r>
        <w:t xml:space="preserve"> </w:t>
      </w:r>
      <w:r w:rsidRPr="008516D1">
        <w:t>aux</w:t>
      </w:r>
      <w:r>
        <w:t xml:space="preserve"> </w:t>
      </w:r>
      <w:r w:rsidRPr="008516D1">
        <w:t>dispositions</w:t>
      </w:r>
      <w:r>
        <w:t xml:space="preserve"> </w:t>
      </w:r>
      <w:r w:rsidRPr="008516D1">
        <w:t>de</w:t>
      </w:r>
      <w:r>
        <w:t xml:space="preserve"> </w:t>
      </w:r>
      <w:r w:rsidRPr="008516D1">
        <w:t>la</w:t>
      </w:r>
      <w:r>
        <w:t xml:space="preserve"> </w:t>
      </w:r>
      <w:r w:rsidRPr="008516D1">
        <w:t>Constitution</w:t>
      </w:r>
      <w:r>
        <w:t xml:space="preserve"> </w:t>
      </w:r>
      <w:r w:rsidRPr="008516D1">
        <w:t>(</w:t>
      </w:r>
      <w:r w:rsidR="003A61DD">
        <w:t>art. </w:t>
      </w:r>
      <w:r w:rsidRPr="008516D1">
        <w:t>205,</w:t>
      </w:r>
      <w:r>
        <w:t xml:space="preserve"> </w:t>
      </w:r>
      <w:r w:rsidR="003A61DD">
        <w:t>par. </w:t>
      </w:r>
      <w:r w:rsidRPr="008516D1">
        <w:t>11</w:t>
      </w:r>
      <w:r w:rsidR="00A74554">
        <w:t>,</w:t>
      </w:r>
      <w:r>
        <w:t xml:space="preserve"> </w:t>
      </w:r>
      <w:r w:rsidRPr="008516D1">
        <w:t>et</w:t>
      </w:r>
      <w:r>
        <w:t xml:space="preserve"> </w:t>
      </w:r>
      <w:r w:rsidR="003A61DD">
        <w:t>art. </w:t>
      </w:r>
      <w:r w:rsidRPr="008516D1">
        <w:t>233),</w:t>
      </w:r>
      <w:r>
        <w:t xml:space="preserve"> </w:t>
      </w:r>
      <w:r w:rsidRPr="008516D1">
        <w:t>de</w:t>
      </w:r>
      <w:r>
        <w:t xml:space="preserve"> </w:t>
      </w:r>
      <w:r w:rsidRPr="008516D1">
        <w:t>la</w:t>
      </w:r>
      <w:r>
        <w:t xml:space="preserve"> </w:t>
      </w:r>
      <w:r w:rsidRPr="008516D1">
        <w:t>loi</w:t>
      </w:r>
      <w:r>
        <w:t xml:space="preserve"> </w:t>
      </w:r>
      <w:r w:rsidRPr="008516D1">
        <w:t>organique</w:t>
      </w:r>
      <w:r>
        <w:t xml:space="preserve"> </w:t>
      </w:r>
      <w:r w:rsidRPr="008516D1">
        <w:t>relative</w:t>
      </w:r>
      <w:r>
        <w:t xml:space="preserve"> </w:t>
      </w:r>
      <w:r w:rsidRPr="008516D1">
        <w:t>au</w:t>
      </w:r>
      <w:r>
        <w:t xml:space="preserve"> </w:t>
      </w:r>
      <w:r w:rsidRPr="008516D1">
        <w:t>ministère</w:t>
      </w:r>
      <w:r>
        <w:t xml:space="preserve"> </w:t>
      </w:r>
      <w:r w:rsidRPr="008516D1">
        <w:t>public</w:t>
      </w:r>
      <w:r>
        <w:t xml:space="preserve"> </w:t>
      </w:r>
      <w:r w:rsidRPr="008516D1">
        <w:t>(</w:t>
      </w:r>
      <w:r w:rsidR="003A61DD">
        <w:t>art. </w:t>
      </w:r>
      <w:r w:rsidRPr="008516D1">
        <w:t>19,</w:t>
      </w:r>
      <w:r>
        <w:t xml:space="preserve"> </w:t>
      </w:r>
      <w:r w:rsidRPr="008516D1">
        <w:t>20</w:t>
      </w:r>
      <w:r>
        <w:t xml:space="preserve"> </w:t>
      </w:r>
      <w:r w:rsidRPr="008516D1">
        <w:t>et</w:t>
      </w:r>
      <w:r>
        <w:t xml:space="preserve"> </w:t>
      </w:r>
      <w:r w:rsidRPr="008516D1">
        <w:t>22)</w:t>
      </w:r>
      <w:r>
        <w:t xml:space="preserve"> </w:t>
      </w:r>
      <w:r w:rsidRPr="008516D1">
        <w:t>et</w:t>
      </w:r>
      <w:r>
        <w:t xml:space="preserve"> </w:t>
      </w:r>
      <w:r w:rsidRPr="008516D1">
        <w:t>du</w:t>
      </w:r>
      <w:r>
        <w:t xml:space="preserve"> </w:t>
      </w:r>
      <w:r w:rsidRPr="008516D1">
        <w:t>règlement</w:t>
      </w:r>
      <w:r>
        <w:t xml:space="preserve"> </w:t>
      </w:r>
      <w:r w:rsidRPr="008516D1">
        <w:t>du</w:t>
      </w:r>
      <w:r>
        <w:t xml:space="preserve"> </w:t>
      </w:r>
      <w:r w:rsidRPr="008516D1">
        <w:t>Comité</w:t>
      </w:r>
      <w:r>
        <w:t xml:space="preserve"> </w:t>
      </w:r>
      <w:r w:rsidRPr="008516D1">
        <w:t>de</w:t>
      </w:r>
      <w:r>
        <w:t xml:space="preserve"> </w:t>
      </w:r>
      <w:r w:rsidRPr="008516D1">
        <w:t>désignation</w:t>
      </w:r>
      <w:r>
        <w:t xml:space="preserve"> </w:t>
      </w:r>
      <w:r w:rsidRPr="008516D1">
        <w:t>des</w:t>
      </w:r>
      <w:r w:rsidR="00216393">
        <w:t> </w:t>
      </w:r>
      <w:r w:rsidRPr="008516D1">
        <w:t>candidats</w:t>
      </w:r>
      <w:r>
        <w:t> ;</w:t>
      </w:r>
    </w:p>
    <w:p w14:paraId="6B8A5BEB" w14:textId="57651FD5" w:rsidR="00286956" w:rsidRPr="008516D1" w:rsidRDefault="00286956" w:rsidP="0013732F">
      <w:pPr>
        <w:pStyle w:val="SingleTxtG"/>
        <w:ind w:firstLine="567"/>
      </w:pPr>
      <w:r w:rsidRPr="008516D1">
        <w:t>f)</w:t>
      </w:r>
      <w:r w:rsidRPr="008516D1">
        <w:tab/>
        <w:t>Règlement</w:t>
      </w:r>
      <w:r>
        <w:t xml:space="preserve"> </w:t>
      </w:r>
      <w:r w:rsidRPr="008516D1">
        <w:t>spécial</w:t>
      </w:r>
      <w:r>
        <w:t xml:space="preserve"> </w:t>
      </w:r>
      <w:r w:rsidRPr="008516D1">
        <w:t>relatif</w:t>
      </w:r>
      <w:r>
        <w:t xml:space="preserve"> </w:t>
      </w:r>
      <w:r w:rsidRPr="008516D1">
        <w:t>à</w:t>
      </w:r>
      <w:r>
        <w:t xml:space="preserve"> </w:t>
      </w:r>
      <w:r w:rsidRPr="008516D1">
        <w:t>l</w:t>
      </w:r>
      <w:r>
        <w:t>’</w:t>
      </w:r>
      <w:r w:rsidRPr="008516D1">
        <w:t>organisation</w:t>
      </w:r>
      <w:r>
        <w:t xml:space="preserve"> </w:t>
      </w:r>
      <w:r w:rsidRPr="008516D1">
        <w:t>et</w:t>
      </w:r>
      <w:r>
        <w:t xml:space="preserve"> </w:t>
      </w:r>
      <w:r w:rsidRPr="008516D1">
        <w:t>au</w:t>
      </w:r>
      <w:r>
        <w:t xml:space="preserve"> </w:t>
      </w:r>
      <w:r w:rsidRPr="008516D1">
        <w:t>fonctionnement</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ministère</w:t>
      </w:r>
      <w:r>
        <w:t xml:space="preserve"> </w:t>
      </w:r>
      <w:r w:rsidRPr="008516D1">
        <w:t>public</w:t>
      </w:r>
      <w:r w:rsidRPr="008516D1">
        <w:rPr>
          <w:rStyle w:val="Appelnotedebasdep"/>
        </w:rPr>
        <w:footnoteReference w:id="50"/>
      </w:r>
      <w:r>
        <w:t> ;</w:t>
      </w:r>
    </w:p>
    <w:p w14:paraId="35F52A40" w14:textId="2F8689E7" w:rsidR="00286956" w:rsidRPr="008516D1" w:rsidRDefault="00286956" w:rsidP="0013732F">
      <w:pPr>
        <w:pStyle w:val="SingleTxtG"/>
        <w:ind w:firstLine="567"/>
      </w:pPr>
      <w:r w:rsidRPr="008516D1">
        <w:lastRenderedPageBreak/>
        <w:t>g)</w:t>
      </w:r>
      <w:r w:rsidRPr="008516D1">
        <w:tab/>
        <w:t>Modification</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protection</w:t>
      </w:r>
      <w:r>
        <w:t xml:space="preserve"> </w:t>
      </w:r>
      <w:r w:rsidRPr="008516D1">
        <w:t>spéciale</w:t>
      </w:r>
      <w:r>
        <w:t xml:space="preserve"> </w:t>
      </w:r>
      <w:r w:rsidRPr="008516D1">
        <w:t>des</w:t>
      </w:r>
      <w:r>
        <w:t xml:space="preserve"> </w:t>
      </w:r>
      <w:r w:rsidRPr="008516D1">
        <w:t>fonctionnaires</w:t>
      </w:r>
      <w:r>
        <w:t xml:space="preserve"> </w:t>
      </w:r>
      <w:r w:rsidRPr="008516D1">
        <w:t>et</w:t>
      </w:r>
      <w:r>
        <w:t xml:space="preserve"> </w:t>
      </w:r>
      <w:r w:rsidRPr="008516D1">
        <w:t>anciens</w:t>
      </w:r>
      <w:r>
        <w:t xml:space="preserve"> </w:t>
      </w:r>
      <w:r w:rsidRPr="008516D1">
        <w:t>fonctionnaires</w:t>
      </w:r>
      <w:r>
        <w:t xml:space="preserve"> </w:t>
      </w:r>
      <w:r w:rsidRPr="008516D1">
        <w:t>en</w:t>
      </w:r>
      <w:r>
        <w:t xml:space="preserve"> </w:t>
      </w:r>
      <w:r w:rsidRPr="008516D1">
        <w:t>situation</w:t>
      </w:r>
      <w:r>
        <w:t xml:space="preserve"> </w:t>
      </w:r>
      <w:r w:rsidRPr="008516D1">
        <w:t>de</w:t>
      </w:r>
      <w:r>
        <w:t xml:space="preserve"> </w:t>
      </w:r>
      <w:r w:rsidRPr="008516D1">
        <w:t>risque</w:t>
      </w:r>
      <w:r>
        <w:t xml:space="preserve"> </w:t>
      </w:r>
      <w:r w:rsidRPr="008516D1">
        <w:t>extraordinaire</w:t>
      </w:r>
      <w:r w:rsidRPr="008516D1">
        <w:rPr>
          <w:rStyle w:val="Appelnotedebasdep"/>
        </w:rPr>
        <w:footnoteReference w:id="51"/>
      </w:r>
      <w:r w:rsidRPr="008516D1">
        <w:t>,</w:t>
      </w:r>
      <w:r>
        <w:t xml:space="preserve"> </w:t>
      </w:r>
      <w:r w:rsidRPr="008516D1">
        <w:t>visant</w:t>
      </w:r>
      <w:r>
        <w:t xml:space="preserve"> </w:t>
      </w:r>
      <w:r w:rsidRPr="008516D1">
        <w:t>à</w:t>
      </w:r>
      <w:r>
        <w:t xml:space="preserve"> </w:t>
      </w:r>
      <w:r w:rsidRPr="008516D1">
        <w:t>élargir</w:t>
      </w:r>
      <w:r>
        <w:t xml:space="preserve"> </w:t>
      </w:r>
      <w:r w:rsidRPr="008516D1">
        <w:t>la</w:t>
      </w:r>
      <w:r>
        <w:t xml:space="preserve"> </w:t>
      </w:r>
      <w:r w:rsidRPr="008516D1">
        <w:t>liste</w:t>
      </w:r>
      <w:r>
        <w:t xml:space="preserve"> </w:t>
      </w:r>
      <w:r w:rsidRPr="008516D1">
        <w:t>des</w:t>
      </w:r>
      <w:r>
        <w:t xml:space="preserve"> </w:t>
      </w:r>
      <w:r w:rsidRPr="008516D1">
        <w:t>fonctionnaires</w:t>
      </w:r>
      <w:r>
        <w:t xml:space="preserve"> </w:t>
      </w:r>
      <w:r w:rsidRPr="008516D1">
        <w:t>et</w:t>
      </w:r>
      <w:r>
        <w:t xml:space="preserve"> </w:t>
      </w:r>
      <w:r w:rsidRPr="008516D1">
        <w:t>anciens</w:t>
      </w:r>
      <w:r>
        <w:t xml:space="preserve"> </w:t>
      </w:r>
      <w:r w:rsidRPr="008516D1">
        <w:t>fonctionnaires</w:t>
      </w:r>
      <w:r>
        <w:t xml:space="preserve"> </w:t>
      </w:r>
      <w:r w:rsidRPr="008516D1">
        <w:t>de</w:t>
      </w:r>
      <w:r>
        <w:t xml:space="preserve"> </w:t>
      </w:r>
      <w:r w:rsidRPr="008516D1">
        <w:t>catégorie</w:t>
      </w:r>
      <w:r>
        <w:t xml:space="preserve"> </w:t>
      </w:r>
      <w:r w:rsidRPr="008516D1">
        <w:t>II</w:t>
      </w:r>
      <w:r>
        <w:t xml:space="preserve"> </w:t>
      </w:r>
      <w:r w:rsidRPr="008516D1">
        <w:t>pouvant</w:t>
      </w:r>
      <w:r>
        <w:t xml:space="preserve"> </w:t>
      </w:r>
      <w:r w:rsidRPr="008516D1">
        <w:t>bénéficier</w:t>
      </w:r>
      <w:r>
        <w:t xml:space="preserve"> </w:t>
      </w:r>
      <w:r w:rsidRPr="008516D1">
        <w:t>d</w:t>
      </w:r>
      <w:r>
        <w:t>’</w:t>
      </w:r>
      <w:r w:rsidRPr="008516D1">
        <w:t>une</w:t>
      </w:r>
      <w:r>
        <w:t xml:space="preserve"> </w:t>
      </w:r>
      <w:r w:rsidRPr="008516D1">
        <w:t>protection</w:t>
      </w:r>
      <w:r>
        <w:t xml:space="preserve"> </w:t>
      </w:r>
      <w:r w:rsidRPr="008516D1">
        <w:t>spéciale</w:t>
      </w:r>
      <w:r>
        <w:t xml:space="preserve"> </w:t>
      </w:r>
      <w:r w:rsidRPr="008516D1">
        <w:t>en</w:t>
      </w:r>
      <w:r>
        <w:t xml:space="preserve"> </w:t>
      </w:r>
      <w:r w:rsidRPr="008516D1">
        <w:t>raison</w:t>
      </w:r>
      <w:r>
        <w:t xml:space="preserve"> </w:t>
      </w:r>
      <w:r w:rsidRPr="008516D1">
        <w:t>des</w:t>
      </w:r>
      <w:r>
        <w:t xml:space="preserve"> </w:t>
      </w:r>
      <w:r w:rsidRPr="008516D1">
        <w:t>risques</w:t>
      </w:r>
      <w:r>
        <w:t xml:space="preserve"> </w:t>
      </w:r>
      <w:r w:rsidRPr="008516D1">
        <w:t>et</w:t>
      </w:r>
      <w:r>
        <w:t xml:space="preserve"> </w:t>
      </w:r>
      <w:r w:rsidRPr="008516D1">
        <w:t>des</w:t>
      </w:r>
      <w:r>
        <w:t xml:space="preserve"> </w:t>
      </w:r>
      <w:r w:rsidRPr="008516D1">
        <w:t>menaces</w:t>
      </w:r>
      <w:r>
        <w:t xml:space="preserve"> </w:t>
      </w:r>
      <w:r w:rsidRPr="008516D1">
        <w:t>résultant</w:t>
      </w:r>
      <w:r>
        <w:t xml:space="preserve"> </w:t>
      </w:r>
      <w:r w:rsidRPr="008516D1">
        <w:t>de</w:t>
      </w:r>
      <w:r>
        <w:t xml:space="preserve"> </w:t>
      </w:r>
      <w:r w:rsidRPr="008516D1">
        <w:t>l</w:t>
      </w:r>
      <w:r>
        <w:t>’</w:t>
      </w:r>
      <w:r w:rsidRPr="008516D1">
        <w:t>exercice</w:t>
      </w:r>
      <w:r>
        <w:t xml:space="preserve"> </w:t>
      </w:r>
      <w:r w:rsidRPr="008516D1">
        <w:t>de</w:t>
      </w:r>
      <w:r>
        <w:t xml:space="preserve"> </w:t>
      </w:r>
      <w:r w:rsidRPr="008516D1">
        <w:t>leurs</w:t>
      </w:r>
      <w:r>
        <w:t xml:space="preserve"> </w:t>
      </w:r>
      <w:r w:rsidRPr="008516D1">
        <w:t>fonctions</w:t>
      </w:r>
      <w:r w:rsidRPr="008516D1">
        <w:rPr>
          <w:rStyle w:val="Appelnotedebasdep"/>
        </w:rPr>
        <w:footnoteReference w:id="52"/>
      </w:r>
      <w:r>
        <w:t> ;</w:t>
      </w:r>
    </w:p>
    <w:p w14:paraId="1962B809" w14:textId="44E6B223" w:rsidR="00286956" w:rsidRPr="008516D1" w:rsidRDefault="00286956" w:rsidP="0013732F">
      <w:pPr>
        <w:pStyle w:val="SingleTxtG"/>
        <w:ind w:firstLine="567"/>
      </w:pPr>
      <w:r w:rsidRPr="008516D1">
        <w:t>h)</w:t>
      </w:r>
      <w:r w:rsidRPr="008516D1">
        <w:tab/>
        <w:t>Modification</w:t>
      </w:r>
      <w:r>
        <w:t xml:space="preserve"> </w:t>
      </w:r>
      <w:r w:rsidRPr="008516D1">
        <w:t>du</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portant</w:t>
      </w:r>
      <w:r>
        <w:t xml:space="preserve"> </w:t>
      </w:r>
      <w:r w:rsidRPr="008516D1">
        <w:t>adjonction</w:t>
      </w:r>
      <w:r>
        <w:t xml:space="preserve"> </w:t>
      </w:r>
      <w:r w:rsidRPr="008516D1">
        <w:t>des</w:t>
      </w:r>
      <w:r>
        <w:t xml:space="preserve"> </w:t>
      </w:r>
      <w:r w:rsidRPr="008516D1">
        <w:t>articles</w:t>
      </w:r>
      <w:r>
        <w:t xml:space="preserve"> </w:t>
      </w:r>
      <w:r w:rsidRPr="008516D1">
        <w:t>127</w:t>
      </w:r>
      <w:r w:rsidR="00A74554">
        <w:noBreakHyphen/>
      </w:r>
      <w:r w:rsidRPr="008516D1">
        <w:t>A</w:t>
      </w:r>
      <w:r>
        <w:t xml:space="preserve"> </w:t>
      </w:r>
      <w:r w:rsidRPr="008516D1">
        <w:t>et</w:t>
      </w:r>
      <w:r>
        <w:t xml:space="preserve"> </w:t>
      </w:r>
      <w:r w:rsidRPr="008516D1">
        <w:t>127-B</w:t>
      </w:r>
      <w:r w:rsidRPr="008516D1">
        <w:rPr>
          <w:rStyle w:val="Appelnotedebasdep"/>
        </w:rPr>
        <w:footnoteReference w:id="53"/>
      </w:r>
      <w:r>
        <w:t xml:space="preserve"> </w:t>
      </w:r>
      <w:r w:rsidRPr="008516D1">
        <w:t>visant</w:t>
      </w:r>
      <w:r>
        <w:t xml:space="preserve"> </w:t>
      </w:r>
      <w:r w:rsidRPr="008516D1">
        <w:t>à</w:t>
      </w:r>
      <w:r>
        <w:t xml:space="preserve"> </w:t>
      </w:r>
      <w:r w:rsidRPr="008516D1">
        <w:t>mettre</w:t>
      </w:r>
      <w:r>
        <w:t xml:space="preserve"> </w:t>
      </w:r>
      <w:r w:rsidRPr="008516D1">
        <w:t>en</w:t>
      </w:r>
      <w:r>
        <w:t xml:space="preserve"> </w:t>
      </w:r>
      <w:r w:rsidRPr="008516D1">
        <w:t>œuvre</w:t>
      </w:r>
      <w:r>
        <w:t xml:space="preserve"> </w:t>
      </w:r>
      <w:r w:rsidRPr="008516D1">
        <w:t>des</w:t>
      </w:r>
      <w:r>
        <w:t xml:space="preserve"> </w:t>
      </w:r>
      <w:r w:rsidRPr="008516D1">
        <w:t>audiences</w:t>
      </w:r>
      <w:r>
        <w:t xml:space="preserve"> </w:t>
      </w:r>
      <w:r w:rsidRPr="008516D1">
        <w:t>à</w:t>
      </w:r>
      <w:r>
        <w:t xml:space="preserve"> </w:t>
      </w:r>
      <w:r w:rsidRPr="008516D1">
        <w:t>distance</w:t>
      </w:r>
      <w:r>
        <w:t xml:space="preserve"> </w:t>
      </w:r>
      <w:r w:rsidRPr="008516D1">
        <w:t>ou</w:t>
      </w:r>
      <w:r>
        <w:t xml:space="preserve"> </w:t>
      </w:r>
      <w:r w:rsidRPr="008516D1">
        <w:t>des</w:t>
      </w:r>
      <w:r>
        <w:t xml:space="preserve"> </w:t>
      </w:r>
      <w:proofErr w:type="spellStart"/>
      <w:r w:rsidRPr="008516D1">
        <w:t>visioconférences</w:t>
      </w:r>
      <w:proofErr w:type="spellEnd"/>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la</w:t>
      </w:r>
      <w:r>
        <w:t xml:space="preserve"> </w:t>
      </w:r>
      <w:r w:rsidRPr="008516D1">
        <w:t>procédure</w:t>
      </w:r>
      <w:r>
        <w:t xml:space="preserve"> </w:t>
      </w:r>
      <w:r w:rsidRPr="008516D1">
        <w:t>pénale,</w:t>
      </w:r>
      <w:r>
        <w:t xml:space="preserve"> </w:t>
      </w:r>
      <w:r w:rsidRPr="008516D1">
        <w:t>afin</w:t>
      </w:r>
      <w:r>
        <w:t xml:space="preserve"> </w:t>
      </w:r>
      <w:r w:rsidRPr="008516D1">
        <w:t>de</w:t>
      </w:r>
      <w:r>
        <w:t xml:space="preserve"> </w:t>
      </w:r>
      <w:r w:rsidRPr="008516D1">
        <w:t>garantir</w:t>
      </w:r>
      <w:r>
        <w:t xml:space="preserve"> </w:t>
      </w:r>
      <w:r w:rsidRPr="008516D1">
        <w:t>la</w:t>
      </w:r>
      <w:r>
        <w:t xml:space="preserve"> </w:t>
      </w:r>
      <w:r w:rsidRPr="008516D1">
        <w:t>sécurité</w:t>
      </w:r>
      <w:r>
        <w:t xml:space="preserve"> </w:t>
      </w:r>
      <w:r w:rsidRPr="008516D1">
        <w:t>des</w:t>
      </w:r>
      <w:r>
        <w:t xml:space="preserve"> </w:t>
      </w:r>
      <w:r w:rsidRPr="008516D1">
        <w:t>juges,</w:t>
      </w:r>
      <w:r>
        <w:t xml:space="preserve"> </w:t>
      </w:r>
      <w:r w:rsidRPr="008516D1">
        <w:t>des</w:t>
      </w:r>
      <w:r>
        <w:t xml:space="preserve"> </w:t>
      </w:r>
      <w:r w:rsidRPr="008516D1">
        <w:t>procureurs</w:t>
      </w:r>
      <w:r>
        <w:t xml:space="preserve"> </w:t>
      </w:r>
      <w:r w:rsidRPr="008516D1">
        <w:t>et</w:t>
      </w:r>
      <w:r>
        <w:t xml:space="preserve"> </w:t>
      </w:r>
      <w:r w:rsidRPr="008516D1">
        <w:t>des</w:t>
      </w:r>
      <w:r>
        <w:t xml:space="preserve"> </w:t>
      </w:r>
      <w:r w:rsidRPr="008516D1">
        <w:t>autres</w:t>
      </w:r>
      <w:r>
        <w:t xml:space="preserve"> </w:t>
      </w:r>
      <w:r w:rsidRPr="008516D1">
        <w:t>personnes</w:t>
      </w:r>
      <w:r>
        <w:t xml:space="preserve"> </w:t>
      </w:r>
      <w:r w:rsidRPr="008516D1">
        <w:t>parties</w:t>
      </w:r>
      <w:r>
        <w:t xml:space="preserve"> </w:t>
      </w:r>
      <w:r w:rsidRPr="008516D1">
        <w:t>à</w:t>
      </w:r>
      <w:r>
        <w:t xml:space="preserve"> </w:t>
      </w:r>
      <w:r w:rsidRPr="008516D1">
        <w:t>la</w:t>
      </w:r>
      <w:r>
        <w:t xml:space="preserve"> </w:t>
      </w:r>
      <w:r w:rsidRPr="008516D1">
        <w:t>procédure</w:t>
      </w:r>
      <w:r w:rsidR="00216393">
        <w:t> ;</w:t>
      </w:r>
    </w:p>
    <w:p w14:paraId="7B3B027D" w14:textId="1C44669F" w:rsidR="00286956" w:rsidRPr="008516D1" w:rsidRDefault="00286956" w:rsidP="0013732F">
      <w:pPr>
        <w:pStyle w:val="SingleTxtG"/>
        <w:ind w:firstLine="567"/>
      </w:pPr>
      <w:r w:rsidRPr="008516D1">
        <w:t>i)</w:t>
      </w:r>
      <w:r w:rsidRPr="008516D1">
        <w:tab/>
        <w:t>Mise</w:t>
      </w:r>
      <w:r>
        <w:t xml:space="preserve"> </w:t>
      </w:r>
      <w:r w:rsidRPr="008516D1">
        <w:t>en</w:t>
      </w:r>
      <w:r>
        <w:t xml:space="preserve"> </w:t>
      </w:r>
      <w:r w:rsidRPr="008516D1">
        <w:t>œuvre</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gestion</w:t>
      </w:r>
      <w:r>
        <w:t xml:space="preserve"> </w:t>
      </w:r>
      <w:r w:rsidRPr="008516D1">
        <w:t>informatique</w:t>
      </w:r>
      <w:r>
        <w:t xml:space="preserve"> </w:t>
      </w:r>
      <w:r w:rsidRPr="008516D1">
        <w:t>des</w:t>
      </w:r>
      <w:r>
        <w:t xml:space="preserve"> </w:t>
      </w:r>
      <w:r w:rsidRPr="008516D1">
        <w:t>procédures</w:t>
      </w:r>
      <w:r>
        <w:t xml:space="preserve"> </w:t>
      </w:r>
      <w:r w:rsidRPr="008516D1">
        <w:t>judiciaires</w:t>
      </w:r>
      <w:r w:rsidRPr="008516D1">
        <w:rPr>
          <w:rStyle w:val="Appelnotedebasdep"/>
        </w:rPr>
        <w:footnoteReference w:id="54"/>
      </w:r>
      <w:r>
        <w:t xml:space="preserve"> </w:t>
      </w:r>
      <w:r w:rsidRPr="008516D1">
        <w:t>visant</w:t>
      </w:r>
      <w:r>
        <w:t xml:space="preserve"> </w:t>
      </w:r>
      <w:r w:rsidRPr="008516D1">
        <w:t>à</w:t>
      </w:r>
      <w:r>
        <w:t xml:space="preserve"> </w:t>
      </w:r>
      <w:r w:rsidRPr="008516D1">
        <w:t>améliorer</w:t>
      </w:r>
      <w:r>
        <w:t xml:space="preserve"> </w:t>
      </w:r>
      <w:r w:rsidRPr="008516D1">
        <w:t>et</w:t>
      </w:r>
      <w:r>
        <w:t xml:space="preserve"> </w:t>
      </w:r>
      <w:r w:rsidRPr="008516D1">
        <w:t>faciliter</w:t>
      </w:r>
      <w:r>
        <w:t xml:space="preserve"> </w:t>
      </w:r>
      <w:r w:rsidRPr="008516D1">
        <w:t>l</w:t>
      </w:r>
      <w:r>
        <w:t>’</w:t>
      </w:r>
      <w:r w:rsidRPr="008516D1">
        <w:t>accès</w:t>
      </w:r>
      <w:r>
        <w:t xml:space="preserve"> </w:t>
      </w:r>
      <w:r w:rsidRPr="008516D1">
        <w:t>des</w:t>
      </w:r>
      <w:r>
        <w:t xml:space="preserve"> </w:t>
      </w:r>
      <w:r w:rsidRPr="008516D1">
        <w:t>citoyens</w:t>
      </w:r>
      <w:r>
        <w:t xml:space="preserve"> </w:t>
      </w:r>
      <w:r w:rsidRPr="008516D1">
        <w:t>à</w:t>
      </w:r>
      <w:r>
        <w:t xml:space="preserve"> </w:t>
      </w:r>
      <w:r w:rsidRPr="008516D1">
        <w:t>la</w:t>
      </w:r>
      <w:r>
        <w:t xml:space="preserve"> </w:t>
      </w:r>
      <w:r w:rsidRPr="008516D1">
        <w:t>justice</w:t>
      </w:r>
      <w:r>
        <w:t xml:space="preserve"> </w:t>
      </w:r>
      <w:r w:rsidRPr="008516D1">
        <w:t>par</w:t>
      </w:r>
      <w:r>
        <w:t xml:space="preserve"> </w:t>
      </w:r>
      <w:r w:rsidRPr="008516D1">
        <w:t>l</w:t>
      </w:r>
      <w:r>
        <w:t>’</w:t>
      </w:r>
      <w:r w:rsidRPr="008516D1">
        <w:t>utilisation</w:t>
      </w:r>
      <w:r>
        <w:t xml:space="preserve"> </w:t>
      </w:r>
      <w:r w:rsidRPr="008516D1">
        <w:t>de</w:t>
      </w:r>
      <w:r>
        <w:t xml:space="preserve"> </w:t>
      </w:r>
      <w:r w:rsidRPr="008516D1">
        <w:t>moyens</w:t>
      </w:r>
      <w:r>
        <w:t xml:space="preserve"> </w:t>
      </w:r>
      <w:r w:rsidRPr="008516D1">
        <w:t>technologiques,</w:t>
      </w:r>
      <w:r>
        <w:t xml:space="preserve"> </w:t>
      </w:r>
      <w:r w:rsidRPr="008516D1">
        <w:t>dans</w:t>
      </w:r>
      <w:r>
        <w:t xml:space="preserve"> </w:t>
      </w:r>
      <w:r w:rsidRPr="008516D1">
        <w:t>le</w:t>
      </w:r>
      <w:r>
        <w:t xml:space="preserve"> </w:t>
      </w:r>
      <w:r w:rsidRPr="008516D1">
        <w:t>cadre</w:t>
      </w:r>
      <w:r>
        <w:t xml:space="preserve"> </w:t>
      </w:r>
      <w:r w:rsidRPr="008516D1">
        <w:t>du</w:t>
      </w:r>
      <w:r>
        <w:t xml:space="preserve"> </w:t>
      </w:r>
      <w:r w:rsidRPr="008516D1">
        <w:t>Système</w:t>
      </w:r>
      <w:r>
        <w:t xml:space="preserve"> </w:t>
      </w:r>
      <w:r w:rsidRPr="008516D1">
        <w:t>de</w:t>
      </w:r>
      <w:r>
        <w:t xml:space="preserve"> </w:t>
      </w:r>
      <w:r w:rsidRPr="008516D1">
        <w:t>dossier</w:t>
      </w:r>
      <w:r>
        <w:t xml:space="preserve"> </w:t>
      </w:r>
      <w:r w:rsidRPr="008516D1">
        <w:t>judiciaire</w:t>
      </w:r>
      <w:r>
        <w:t xml:space="preserve"> </w:t>
      </w:r>
      <w:r w:rsidRPr="008516D1">
        <w:t>informatique.</w:t>
      </w:r>
    </w:p>
    <w:p w14:paraId="21DB71B8" w14:textId="77777777" w:rsidR="00286956" w:rsidRPr="008516D1" w:rsidRDefault="00286956" w:rsidP="0013732F">
      <w:pPr>
        <w:pStyle w:val="SingleTxtG"/>
      </w:pPr>
      <w:r w:rsidRPr="008516D1">
        <w:t>29.</w:t>
      </w:r>
      <w:r w:rsidRPr="008516D1">
        <w:tab/>
        <w:t>Au</w:t>
      </w:r>
      <w:r>
        <w:t xml:space="preserve"> </w:t>
      </w:r>
      <w:r w:rsidRPr="008516D1">
        <w:t>niveau</w:t>
      </w:r>
      <w:r>
        <w:t xml:space="preserve"> </w:t>
      </w:r>
      <w:r w:rsidRPr="008516D1">
        <w:t>national,</w:t>
      </w:r>
      <w:r>
        <w:t xml:space="preserve"> </w:t>
      </w:r>
      <w:r w:rsidRPr="008516D1">
        <w:t>le</w:t>
      </w:r>
      <w:r>
        <w:t xml:space="preserve"> </w:t>
      </w:r>
      <w:r w:rsidRPr="008516D1">
        <w:t>nombre</w:t>
      </w:r>
      <w:r>
        <w:t xml:space="preserve"> </w:t>
      </w:r>
      <w:r w:rsidRPr="008516D1">
        <w:t>de</w:t>
      </w:r>
      <w:r>
        <w:t xml:space="preserve"> </w:t>
      </w:r>
      <w:r w:rsidRPr="008516D1">
        <w:t>plaintes</w:t>
      </w:r>
      <w:r>
        <w:t xml:space="preserve"> </w:t>
      </w:r>
      <w:r w:rsidRPr="008516D1">
        <w:t>pour</w:t>
      </w:r>
      <w:r>
        <w:t xml:space="preserve"> </w:t>
      </w:r>
      <w:r w:rsidRPr="008516D1">
        <w:t>disparition</w:t>
      </w:r>
      <w:r>
        <w:t xml:space="preserve"> </w:t>
      </w:r>
      <w:r w:rsidRPr="008516D1">
        <w:t>forcée</w:t>
      </w:r>
      <w:r>
        <w:t xml:space="preserve"> </w:t>
      </w:r>
      <w:r w:rsidRPr="008516D1">
        <w:t>enregistrées</w:t>
      </w:r>
      <w:r>
        <w:t xml:space="preserve"> </w:t>
      </w:r>
      <w:r w:rsidRPr="008516D1">
        <w:t>par</w:t>
      </w:r>
      <w:r>
        <w:t xml:space="preserve"> </w:t>
      </w:r>
      <w:r w:rsidRPr="008516D1">
        <w:t>le</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situé</w:t>
      </w:r>
      <w:r>
        <w:t xml:space="preserve"> </w:t>
      </w:r>
      <w:r w:rsidRPr="008516D1">
        <w:t>dans</w:t>
      </w:r>
      <w:r>
        <w:t xml:space="preserve"> </w:t>
      </w:r>
      <w:r w:rsidRPr="008516D1">
        <w:t>le</w:t>
      </w:r>
      <w:r>
        <w:t xml:space="preserve"> </w:t>
      </w:r>
      <w:r w:rsidRPr="008516D1">
        <w:t>District</w:t>
      </w:r>
      <w:r>
        <w:t xml:space="preserve"> </w:t>
      </w:r>
      <w:r w:rsidRPr="008516D1">
        <w:t>central,</w:t>
      </w:r>
      <w:r>
        <w:t xml:space="preserve"> </w:t>
      </w:r>
      <w:r w:rsidRPr="008516D1">
        <w:t>a</w:t>
      </w:r>
      <w:r>
        <w:t xml:space="preserve"> </w:t>
      </w:r>
      <w:r w:rsidRPr="008516D1">
        <w:t>été</w:t>
      </w:r>
      <w:r>
        <w:t xml:space="preserve"> </w:t>
      </w:r>
      <w:r w:rsidRPr="008516D1">
        <w:t>de</w:t>
      </w:r>
      <w:r>
        <w:t xml:space="preserve"> </w:t>
      </w:r>
      <w:r w:rsidRPr="008516D1">
        <w:t>35</w:t>
      </w:r>
      <w:r>
        <w:t xml:space="preserve"> </w:t>
      </w:r>
      <w:r w:rsidRPr="008516D1">
        <w:t>entre</w:t>
      </w:r>
      <w:r>
        <w:t xml:space="preserve"> </w:t>
      </w:r>
      <w:r w:rsidRPr="008516D1">
        <w:t>2000</w:t>
      </w:r>
      <w:r>
        <w:t xml:space="preserve"> </w:t>
      </w:r>
      <w:r w:rsidRPr="008516D1">
        <w:t>et</w:t>
      </w:r>
      <w:r>
        <w:t xml:space="preserve"> </w:t>
      </w:r>
      <w:r w:rsidRPr="008516D1">
        <w:t>2014</w:t>
      </w:r>
      <w:r>
        <w:t xml:space="preserve"> </w:t>
      </w:r>
      <w:r w:rsidRPr="008516D1">
        <w:t>et</w:t>
      </w:r>
      <w:r>
        <w:t xml:space="preserve"> </w:t>
      </w:r>
      <w:r w:rsidRPr="008516D1">
        <w:t>de</w:t>
      </w:r>
      <w:r>
        <w:t xml:space="preserve"> </w:t>
      </w:r>
      <w:r w:rsidRPr="008516D1">
        <w:t>48</w:t>
      </w:r>
      <w:r>
        <w:t xml:space="preserve"> </w:t>
      </w:r>
      <w:r w:rsidRPr="008516D1">
        <w:t>entre</w:t>
      </w:r>
      <w:r>
        <w:t xml:space="preserve"> </w:t>
      </w:r>
      <w:r w:rsidRPr="008516D1">
        <w:t>2015</w:t>
      </w:r>
      <w:r>
        <w:t xml:space="preserve"> </w:t>
      </w:r>
      <w:r w:rsidRPr="008516D1">
        <w:t>et</w:t>
      </w:r>
      <w:r>
        <w:t xml:space="preserve"> </w:t>
      </w:r>
      <w:r w:rsidRPr="008516D1">
        <w:t>mai</w:t>
      </w:r>
      <w:r>
        <w:t xml:space="preserve"> </w:t>
      </w:r>
      <w:r w:rsidRPr="008516D1">
        <w:t>2021.</w:t>
      </w:r>
    </w:p>
    <w:p w14:paraId="7AA66081" w14:textId="77777777" w:rsidR="00286956" w:rsidRPr="008516D1" w:rsidRDefault="00286956" w:rsidP="0013732F">
      <w:pPr>
        <w:pStyle w:val="H1G"/>
      </w:pPr>
      <w:bookmarkStart w:id="17" w:name="_Toc76740427"/>
      <w:bookmarkStart w:id="18" w:name="_Hlk72942147"/>
      <w:bookmarkStart w:id="19" w:name="_Hlk72244977"/>
      <w:r w:rsidRPr="008516D1">
        <w:tab/>
        <w:t>G.</w:t>
      </w:r>
      <w:r w:rsidRPr="008516D1">
        <w:tab/>
        <w:t>Registre</w:t>
      </w:r>
      <w:r>
        <w:t xml:space="preserve"> </w:t>
      </w:r>
      <w:r w:rsidRPr="008516D1">
        <w:t>consolidé</w:t>
      </w:r>
      <w:r>
        <w:t xml:space="preserve"> </w:t>
      </w:r>
      <w:r w:rsidRPr="008516D1">
        <w:t>des</w:t>
      </w:r>
      <w:r>
        <w:t xml:space="preserve"> </w:t>
      </w:r>
      <w:r w:rsidRPr="008516D1">
        <w:t>cas</w:t>
      </w:r>
      <w:r>
        <w:t xml:space="preserve"> </w:t>
      </w:r>
      <w:r w:rsidRPr="008516D1">
        <w:t>de</w:t>
      </w:r>
      <w:r>
        <w:t xml:space="preserve"> </w:t>
      </w:r>
      <w:r w:rsidRPr="008516D1">
        <w:t>disparition</w:t>
      </w:r>
      <w:r>
        <w:t xml:space="preserve"> </w:t>
      </w:r>
      <w:r w:rsidRPr="008516D1">
        <w:t>forcée</w:t>
      </w:r>
      <w:bookmarkEnd w:id="17"/>
      <w:bookmarkEnd w:id="18"/>
    </w:p>
    <w:p w14:paraId="5BD12BB3" w14:textId="77777777" w:rsidR="00286956" w:rsidRPr="008516D1" w:rsidRDefault="00286956" w:rsidP="0013732F">
      <w:pPr>
        <w:pStyle w:val="SingleTxtG"/>
      </w:pPr>
      <w:r w:rsidRPr="008516D1">
        <w:t>30.</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13</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établir</w:t>
      </w:r>
      <w:r>
        <w:t xml:space="preserve"> </w:t>
      </w:r>
      <w:r w:rsidRPr="008516D1">
        <w:t>un</w:t>
      </w:r>
      <w:r>
        <w:t xml:space="preserve"> </w:t>
      </w:r>
      <w:r w:rsidRPr="008516D1">
        <w:t>registre</w:t>
      </w:r>
      <w:r>
        <w:t xml:space="preserve"> </w:t>
      </w:r>
      <w:r w:rsidRPr="008516D1">
        <w:t>consolidé</w:t>
      </w:r>
      <w:r>
        <w:t xml:space="preserve"> </w:t>
      </w:r>
      <w:r w:rsidRPr="008516D1">
        <w:t>de</w:t>
      </w:r>
      <w:r>
        <w:t xml:space="preserve"> </w:t>
      </w:r>
      <w:r w:rsidRPr="008516D1">
        <w:t>tous</w:t>
      </w:r>
      <w:r>
        <w:t xml:space="preserve"> </w:t>
      </w:r>
      <w:r w:rsidRPr="008516D1">
        <w:t>les</w:t>
      </w:r>
      <w:r>
        <w:t xml:space="preserve"> </w:t>
      </w:r>
      <w:r w:rsidRPr="008516D1">
        <w:t>cas</w:t>
      </w:r>
      <w:r>
        <w:t xml:space="preserve"> </w:t>
      </w:r>
      <w:r w:rsidRPr="008516D1">
        <w:t>de</w:t>
      </w:r>
      <w:r>
        <w:t xml:space="preserve"> </w:t>
      </w:r>
      <w:r w:rsidRPr="008516D1">
        <w:t>disparition</w:t>
      </w:r>
      <w:r>
        <w:t xml:space="preserve"> </w:t>
      </w:r>
      <w:r w:rsidRPr="008516D1">
        <w:t>forcée</w:t>
      </w:r>
      <w:r>
        <w:t xml:space="preserve"> </w:t>
      </w:r>
      <w:r w:rsidRPr="008516D1">
        <w:t>survenus</w:t>
      </w:r>
      <w:r>
        <w:t xml:space="preserve"> </w:t>
      </w:r>
      <w:r w:rsidRPr="008516D1">
        <w:t>sur</w:t>
      </w:r>
      <w:r>
        <w:t xml:space="preserve"> </w:t>
      </w:r>
      <w:r w:rsidRPr="008516D1">
        <w:t>le</w:t>
      </w:r>
      <w:r>
        <w:t xml:space="preserve"> </w:t>
      </w:r>
      <w:r w:rsidRPr="008516D1">
        <w:t>territoire</w:t>
      </w:r>
      <w:r>
        <w:t xml:space="preserve"> </w:t>
      </w:r>
      <w:r w:rsidRPr="008516D1">
        <w:t>national</w:t>
      </w:r>
      <w:r>
        <w:t xml:space="preserve"> </w:t>
      </w:r>
      <w:r w:rsidRPr="008516D1">
        <w:t>ou</w:t>
      </w:r>
      <w:r>
        <w:t xml:space="preserve"> </w:t>
      </w:r>
      <w:r w:rsidRPr="008516D1">
        <w:t>dont</w:t>
      </w:r>
      <w:r>
        <w:t xml:space="preserve"> </w:t>
      </w:r>
      <w:r w:rsidRPr="008516D1">
        <w:t>les</w:t>
      </w:r>
      <w:r>
        <w:t xml:space="preserve"> </w:t>
      </w:r>
      <w:r w:rsidRPr="008516D1">
        <w:t>victimes</w:t>
      </w:r>
      <w:r>
        <w:t xml:space="preserve"> </w:t>
      </w:r>
      <w:r w:rsidRPr="008516D1">
        <w:t>sont</w:t>
      </w:r>
      <w:r>
        <w:t xml:space="preserve"> </w:t>
      </w:r>
      <w:r w:rsidRPr="008516D1">
        <w:t>des</w:t>
      </w:r>
      <w:r>
        <w:t xml:space="preserve"> </w:t>
      </w:r>
      <w:r w:rsidRPr="008516D1">
        <w:t>ressortissants</w:t>
      </w:r>
      <w:r>
        <w:t xml:space="preserve"> </w:t>
      </w:r>
      <w:r w:rsidRPr="008516D1">
        <w:t>honduriens</w:t>
      </w:r>
      <w:r>
        <w:t xml:space="preserve"> </w:t>
      </w:r>
      <w:r w:rsidRPr="008516D1">
        <w:t>disparus</w:t>
      </w:r>
      <w:r>
        <w:t xml:space="preserve"> </w:t>
      </w:r>
      <w:r w:rsidRPr="008516D1">
        <w:t>à</w:t>
      </w:r>
      <w:r>
        <w:t xml:space="preserve"> </w:t>
      </w:r>
      <w:r w:rsidRPr="008516D1">
        <w:t>l</w:t>
      </w:r>
      <w:r>
        <w:t>’</w:t>
      </w:r>
      <w:r w:rsidRPr="008516D1">
        <w:t>étranger,</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des</w:t>
      </w:r>
      <w:r>
        <w:t xml:space="preserve"> </w:t>
      </w:r>
      <w:r w:rsidRPr="008516D1">
        <w:t>avant-projets</w:t>
      </w:r>
      <w:r>
        <w:t xml:space="preserve"> </w:t>
      </w:r>
      <w:r w:rsidRPr="008516D1">
        <w:t>de</w:t>
      </w:r>
      <w:r>
        <w:t xml:space="preserve"> </w:t>
      </w:r>
      <w:r w:rsidRPr="008516D1">
        <w:t>loi</w:t>
      </w:r>
      <w:r>
        <w:t xml:space="preserve"> </w:t>
      </w:r>
      <w:r w:rsidRPr="008516D1">
        <w:t>pour</w:t>
      </w:r>
      <w:r>
        <w:t xml:space="preserve"> </w:t>
      </w:r>
      <w:r w:rsidRPr="008516D1">
        <w:t>la</w:t>
      </w:r>
      <w:r>
        <w:t xml:space="preserve"> </w:t>
      </w:r>
      <w:r w:rsidRPr="008516D1">
        <w:t>création</w:t>
      </w:r>
      <w:r>
        <w:t xml:space="preserve"> </w:t>
      </w:r>
      <w:r w:rsidRPr="008516D1">
        <w:t>de</w:t>
      </w:r>
      <w:r>
        <w:t xml:space="preserve"> </w:t>
      </w:r>
      <w:r w:rsidRPr="008516D1">
        <w:t>ce</w:t>
      </w:r>
      <w:r>
        <w:t xml:space="preserve"> </w:t>
      </w:r>
      <w:r w:rsidRPr="008516D1">
        <w:t>registre</w:t>
      </w:r>
      <w:r>
        <w:t xml:space="preserve"> </w:t>
      </w:r>
      <w:r w:rsidRPr="008516D1">
        <w:t>ont</w:t>
      </w:r>
      <w:r>
        <w:t xml:space="preserve"> </w:t>
      </w:r>
      <w:r w:rsidRPr="008516D1">
        <w:t>été</w:t>
      </w:r>
      <w:r>
        <w:t xml:space="preserve"> </w:t>
      </w:r>
      <w:r w:rsidRPr="008516D1">
        <w:t>soumis</w:t>
      </w:r>
      <w:r>
        <w:t xml:space="preserve"> </w:t>
      </w:r>
      <w:r w:rsidRPr="008516D1">
        <w:t>au</w:t>
      </w:r>
      <w:r>
        <w:t xml:space="preserve"> </w:t>
      </w:r>
      <w:r w:rsidRPr="008516D1">
        <w:t>Congrès</w:t>
      </w:r>
      <w:r>
        <w:t xml:space="preserve"> </w:t>
      </w:r>
      <w:r w:rsidRPr="008516D1">
        <w:t>national.</w:t>
      </w:r>
      <w:r>
        <w:t xml:space="preserve"> </w:t>
      </w:r>
      <w:r w:rsidRPr="008516D1">
        <w:t>En</w:t>
      </w:r>
      <w:r>
        <w:t xml:space="preserve"> </w:t>
      </w:r>
      <w:r w:rsidRPr="008516D1">
        <w:t>2018,</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procédé</w:t>
      </w:r>
      <w:r>
        <w:t xml:space="preserve"> </w:t>
      </w:r>
      <w:r w:rsidRPr="008516D1">
        <w:t>au</w:t>
      </w:r>
      <w:r>
        <w:t xml:space="preserve"> </w:t>
      </w:r>
      <w:r w:rsidRPr="008516D1">
        <w:t>contrôle</w:t>
      </w:r>
      <w:r>
        <w:t xml:space="preserve"> </w:t>
      </w:r>
      <w:r w:rsidRPr="008516D1">
        <w:t>de</w:t>
      </w:r>
      <w:r>
        <w:t xml:space="preserve"> </w:t>
      </w:r>
      <w:r w:rsidRPr="008516D1">
        <w:t>conventionnalité</w:t>
      </w:r>
      <w:r>
        <w:t xml:space="preserve"> </w:t>
      </w:r>
      <w:r w:rsidRPr="008516D1">
        <w:t>de</w:t>
      </w:r>
      <w:r>
        <w:t xml:space="preserve"> </w:t>
      </w:r>
      <w:r w:rsidRPr="008516D1">
        <w:t>l</w:t>
      </w:r>
      <w:r>
        <w:t>’</w:t>
      </w:r>
      <w:r w:rsidRPr="008516D1">
        <w:t>avant-projet</w:t>
      </w:r>
      <w:r>
        <w:t xml:space="preserve"> </w:t>
      </w:r>
      <w:r w:rsidRPr="008516D1">
        <w:t>de</w:t>
      </w:r>
      <w:r>
        <w:t xml:space="preserve"> </w:t>
      </w:r>
      <w:r w:rsidRPr="008516D1">
        <w:t>loi</w:t>
      </w:r>
      <w:r>
        <w:t xml:space="preserve"> </w:t>
      </w:r>
      <w:r w:rsidRPr="008516D1">
        <w:t>relative</w:t>
      </w:r>
      <w:r>
        <w:t xml:space="preserve"> </w:t>
      </w:r>
      <w:r w:rsidRPr="008516D1">
        <w:t>au</w:t>
      </w:r>
      <w:r>
        <w:t xml:space="preserve"> </w:t>
      </w:r>
      <w:r w:rsidRPr="008516D1">
        <w:t>Registre</w:t>
      </w:r>
      <w:r>
        <w:t xml:space="preserve"> </w:t>
      </w:r>
      <w:r w:rsidRPr="008516D1">
        <w:t>national</w:t>
      </w:r>
      <w:r>
        <w:t xml:space="preserve"> </w:t>
      </w:r>
      <w:r w:rsidRPr="008516D1">
        <w:t>de</w:t>
      </w:r>
      <w:r>
        <w:t xml:space="preserve"> </w:t>
      </w:r>
      <w:r w:rsidRPr="008516D1">
        <w:t>données</w:t>
      </w:r>
      <w:r>
        <w:t xml:space="preserve"> </w:t>
      </w:r>
      <w:r w:rsidRPr="008516D1">
        <w:t>concernant</w:t>
      </w:r>
      <w:r>
        <w:t xml:space="preserve"> </w:t>
      </w:r>
      <w:r w:rsidRPr="008516D1">
        <w:t>les</w:t>
      </w:r>
      <w:r>
        <w:t xml:space="preserve"> </w:t>
      </w:r>
      <w:r w:rsidRPr="008516D1">
        <w:t>personnes</w:t>
      </w:r>
      <w:r>
        <w:t xml:space="preserve"> </w:t>
      </w:r>
      <w:r w:rsidRPr="008516D1">
        <w:t>égarées</w:t>
      </w:r>
      <w:r>
        <w:t xml:space="preserve"> </w:t>
      </w:r>
      <w:r w:rsidRPr="008516D1">
        <w:t>ou</w:t>
      </w:r>
      <w:r>
        <w:t xml:space="preserve"> </w:t>
      </w:r>
      <w:r w:rsidRPr="008516D1">
        <w:t>disparues</w:t>
      </w:r>
      <w:r>
        <w:t xml:space="preserve"> </w:t>
      </w:r>
      <w:r w:rsidRPr="008516D1">
        <w:t>et</w:t>
      </w:r>
      <w:r>
        <w:t xml:space="preserve"> </w:t>
      </w:r>
      <w:r w:rsidRPr="008516D1">
        <w:t>de</w:t>
      </w:r>
      <w:r>
        <w:t xml:space="preserve"> </w:t>
      </w:r>
      <w:r w:rsidRPr="008516D1">
        <w:t>l</w:t>
      </w:r>
      <w:r>
        <w:t>’</w:t>
      </w:r>
      <w:r w:rsidRPr="008516D1">
        <w:t>avant-projet</w:t>
      </w:r>
      <w:r>
        <w:t xml:space="preserve"> </w:t>
      </w:r>
      <w:r w:rsidRPr="008516D1">
        <w:t>de</w:t>
      </w:r>
      <w:r>
        <w:t xml:space="preserve"> </w:t>
      </w:r>
      <w:r w:rsidRPr="008516D1">
        <w:t>loi</w:t>
      </w:r>
      <w:r>
        <w:t xml:space="preserve"> </w:t>
      </w:r>
      <w:r w:rsidRPr="008516D1">
        <w:t>relative</w:t>
      </w:r>
      <w:r>
        <w:t xml:space="preserve"> </w:t>
      </w:r>
      <w:r w:rsidRPr="008516D1">
        <w:t>au</w:t>
      </w:r>
      <w:r>
        <w:t xml:space="preserve"> </w:t>
      </w:r>
      <w:r w:rsidRPr="008516D1">
        <w:t>Système</w:t>
      </w:r>
      <w:r>
        <w:t xml:space="preserve"> </w:t>
      </w:r>
      <w:r w:rsidRPr="008516D1">
        <w:t>national</w:t>
      </w:r>
      <w:r>
        <w:t xml:space="preserve"> </w:t>
      </w:r>
      <w:r w:rsidRPr="008516D1">
        <w:t>d</w:t>
      </w:r>
      <w:r>
        <w:t>’</w:t>
      </w:r>
      <w:r w:rsidRPr="008516D1">
        <w:t>identification</w:t>
      </w:r>
      <w:r>
        <w:t xml:space="preserve"> </w:t>
      </w:r>
      <w:r w:rsidRPr="008516D1">
        <w:t>humaine</w:t>
      </w:r>
      <w:r>
        <w:t xml:space="preserve"> </w:t>
      </w:r>
      <w:r w:rsidRPr="008516D1">
        <w:t>et</w:t>
      </w:r>
      <w:r>
        <w:t xml:space="preserve"> </w:t>
      </w:r>
      <w:r w:rsidRPr="008516D1">
        <w:t>à</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génétiques,</w:t>
      </w:r>
      <w:r>
        <w:t xml:space="preserve"> </w:t>
      </w:r>
      <w:r w:rsidRPr="008516D1">
        <w:t>afin</w:t>
      </w:r>
      <w:r>
        <w:t xml:space="preserve"> </w:t>
      </w:r>
      <w:r w:rsidRPr="008516D1">
        <w:t>de</w:t>
      </w:r>
      <w:r>
        <w:t xml:space="preserve"> </w:t>
      </w:r>
      <w:r w:rsidRPr="008516D1">
        <w:t>vérifier</w:t>
      </w:r>
      <w:r>
        <w:t xml:space="preserve"> </w:t>
      </w:r>
      <w:r w:rsidRPr="008516D1">
        <w:t>leur</w:t>
      </w:r>
      <w:r>
        <w:t xml:space="preserve"> </w:t>
      </w:r>
      <w:r w:rsidRPr="008516D1">
        <w:t>conformité</w:t>
      </w:r>
      <w:r>
        <w:t xml:space="preserve"> </w:t>
      </w:r>
      <w:r w:rsidRPr="008516D1">
        <w:t>avec</w:t>
      </w:r>
      <w:r>
        <w:t xml:space="preserve"> </w:t>
      </w:r>
      <w:r w:rsidRPr="008516D1">
        <w:t>les</w:t>
      </w:r>
      <w:r>
        <w:t xml:space="preserve"> </w:t>
      </w:r>
      <w:r w:rsidRPr="008516D1">
        <w:t>normes</w:t>
      </w:r>
      <w:r>
        <w:t xml:space="preserve"> </w:t>
      </w:r>
      <w:r w:rsidRPr="008516D1">
        <w:t>internationales.</w:t>
      </w:r>
    </w:p>
    <w:p w14:paraId="02864F2B" w14:textId="77777777" w:rsidR="00286956" w:rsidRPr="008516D1" w:rsidRDefault="00286956" w:rsidP="0013732F">
      <w:pPr>
        <w:pStyle w:val="SingleTxtG"/>
      </w:pPr>
      <w:r w:rsidRPr="008516D1">
        <w:t>31.</w:t>
      </w:r>
      <w:r w:rsidRPr="008516D1">
        <w:tab/>
        <w:t>Il</w:t>
      </w:r>
      <w:r>
        <w:t xml:space="preserve"> </w:t>
      </w:r>
      <w:r w:rsidRPr="008516D1">
        <w:t>est</w:t>
      </w:r>
      <w:r>
        <w:t xml:space="preserve"> </w:t>
      </w:r>
      <w:r w:rsidRPr="008516D1">
        <w:t>important</w:t>
      </w:r>
      <w:r>
        <w:t xml:space="preserve"> </w:t>
      </w:r>
      <w:r w:rsidRPr="008516D1">
        <w:t>de</w:t>
      </w:r>
      <w:r>
        <w:t xml:space="preserve"> </w:t>
      </w:r>
      <w:r w:rsidRPr="008516D1">
        <w:t>souligner</w:t>
      </w:r>
      <w:r>
        <w:t xml:space="preserve"> </w:t>
      </w:r>
      <w:r w:rsidRPr="008516D1">
        <w:t>que</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participé</w:t>
      </w:r>
      <w:r>
        <w:t xml:space="preserve"> </w:t>
      </w:r>
      <w:r w:rsidRPr="008516D1">
        <w:t>à</w:t>
      </w:r>
      <w:r>
        <w:t xml:space="preserve"> </w:t>
      </w:r>
      <w:r w:rsidRPr="008516D1">
        <w:t>la</w:t>
      </w:r>
      <w:r>
        <w:t xml:space="preserve"> </w:t>
      </w:r>
      <w:r w:rsidRPr="008516D1">
        <w:t>première</w:t>
      </w:r>
      <w:r>
        <w:t xml:space="preserve"> </w:t>
      </w:r>
      <w:r w:rsidRPr="008516D1">
        <w:t>rencontre</w:t>
      </w:r>
      <w:r>
        <w:t xml:space="preserve"> </w:t>
      </w:r>
      <w:r w:rsidRPr="008516D1">
        <w:t>d</w:t>
      </w:r>
      <w:r>
        <w:t>’</w:t>
      </w:r>
      <w:r w:rsidRPr="008516D1">
        <w:t>échange</w:t>
      </w:r>
      <w:r>
        <w:t xml:space="preserve"> </w:t>
      </w:r>
      <w:r w:rsidRPr="008516D1">
        <w:t>d</w:t>
      </w:r>
      <w:r>
        <w:t>’</w:t>
      </w:r>
      <w:r w:rsidRPr="008516D1">
        <w:t>expériences</w:t>
      </w:r>
      <w:r>
        <w:t xml:space="preserve"> </w:t>
      </w:r>
      <w:r w:rsidRPr="008516D1">
        <w:t>sur</w:t>
      </w:r>
      <w:r>
        <w:t xml:space="preserve"> </w:t>
      </w:r>
      <w:r w:rsidRPr="008516D1">
        <w:t>l</w:t>
      </w:r>
      <w:r>
        <w:t>’</w:t>
      </w:r>
      <w:r w:rsidRPr="008516D1">
        <w:t>enregistrement</w:t>
      </w:r>
      <w:r>
        <w:t xml:space="preserve"> </w:t>
      </w:r>
      <w:r w:rsidRPr="008516D1">
        <w:t>des</w:t>
      </w:r>
      <w:r>
        <w:t xml:space="preserve"> </w:t>
      </w:r>
      <w:r w:rsidRPr="008516D1">
        <w:t>cas</w:t>
      </w:r>
      <w:r>
        <w:t xml:space="preserve"> </w:t>
      </w:r>
      <w:r w:rsidRPr="008516D1">
        <w:t>de</w:t>
      </w:r>
      <w:r>
        <w:t xml:space="preserve"> </w:t>
      </w:r>
      <w:r w:rsidRPr="008516D1">
        <w:t>personnes</w:t>
      </w:r>
      <w:r>
        <w:t xml:space="preserve"> </w:t>
      </w:r>
      <w:r w:rsidRPr="008516D1">
        <w:t>disparues</w:t>
      </w:r>
      <w:r w:rsidRPr="008516D1">
        <w:rPr>
          <w:rStyle w:val="Appelnotedebasdep"/>
        </w:rPr>
        <w:footnoteReference w:id="55"/>
      </w:r>
      <w:r w:rsidRPr="008516D1">
        <w:t>,</w:t>
      </w:r>
      <w:r>
        <w:t xml:space="preserve"> </w:t>
      </w:r>
      <w:r w:rsidRPr="008516D1">
        <w:t>qui</w:t>
      </w:r>
      <w:r>
        <w:t xml:space="preserve"> </w:t>
      </w:r>
      <w:r w:rsidRPr="008516D1">
        <w:t>s</w:t>
      </w:r>
      <w:r>
        <w:t>’</w:t>
      </w:r>
      <w:r w:rsidRPr="008516D1">
        <w:t>est</w:t>
      </w:r>
      <w:r>
        <w:t xml:space="preserve"> </w:t>
      </w:r>
      <w:r w:rsidRPr="008516D1">
        <w:t>tenue</w:t>
      </w:r>
      <w:r>
        <w:t xml:space="preserve"> </w:t>
      </w:r>
      <w:r w:rsidRPr="008516D1">
        <w:t>en</w:t>
      </w:r>
      <w:r>
        <w:t xml:space="preserve"> </w:t>
      </w:r>
      <w:r w:rsidRPr="008516D1">
        <w:t>janvier</w:t>
      </w:r>
      <w:r>
        <w:t xml:space="preserve"> </w:t>
      </w:r>
      <w:r w:rsidRPr="008516D1">
        <w:t>2019</w:t>
      </w:r>
      <w:r>
        <w:t xml:space="preserve"> </w:t>
      </w:r>
      <w:r w:rsidRPr="008516D1">
        <w:t>en</w:t>
      </w:r>
      <w:r>
        <w:t xml:space="preserve"> </w:t>
      </w:r>
      <w:r w:rsidRPr="008516D1">
        <w:t>Amérique</w:t>
      </w:r>
      <w:r>
        <w:t xml:space="preserve"> </w:t>
      </w:r>
      <w:r w:rsidRPr="008516D1">
        <w:t>centrale,</w:t>
      </w:r>
      <w:r>
        <w:t xml:space="preserve"> </w:t>
      </w:r>
      <w:r w:rsidRPr="008516D1">
        <w:t>au</w:t>
      </w:r>
      <w:r>
        <w:t xml:space="preserve"> </w:t>
      </w:r>
      <w:r w:rsidRPr="008516D1">
        <w:t>Guatemala,</w:t>
      </w:r>
      <w:r>
        <w:t xml:space="preserve"> </w:t>
      </w:r>
      <w:r w:rsidRPr="008516D1">
        <w:t>dans</w:t>
      </w:r>
      <w:r>
        <w:t xml:space="preserve"> </w:t>
      </w:r>
      <w:r w:rsidRPr="008516D1">
        <w:t>la</w:t>
      </w:r>
      <w:r>
        <w:t xml:space="preserve"> </w:t>
      </w:r>
      <w:r w:rsidRPr="008516D1">
        <w:t>ville</w:t>
      </w:r>
      <w:r>
        <w:t xml:space="preserve"> </w:t>
      </w:r>
      <w:r w:rsidRPr="008516D1">
        <w:t>d</w:t>
      </w:r>
      <w:r>
        <w:t>’</w:t>
      </w:r>
      <w:r w:rsidRPr="008516D1">
        <w:t>Antigua.</w:t>
      </w:r>
      <w:r>
        <w:t xml:space="preserve"> </w:t>
      </w:r>
      <w:r w:rsidRPr="008516D1">
        <w:t>Au</w:t>
      </w:r>
      <w:r>
        <w:t xml:space="preserve"> </w:t>
      </w:r>
      <w:r w:rsidRPr="008516D1">
        <w:t>cours</w:t>
      </w:r>
      <w:r>
        <w:t xml:space="preserve"> </w:t>
      </w:r>
      <w:r w:rsidRPr="008516D1">
        <w:t>de</w:t>
      </w:r>
      <w:r>
        <w:t xml:space="preserve"> </w:t>
      </w:r>
      <w:r w:rsidRPr="008516D1">
        <w:t>cette</w:t>
      </w:r>
      <w:r>
        <w:t xml:space="preserve"> </w:t>
      </w:r>
      <w:r w:rsidRPr="008516D1">
        <w:t>rencontre,</w:t>
      </w:r>
      <w:r>
        <w:t xml:space="preserve"> </w:t>
      </w:r>
      <w:r w:rsidRPr="008516D1">
        <w:t>des</w:t>
      </w:r>
      <w:r>
        <w:t xml:space="preserve"> </w:t>
      </w:r>
      <w:r w:rsidRPr="008516D1">
        <w:t>avancées</w:t>
      </w:r>
      <w:r>
        <w:t xml:space="preserve"> </w:t>
      </w:r>
      <w:r w:rsidRPr="008516D1">
        <w:t>innovantes</w:t>
      </w:r>
      <w:r>
        <w:t xml:space="preserve"> </w:t>
      </w:r>
      <w:r w:rsidRPr="008516D1">
        <w:t>ont</w:t>
      </w:r>
      <w:r>
        <w:t xml:space="preserve"> </w:t>
      </w:r>
      <w:r w:rsidRPr="008516D1">
        <w:t>été</w:t>
      </w:r>
      <w:r>
        <w:t xml:space="preserve"> </w:t>
      </w:r>
      <w:r w:rsidRPr="008516D1">
        <w:t>présentées.</w:t>
      </w:r>
    </w:p>
    <w:p w14:paraId="7597CFA1" w14:textId="59604CCA" w:rsidR="00286956" w:rsidRPr="008516D1" w:rsidRDefault="00286956" w:rsidP="0013732F">
      <w:pPr>
        <w:pStyle w:val="SingleTxtG"/>
      </w:pPr>
      <w:r w:rsidRPr="008516D1">
        <w:t>32.</w:t>
      </w:r>
      <w:r w:rsidRPr="008516D1">
        <w:tab/>
        <w:t>L</w:t>
      </w:r>
      <w:r>
        <w:t>’</w:t>
      </w:r>
      <w:r w:rsidRPr="008516D1">
        <w:t>objectif</w:t>
      </w:r>
      <w:r>
        <w:t xml:space="preserve"> </w:t>
      </w:r>
      <w:r w:rsidRPr="008516D1">
        <w:t>de</w:t>
      </w:r>
      <w:r>
        <w:t xml:space="preserve"> </w:t>
      </w:r>
      <w:r w:rsidRPr="008516D1">
        <w:t>la</w:t>
      </w:r>
      <w:r>
        <w:t xml:space="preserve"> </w:t>
      </w:r>
      <w:r w:rsidRPr="008516D1">
        <w:t>réunion</w:t>
      </w:r>
      <w:r>
        <w:t xml:space="preserve"> </w:t>
      </w:r>
      <w:r w:rsidRPr="008516D1">
        <w:t>était</w:t>
      </w:r>
      <w:r>
        <w:t xml:space="preserve"> </w:t>
      </w:r>
      <w:r w:rsidRPr="008516D1">
        <w:t>de</w:t>
      </w:r>
      <w:r>
        <w:t xml:space="preserve"> </w:t>
      </w:r>
      <w:r w:rsidRPr="008516D1">
        <w:t>définir</w:t>
      </w:r>
      <w:r>
        <w:t xml:space="preserve"> </w:t>
      </w:r>
      <w:r w:rsidRPr="008516D1">
        <w:t>des</w:t>
      </w:r>
      <w:r>
        <w:t xml:space="preserve"> </w:t>
      </w:r>
      <w:r w:rsidRPr="008516D1">
        <w:t>mesures</w:t>
      </w:r>
      <w:r>
        <w:t xml:space="preserve"> </w:t>
      </w:r>
      <w:r w:rsidRPr="008516D1">
        <w:t>visant</w:t>
      </w:r>
      <w:r>
        <w:t xml:space="preserve"> </w:t>
      </w:r>
      <w:r w:rsidRPr="008516D1">
        <w:t>à</w:t>
      </w:r>
      <w:r>
        <w:t xml:space="preserve"> </w:t>
      </w:r>
      <w:r w:rsidRPr="008516D1">
        <w:t>renforcer</w:t>
      </w:r>
      <w:r>
        <w:t xml:space="preserve"> </w:t>
      </w:r>
      <w:r w:rsidRPr="008516D1">
        <w:t>conjointement</w:t>
      </w:r>
      <w:r>
        <w:t xml:space="preserve"> </w:t>
      </w:r>
      <w:r w:rsidRPr="008516D1">
        <w:t>les</w:t>
      </w:r>
      <w:r>
        <w:t xml:space="preserve"> </w:t>
      </w:r>
      <w:r w:rsidRPr="008516D1">
        <w:t>politiques</w:t>
      </w:r>
      <w:r>
        <w:t xml:space="preserve"> </w:t>
      </w:r>
      <w:r w:rsidRPr="008516D1">
        <w:t>publiques</w:t>
      </w:r>
      <w:r>
        <w:t xml:space="preserve"> </w:t>
      </w:r>
      <w:r w:rsidRPr="008516D1">
        <w:t>relatives</w:t>
      </w:r>
      <w:r>
        <w:t xml:space="preserve"> </w:t>
      </w:r>
      <w:r w:rsidRPr="008516D1">
        <w:t>aux</w:t>
      </w:r>
      <w:r>
        <w:t xml:space="preserve"> </w:t>
      </w:r>
      <w:r w:rsidRPr="008516D1">
        <w:t>personnes</w:t>
      </w:r>
      <w:r>
        <w:t xml:space="preserve"> </w:t>
      </w:r>
      <w:r w:rsidRPr="008516D1">
        <w:t>disparues,</w:t>
      </w:r>
      <w:r>
        <w:t xml:space="preserve"> </w:t>
      </w:r>
      <w:r w:rsidRPr="008516D1">
        <w:t>à</w:t>
      </w:r>
      <w:r>
        <w:t xml:space="preserve"> </w:t>
      </w:r>
      <w:r w:rsidRPr="008516D1">
        <w:t>diffuser</w:t>
      </w:r>
      <w:r>
        <w:t xml:space="preserve"> </w:t>
      </w:r>
      <w:r w:rsidRPr="008516D1">
        <w:t>les</w:t>
      </w:r>
      <w:r>
        <w:t xml:space="preserve"> </w:t>
      </w:r>
      <w:r w:rsidRPr="008516D1">
        <w:t>normes</w:t>
      </w:r>
      <w:r>
        <w:t xml:space="preserve"> </w:t>
      </w:r>
      <w:r w:rsidRPr="008516D1">
        <w:t>internationales</w:t>
      </w:r>
      <w:r>
        <w:t xml:space="preserve"> </w:t>
      </w:r>
      <w:r w:rsidRPr="008516D1">
        <w:t>applicables</w:t>
      </w:r>
      <w:r>
        <w:t xml:space="preserve"> </w:t>
      </w:r>
      <w:r w:rsidRPr="008516D1">
        <w:t>à</w:t>
      </w:r>
      <w:r>
        <w:t xml:space="preserve"> </w:t>
      </w:r>
      <w:r w:rsidRPr="008516D1">
        <w:t>la</w:t>
      </w:r>
      <w:r>
        <w:t xml:space="preserve"> </w:t>
      </w:r>
      <w:r w:rsidRPr="008516D1">
        <w:t>gestion</w:t>
      </w:r>
      <w:r>
        <w:t xml:space="preserve"> </w:t>
      </w:r>
      <w:r w:rsidRPr="008516D1">
        <w:t>des</w:t>
      </w:r>
      <w:r>
        <w:t xml:space="preserve"> </w:t>
      </w:r>
      <w:r w:rsidRPr="008516D1">
        <w:t>informations</w:t>
      </w:r>
      <w:r>
        <w:t xml:space="preserve"> </w:t>
      </w:r>
      <w:r w:rsidRPr="008516D1">
        <w:t>concernant</w:t>
      </w:r>
      <w:r>
        <w:t xml:space="preserve"> </w:t>
      </w:r>
      <w:r w:rsidRPr="008516D1">
        <w:t>ces</w:t>
      </w:r>
      <w:r>
        <w:t xml:space="preserve"> </w:t>
      </w:r>
      <w:r w:rsidRPr="008516D1">
        <w:t>personnes,</w:t>
      </w:r>
      <w:r>
        <w:t xml:space="preserve"> </w:t>
      </w:r>
      <w:r w:rsidRPr="008516D1">
        <w:t>et</w:t>
      </w:r>
      <w:r>
        <w:t xml:space="preserve"> </w:t>
      </w:r>
      <w:r w:rsidRPr="008516D1">
        <w:t>à</w:t>
      </w:r>
      <w:r>
        <w:t xml:space="preserve"> </w:t>
      </w:r>
      <w:r w:rsidRPr="008516D1">
        <w:t>déterminer</w:t>
      </w:r>
      <w:r>
        <w:t xml:space="preserve"> </w:t>
      </w:r>
      <w:r w:rsidRPr="008516D1">
        <w:t>les</w:t>
      </w:r>
      <w:r>
        <w:t xml:space="preserve"> </w:t>
      </w:r>
      <w:r w:rsidRPr="008516D1">
        <w:t>résultats,</w:t>
      </w:r>
      <w:r>
        <w:t xml:space="preserve"> </w:t>
      </w:r>
      <w:r w:rsidRPr="008516D1">
        <w:t>les</w:t>
      </w:r>
      <w:r>
        <w:t xml:space="preserve"> </w:t>
      </w:r>
      <w:r w:rsidRPr="008516D1">
        <w:t>obstacles</w:t>
      </w:r>
      <w:r>
        <w:t xml:space="preserve"> </w:t>
      </w:r>
      <w:r w:rsidRPr="008516D1">
        <w:t>et</w:t>
      </w:r>
      <w:r>
        <w:t xml:space="preserve"> </w:t>
      </w:r>
      <w:r w:rsidRPr="008516D1">
        <w:t>les</w:t>
      </w:r>
      <w:r>
        <w:t xml:space="preserve"> </w:t>
      </w:r>
      <w:r w:rsidRPr="008516D1">
        <w:t>enjeux</w:t>
      </w:r>
      <w:r>
        <w:t xml:space="preserve"> </w:t>
      </w:r>
      <w:r w:rsidRPr="008516D1">
        <w:t>de</w:t>
      </w:r>
      <w:r>
        <w:t xml:space="preserve"> </w:t>
      </w:r>
      <w:r w:rsidRPr="008516D1">
        <w:t>leur</w:t>
      </w:r>
      <w:r>
        <w:t xml:space="preserve"> </w:t>
      </w:r>
      <w:r w:rsidRPr="008516D1">
        <w:t>enregistrement.</w:t>
      </w:r>
      <w:r>
        <w:t xml:space="preserve"> </w:t>
      </w:r>
      <w:r w:rsidRPr="008516D1">
        <w:t>Ce</w:t>
      </w:r>
      <w:r>
        <w:t xml:space="preserve"> </w:t>
      </w:r>
      <w:r w:rsidRPr="008516D1">
        <w:t>fut</w:t>
      </w:r>
      <w:r>
        <w:t xml:space="preserve"> </w:t>
      </w:r>
      <w:r w:rsidRPr="008516D1">
        <w:t>également</w:t>
      </w:r>
      <w:r>
        <w:t xml:space="preserve"> </w:t>
      </w:r>
      <w:r w:rsidRPr="008516D1">
        <w:t>l</w:t>
      </w:r>
      <w:r>
        <w:t>’</w:t>
      </w:r>
      <w:r w:rsidRPr="008516D1">
        <w:t>occasion</w:t>
      </w:r>
      <w:r>
        <w:t xml:space="preserve"> </w:t>
      </w:r>
      <w:r w:rsidRPr="008516D1">
        <w:t>de</w:t>
      </w:r>
      <w:r>
        <w:t xml:space="preserve"> </w:t>
      </w:r>
      <w:r w:rsidRPr="008516D1">
        <w:t>présenter</w:t>
      </w:r>
      <w:r>
        <w:t xml:space="preserve"> </w:t>
      </w:r>
      <w:r w:rsidRPr="008516D1">
        <w:t>au</w:t>
      </w:r>
      <w:r>
        <w:t xml:space="preserve"> </w:t>
      </w:r>
      <w:r w:rsidRPr="008516D1">
        <w:t>niveau</w:t>
      </w:r>
      <w:r>
        <w:t xml:space="preserve"> </w:t>
      </w:r>
      <w:r w:rsidRPr="008516D1">
        <w:t>régional</w:t>
      </w:r>
      <w:r>
        <w:t xml:space="preserve"> </w:t>
      </w:r>
      <w:r w:rsidRPr="008516D1">
        <w:t>les</w:t>
      </w:r>
      <w:r>
        <w:t xml:space="preserve"> </w:t>
      </w:r>
      <w:r w:rsidRPr="008516D1">
        <w:t>progrès</w:t>
      </w:r>
      <w:r>
        <w:t xml:space="preserve"> </w:t>
      </w:r>
      <w:r w:rsidRPr="008516D1">
        <w:t>que</w:t>
      </w:r>
      <w:r>
        <w:t xml:space="preserve"> </w:t>
      </w:r>
      <w:r w:rsidRPr="008516D1">
        <w:t>le</w:t>
      </w:r>
      <w:r>
        <w:t xml:space="preserve"> </w:t>
      </w:r>
      <w:r w:rsidRPr="008516D1">
        <w:t>Honduras</w:t>
      </w:r>
      <w:r>
        <w:t xml:space="preserve"> </w:t>
      </w:r>
      <w:r w:rsidRPr="008516D1">
        <w:t>a</w:t>
      </w:r>
      <w:r>
        <w:t xml:space="preserve"> </w:t>
      </w:r>
      <w:r w:rsidRPr="008516D1">
        <w:t>fait</w:t>
      </w:r>
      <w:r>
        <w:t xml:space="preserve"> </w:t>
      </w:r>
      <w:r w:rsidRPr="008516D1">
        <w:t>sur</w:t>
      </w:r>
      <w:r>
        <w:t xml:space="preserve"> </w:t>
      </w:r>
      <w:r w:rsidRPr="008516D1">
        <w:t>la</w:t>
      </w:r>
      <w:r>
        <w:t xml:space="preserve"> </w:t>
      </w:r>
      <w:r w:rsidRPr="008516D1">
        <w:t>question</w:t>
      </w:r>
      <w:r>
        <w:t xml:space="preserve"> </w:t>
      </w:r>
      <w:r w:rsidRPr="008516D1">
        <w:t>des</w:t>
      </w:r>
      <w:r>
        <w:t xml:space="preserve"> </w:t>
      </w:r>
      <w:r w:rsidRPr="008516D1">
        <w:t>personnes</w:t>
      </w:r>
      <w:r>
        <w:t xml:space="preserve"> </w:t>
      </w:r>
      <w:r w:rsidRPr="008516D1">
        <w:t>disparues</w:t>
      </w:r>
      <w:r>
        <w:t xml:space="preserve"> </w:t>
      </w:r>
      <w:r w:rsidRPr="008516D1">
        <w:t>et</w:t>
      </w:r>
      <w:r>
        <w:t xml:space="preserve"> </w:t>
      </w:r>
      <w:r w:rsidRPr="008516D1">
        <w:t>de</w:t>
      </w:r>
      <w:r>
        <w:t xml:space="preserve"> </w:t>
      </w:r>
      <w:r w:rsidRPr="008516D1">
        <w:t>recenser</w:t>
      </w:r>
      <w:r>
        <w:t xml:space="preserve"> </w:t>
      </w:r>
      <w:r w:rsidRPr="008516D1">
        <w:t>les</w:t>
      </w:r>
      <w:r>
        <w:t xml:space="preserve"> </w:t>
      </w:r>
      <w:r w:rsidRPr="008516D1">
        <w:t>atouts</w:t>
      </w:r>
      <w:r>
        <w:t xml:space="preserve"> </w:t>
      </w:r>
      <w:r w:rsidRPr="008516D1">
        <w:t>et</w:t>
      </w:r>
      <w:r>
        <w:t xml:space="preserve"> </w:t>
      </w:r>
      <w:r w:rsidRPr="008516D1">
        <w:t>les</w:t>
      </w:r>
      <w:r>
        <w:t xml:space="preserve"> </w:t>
      </w:r>
      <w:r w:rsidRPr="008516D1">
        <w:t>difficultés</w:t>
      </w:r>
      <w:r>
        <w:t xml:space="preserve"> </w:t>
      </w:r>
      <w:r w:rsidRPr="008516D1">
        <w:t>existant</w:t>
      </w:r>
      <w:r>
        <w:t xml:space="preserve"> </w:t>
      </w:r>
      <w:r w:rsidRPr="008516D1">
        <w:t>au</w:t>
      </w:r>
      <w:r w:rsidR="00216393">
        <w:t>x</w:t>
      </w:r>
      <w:r>
        <w:t xml:space="preserve"> </w:t>
      </w:r>
      <w:r w:rsidRPr="008516D1">
        <w:t>niveau</w:t>
      </w:r>
      <w:r w:rsidR="00216393">
        <w:t>x</w:t>
      </w:r>
      <w:r>
        <w:t xml:space="preserve"> </w:t>
      </w:r>
      <w:r w:rsidRPr="008516D1">
        <w:t>national,</w:t>
      </w:r>
      <w:r>
        <w:t xml:space="preserve"> </w:t>
      </w:r>
      <w:r w:rsidRPr="008516D1">
        <w:t>régional</w:t>
      </w:r>
      <w:r>
        <w:t xml:space="preserve"> </w:t>
      </w:r>
      <w:r w:rsidRPr="008516D1">
        <w:t>et</w:t>
      </w:r>
      <w:r>
        <w:t xml:space="preserve"> </w:t>
      </w:r>
      <w:r w:rsidRPr="008516D1">
        <w:t>international</w:t>
      </w:r>
      <w:r>
        <w:t xml:space="preserve"> </w:t>
      </w:r>
      <w:r w:rsidRPr="008516D1">
        <w:t>pour</w:t>
      </w:r>
      <w:r>
        <w:t xml:space="preserve"> </w:t>
      </w:r>
      <w:r w:rsidRPr="008516D1">
        <w:t>améliorer</w:t>
      </w:r>
      <w:r>
        <w:t xml:space="preserve"> </w:t>
      </w:r>
      <w:r w:rsidRPr="008516D1">
        <w:t>la</w:t>
      </w:r>
      <w:r>
        <w:t xml:space="preserve"> </w:t>
      </w:r>
      <w:r w:rsidRPr="008516D1">
        <w:t>recherche</w:t>
      </w:r>
      <w:r>
        <w:t xml:space="preserve"> </w:t>
      </w:r>
      <w:r w:rsidRPr="008516D1">
        <w:t>des</w:t>
      </w:r>
      <w:r>
        <w:t xml:space="preserve"> </w:t>
      </w:r>
      <w:r w:rsidRPr="008516D1">
        <w:t>personnes</w:t>
      </w:r>
      <w:r>
        <w:t xml:space="preserve"> </w:t>
      </w:r>
      <w:r w:rsidRPr="008516D1">
        <w:t>disparues.</w:t>
      </w:r>
    </w:p>
    <w:p w14:paraId="5C05375E" w14:textId="0C35B167" w:rsidR="00286956" w:rsidRPr="008516D1" w:rsidRDefault="00286956" w:rsidP="0013732F">
      <w:pPr>
        <w:pStyle w:val="H1G"/>
      </w:pPr>
      <w:bookmarkStart w:id="20" w:name="_Toc76740428"/>
      <w:r w:rsidRPr="008516D1">
        <w:tab/>
        <w:t>H.</w:t>
      </w:r>
      <w:r w:rsidRPr="008516D1">
        <w:tab/>
      </w:r>
      <w:bookmarkEnd w:id="19"/>
      <w:bookmarkEnd w:id="20"/>
      <w:r w:rsidRPr="008516D1">
        <w:tab/>
        <w:t>Signalement</w:t>
      </w:r>
      <w:r>
        <w:t xml:space="preserve"> </w:t>
      </w:r>
      <w:r w:rsidRPr="008516D1">
        <w:t>des</w:t>
      </w:r>
      <w:r>
        <w:t xml:space="preserve"> </w:t>
      </w:r>
      <w:r w:rsidRPr="008516D1">
        <w:t>disparitions</w:t>
      </w:r>
      <w:r>
        <w:t xml:space="preserve"> </w:t>
      </w:r>
      <w:r w:rsidRPr="008516D1">
        <w:t>forcées</w:t>
      </w:r>
      <w:r>
        <w:t xml:space="preserve"> </w:t>
      </w:r>
      <w:r w:rsidRPr="008516D1">
        <w:t>et</w:t>
      </w:r>
      <w:r>
        <w:t xml:space="preserve"> </w:t>
      </w:r>
      <w:r w:rsidRPr="008516D1">
        <w:t>enquête</w:t>
      </w:r>
      <w:r>
        <w:t xml:space="preserve"> </w:t>
      </w:r>
      <w:r w:rsidRPr="008516D1">
        <w:t>(</w:t>
      </w:r>
      <w:r w:rsidR="003A61DD">
        <w:t>art. </w:t>
      </w:r>
      <w:r w:rsidRPr="008516D1">
        <w:t>10,</w:t>
      </w:r>
      <w:r>
        <w:t xml:space="preserve"> </w:t>
      </w:r>
      <w:r w:rsidRPr="008516D1">
        <w:t>11</w:t>
      </w:r>
      <w:r>
        <w:t xml:space="preserve"> </w:t>
      </w:r>
      <w:r w:rsidRPr="008516D1">
        <w:t>et</w:t>
      </w:r>
      <w:r>
        <w:t xml:space="preserve"> </w:t>
      </w:r>
      <w:r w:rsidRPr="008516D1">
        <w:t>12)</w:t>
      </w:r>
    </w:p>
    <w:p w14:paraId="4F2A06DC" w14:textId="598D86D0" w:rsidR="00286956" w:rsidRPr="008516D1" w:rsidRDefault="00286956" w:rsidP="0013732F">
      <w:pPr>
        <w:pStyle w:val="SingleTxtG"/>
      </w:pPr>
      <w:r w:rsidRPr="008516D1">
        <w:t>33.</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25</w:t>
      </w:r>
      <w:r w:rsidR="00A74554">
        <w:t> a)</w:t>
      </w:r>
      <w:r>
        <w:t xml:space="preserve"> </w:t>
      </w:r>
      <w:r w:rsidRPr="008516D1">
        <w:t>des</w:t>
      </w:r>
      <w:r>
        <w:t xml:space="preserve"> </w:t>
      </w:r>
      <w:r w:rsidRPr="008516D1">
        <w:t>observations</w:t>
      </w:r>
      <w:r>
        <w:t xml:space="preserve"> </w:t>
      </w:r>
      <w:r w:rsidRPr="008516D1">
        <w:t>finales,</w:t>
      </w:r>
      <w:r>
        <w:t xml:space="preserve"> </w:t>
      </w:r>
      <w:r w:rsidRPr="008516D1">
        <w:t>de</w:t>
      </w:r>
      <w:r>
        <w:t xml:space="preserve"> </w:t>
      </w:r>
      <w:r w:rsidRPr="008516D1">
        <w:t>garantir</w:t>
      </w:r>
      <w:r>
        <w:t xml:space="preserve"> </w:t>
      </w:r>
      <w:r w:rsidRPr="008516D1">
        <w:t>dans</w:t>
      </w:r>
      <w:r>
        <w:t xml:space="preserve"> </w:t>
      </w:r>
      <w:r w:rsidRPr="008516D1">
        <w:t>la</w:t>
      </w:r>
      <w:r>
        <w:t xml:space="preserve"> </w:t>
      </w:r>
      <w:r w:rsidRPr="008516D1">
        <w:t>pratique</w:t>
      </w:r>
      <w:r>
        <w:t xml:space="preserve"> </w:t>
      </w:r>
      <w:r w:rsidRPr="008516D1">
        <w:t>que,</w:t>
      </w:r>
      <w:r>
        <w:t xml:space="preserve"> </w:t>
      </w:r>
      <w:r w:rsidRPr="008516D1">
        <w:t>dès</w:t>
      </w:r>
      <w:r>
        <w:t xml:space="preserve"> </w:t>
      </w:r>
      <w:r w:rsidRPr="008516D1">
        <w:t>lors</w:t>
      </w:r>
      <w:r>
        <w:t xml:space="preserve"> </w:t>
      </w:r>
      <w:r w:rsidRPr="008516D1">
        <w:t>qu</w:t>
      </w:r>
      <w:r>
        <w:t>’</w:t>
      </w:r>
      <w:r w:rsidRPr="008516D1">
        <w:t>il</w:t>
      </w:r>
      <w:r>
        <w:t xml:space="preserve"> </w:t>
      </w:r>
      <w:r w:rsidRPr="008516D1">
        <w:t>existe</w:t>
      </w:r>
      <w:r>
        <w:t xml:space="preserve"> </w:t>
      </w:r>
      <w:r w:rsidRPr="008516D1">
        <w:t>des</w:t>
      </w:r>
      <w:r>
        <w:t xml:space="preserve"> </w:t>
      </w:r>
      <w:r w:rsidRPr="008516D1">
        <w:t>motifs</w:t>
      </w:r>
      <w:r>
        <w:t xml:space="preserve"> </w:t>
      </w:r>
      <w:r w:rsidRPr="008516D1">
        <w:t>raisonnables</w:t>
      </w:r>
      <w:r>
        <w:t xml:space="preserve"> </w:t>
      </w:r>
      <w:r w:rsidRPr="008516D1">
        <w:t>de</w:t>
      </w:r>
      <w:r>
        <w:t xml:space="preserve"> </w:t>
      </w:r>
      <w:r w:rsidRPr="008516D1">
        <w:t>croire</w:t>
      </w:r>
      <w:r>
        <w:t xml:space="preserve"> </w:t>
      </w:r>
      <w:r w:rsidRPr="008516D1">
        <w:t>qu</w:t>
      </w:r>
      <w:r>
        <w:t>’</w:t>
      </w:r>
      <w:r w:rsidRPr="008516D1">
        <w:t>une</w:t>
      </w:r>
      <w:r>
        <w:t xml:space="preserve"> </w:t>
      </w:r>
      <w:r w:rsidRPr="008516D1">
        <w:t>personne</w:t>
      </w:r>
      <w:r>
        <w:t xml:space="preserve"> </w:t>
      </w:r>
      <w:r w:rsidRPr="008516D1">
        <w:t>a</w:t>
      </w:r>
      <w:r>
        <w:t xml:space="preserve"> </w:t>
      </w:r>
      <w:r w:rsidRPr="008516D1">
        <w:t>été</w:t>
      </w:r>
      <w:r>
        <w:t xml:space="preserve"> </w:t>
      </w:r>
      <w:r w:rsidRPr="008516D1">
        <w:t>victime</w:t>
      </w:r>
      <w:r>
        <w:t xml:space="preserve"> </w:t>
      </w:r>
      <w:r w:rsidRPr="008516D1">
        <w:t>de</w:t>
      </w:r>
      <w:r>
        <w:t xml:space="preserve"> </w:t>
      </w:r>
      <w:r w:rsidRPr="008516D1">
        <w:t>disparition</w:t>
      </w:r>
      <w:r>
        <w:t xml:space="preserve"> </w:t>
      </w:r>
      <w:r w:rsidRPr="008516D1">
        <w:t>forcée,</w:t>
      </w:r>
      <w:r>
        <w:t xml:space="preserve"> </w:t>
      </w:r>
      <w:r w:rsidRPr="008516D1">
        <w:t>une</w:t>
      </w:r>
      <w:r>
        <w:t xml:space="preserve"> </w:t>
      </w:r>
      <w:r w:rsidRPr="008516D1">
        <w:t>enquête</w:t>
      </w:r>
      <w:r>
        <w:t xml:space="preserve"> </w:t>
      </w:r>
      <w:r w:rsidRPr="008516D1">
        <w:t>approfondie</w:t>
      </w:r>
      <w:r>
        <w:t xml:space="preserve"> </w:t>
      </w:r>
      <w:r w:rsidRPr="008516D1">
        <w:t>et</w:t>
      </w:r>
      <w:r>
        <w:t xml:space="preserve"> </w:t>
      </w:r>
      <w:r w:rsidRPr="008516D1">
        <w:t>impartiale</w:t>
      </w:r>
      <w:r>
        <w:t xml:space="preserve"> </w:t>
      </w:r>
      <w:r w:rsidRPr="008516D1">
        <w:t>soit</w:t>
      </w:r>
      <w:r>
        <w:t xml:space="preserve"> </w:t>
      </w:r>
      <w:r w:rsidRPr="008516D1">
        <w:t>menée</w:t>
      </w:r>
      <w:r>
        <w:t xml:space="preserve"> </w:t>
      </w:r>
      <w:r w:rsidRPr="008516D1">
        <w:t>sans</w:t>
      </w:r>
      <w:r>
        <w:t xml:space="preserve"> </w:t>
      </w:r>
      <w:r w:rsidRPr="008516D1">
        <w:t>délai,</w:t>
      </w:r>
      <w:r>
        <w:t xml:space="preserve"> </w:t>
      </w:r>
      <w:r w:rsidRPr="008516D1">
        <w:t>même</w:t>
      </w:r>
      <w:r>
        <w:t xml:space="preserve"> </w:t>
      </w:r>
      <w:r w:rsidRPr="008516D1">
        <w:t>en</w:t>
      </w:r>
      <w:r>
        <w:t xml:space="preserve"> </w:t>
      </w:r>
      <w:r w:rsidRPr="008516D1">
        <w:t>l</w:t>
      </w:r>
      <w:r>
        <w:t>’</w:t>
      </w:r>
      <w:r w:rsidRPr="008516D1">
        <w:t>absence</w:t>
      </w:r>
      <w:r>
        <w:t xml:space="preserve"> </w:t>
      </w:r>
      <w:r w:rsidRPr="008516D1">
        <w:t>de</w:t>
      </w:r>
      <w:r>
        <w:t xml:space="preserve"> </w:t>
      </w:r>
      <w:r w:rsidRPr="008516D1">
        <w:t>plainte</w:t>
      </w:r>
      <w:r>
        <w:t xml:space="preserve"> </w:t>
      </w:r>
      <w:r w:rsidRPr="008516D1">
        <w:t>formelle,</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la</w:t>
      </w:r>
      <w:r>
        <w:t xml:space="preserve"> </w:t>
      </w:r>
      <w:r w:rsidR="00AB2CD9">
        <w:t>Police nationale</w:t>
      </w:r>
      <w:r w:rsidRPr="008516D1">
        <w:t>,</w:t>
      </w:r>
      <w:r>
        <w:t xml:space="preserve"> </w:t>
      </w:r>
      <w:r w:rsidRPr="008516D1">
        <w:t>par</w:t>
      </w:r>
      <w:r>
        <w:t xml:space="preserve"> </w:t>
      </w:r>
      <w:r w:rsidRPr="008516D1">
        <w:t>l</w:t>
      </w:r>
      <w:r>
        <w:t>’</w:t>
      </w:r>
      <w:r w:rsidRPr="008516D1">
        <w:t>intermédiaire</w:t>
      </w:r>
      <w:r>
        <w:t xml:space="preserve"> </w:t>
      </w:r>
      <w:r w:rsidRPr="008516D1">
        <w:t>de</w:t>
      </w:r>
      <w:r>
        <w:t xml:space="preserve"> </w:t>
      </w:r>
      <w:r w:rsidRPr="008516D1">
        <w:t>l</w:t>
      </w:r>
      <w:r>
        <w:t>’</w:t>
      </w:r>
      <w:r w:rsidRPr="008516D1">
        <w:t>Unité</w:t>
      </w:r>
      <w:r>
        <w:t xml:space="preserve"> </w:t>
      </w:r>
      <w:r w:rsidRPr="008516D1">
        <w:t>des</w:t>
      </w:r>
      <w:r>
        <w:t xml:space="preserve"> </w:t>
      </w:r>
      <w:r w:rsidRPr="008516D1">
        <w:t>disparitions</w:t>
      </w:r>
      <w:r>
        <w:t xml:space="preserve"> </w:t>
      </w:r>
      <w:r w:rsidRPr="008516D1">
        <w:t>de</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rsidRPr="008516D1">
        <w:rPr>
          <w:rStyle w:val="Appelnotedebasdep"/>
        </w:rPr>
        <w:footnoteReference w:id="56"/>
      </w:r>
      <w:r w:rsidRPr="008516D1">
        <w:t>,</w:t>
      </w:r>
      <w:r>
        <w:t xml:space="preserve"> </w:t>
      </w:r>
      <w:r w:rsidRPr="008516D1">
        <w:t>sous</w:t>
      </w:r>
      <w:r>
        <w:t xml:space="preserve"> </w:t>
      </w:r>
      <w:r w:rsidRPr="008516D1">
        <w:t>la</w:t>
      </w:r>
      <w:r>
        <w:t xml:space="preserve"> </w:t>
      </w:r>
      <w:r w:rsidRPr="008516D1">
        <w:t>direction</w:t>
      </w:r>
      <w:r>
        <w:t xml:space="preserve"> </w:t>
      </w:r>
      <w:r w:rsidRPr="008516D1">
        <w:t>technique</w:t>
      </w:r>
      <w:r>
        <w:t xml:space="preserve"> </w:t>
      </w:r>
      <w:r w:rsidRPr="008516D1">
        <w:t>et</w:t>
      </w:r>
      <w:r>
        <w:t xml:space="preserve"> </w:t>
      </w:r>
      <w:r w:rsidRPr="008516D1">
        <w:t>juridique</w:t>
      </w:r>
      <w:r>
        <w:t xml:space="preserve"> </w:t>
      </w:r>
      <w:r w:rsidRPr="008516D1">
        <w:t>de</w:t>
      </w:r>
      <w:r>
        <w:t xml:space="preserve"> </w:t>
      </w:r>
      <w:r w:rsidRPr="008516D1">
        <w:t>la</w:t>
      </w:r>
      <w:r>
        <w:t xml:space="preserve"> </w:t>
      </w:r>
      <w:r w:rsidRPr="008516D1">
        <w:t>Section</w:t>
      </w:r>
      <w:r>
        <w:t xml:space="preserve"> </w:t>
      </w:r>
      <w:r w:rsidRPr="008516D1">
        <w:t>des</w:t>
      </w:r>
      <w:r>
        <w:t xml:space="preserve"> </w:t>
      </w:r>
      <w:r w:rsidRPr="008516D1">
        <w:t>disparitions</w:t>
      </w:r>
      <w:r>
        <w:t xml:space="preserve"> </w:t>
      </w:r>
      <w:r w:rsidRPr="008516D1">
        <w:t>forcées</w:t>
      </w:r>
      <w:r>
        <w:t xml:space="preserve"> </w:t>
      </w:r>
      <w:r w:rsidRPr="008516D1">
        <w:t>et</w:t>
      </w:r>
      <w:r>
        <w:t xml:space="preserve"> </w:t>
      </w:r>
      <w:r w:rsidRPr="008516D1">
        <w:t>des</w:t>
      </w:r>
      <w:r>
        <w:t xml:space="preserve"> </w:t>
      </w:r>
      <w:r w:rsidRPr="008516D1">
        <w:t>atteintes</w:t>
      </w:r>
      <w:r>
        <w:t xml:space="preserve"> </w:t>
      </w:r>
      <w:r w:rsidRPr="008516D1">
        <w:t>à</w:t>
      </w:r>
      <w:r>
        <w:t xml:space="preserve"> </w:t>
      </w:r>
      <w:r w:rsidRPr="008516D1">
        <w:t>la</w:t>
      </w:r>
      <w:r>
        <w:t xml:space="preserve"> </w:t>
      </w:r>
      <w:r w:rsidRPr="008516D1">
        <w:t>vie</w:t>
      </w:r>
      <w:r>
        <w:t xml:space="preserve"> </w:t>
      </w:r>
      <w:r w:rsidRPr="008516D1">
        <w:t>du</w:t>
      </w:r>
      <w:r>
        <w:t xml:space="preserve"> </w:t>
      </w:r>
      <w:r w:rsidRPr="008516D1">
        <w:t>ministère</w:t>
      </w:r>
      <w:r>
        <w:t xml:space="preserve"> </w:t>
      </w:r>
      <w:r w:rsidRPr="008516D1">
        <w:t>public,</w:t>
      </w:r>
      <w:r>
        <w:t xml:space="preserve"> </w:t>
      </w:r>
      <w:r w:rsidRPr="008516D1">
        <w:t>est</w:t>
      </w:r>
      <w:r>
        <w:t xml:space="preserve"> </w:t>
      </w:r>
      <w:r w:rsidRPr="008516D1">
        <w:t>chargée</w:t>
      </w:r>
      <w:r>
        <w:t xml:space="preserve"> </w:t>
      </w:r>
      <w:r w:rsidRPr="008516D1">
        <w:t>d</w:t>
      </w:r>
      <w:r>
        <w:t>’</w:t>
      </w:r>
      <w:r w:rsidRPr="008516D1">
        <w:t>enquêter</w:t>
      </w:r>
      <w:r>
        <w:t xml:space="preserve"> </w:t>
      </w:r>
      <w:r w:rsidRPr="008516D1">
        <w:t>sur</w:t>
      </w:r>
      <w:r>
        <w:t xml:space="preserve"> </w:t>
      </w:r>
      <w:r w:rsidRPr="008516D1">
        <w:t>ce</w:t>
      </w:r>
      <w:r>
        <w:t xml:space="preserve"> </w:t>
      </w:r>
      <w:r w:rsidRPr="008516D1">
        <w:t>type</w:t>
      </w:r>
      <w:r>
        <w:t xml:space="preserve"> </w:t>
      </w:r>
      <w:r w:rsidRPr="008516D1">
        <w:t>d</w:t>
      </w:r>
      <w:r>
        <w:t>’</w:t>
      </w:r>
      <w:r w:rsidRPr="008516D1">
        <w:t>actes</w:t>
      </w:r>
      <w:r>
        <w:t xml:space="preserve"> </w:t>
      </w:r>
      <w:r w:rsidRPr="008516D1">
        <w:t>et</w:t>
      </w:r>
      <w:r>
        <w:t xml:space="preserve"> </w:t>
      </w:r>
      <w:r w:rsidRPr="008516D1">
        <w:t>de</w:t>
      </w:r>
      <w:r>
        <w:t xml:space="preserve"> </w:t>
      </w:r>
      <w:r w:rsidRPr="008516D1">
        <w:t>mettre</w:t>
      </w:r>
      <w:r>
        <w:t xml:space="preserve"> </w:t>
      </w:r>
      <w:r w:rsidRPr="008516D1">
        <w:t>en</w:t>
      </w:r>
      <w:r>
        <w:t xml:space="preserve"> </w:t>
      </w:r>
      <w:r w:rsidRPr="008516D1">
        <w:t>œuvre,</w:t>
      </w:r>
      <w:r>
        <w:t xml:space="preserve"> </w:t>
      </w:r>
      <w:r w:rsidRPr="008516D1">
        <w:t>en</w:t>
      </w:r>
      <w:r>
        <w:t xml:space="preserve"> </w:t>
      </w:r>
      <w:r w:rsidRPr="008516D1">
        <w:t>coordination</w:t>
      </w:r>
      <w:r>
        <w:t xml:space="preserve"> </w:t>
      </w:r>
      <w:r w:rsidRPr="008516D1">
        <w:t>avec</w:t>
      </w:r>
      <w:r>
        <w:t xml:space="preserve"> </w:t>
      </w:r>
      <w:r w:rsidRPr="008516D1">
        <w:t>les</w:t>
      </w:r>
      <w:r>
        <w:t xml:space="preserve"> </w:t>
      </w:r>
      <w:r w:rsidRPr="008516D1">
        <w:t>agents</w:t>
      </w:r>
      <w:r>
        <w:t xml:space="preserve"> </w:t>
      </w:r>
      <w:r w:rsidRPr="008516D1">
        <w:t>des</w:t>
      </w:r>
      <w:r>
        <w:t xml:space="preserve"> </w:t>
      </w:r>
      <w:r w:rsidRPr="008516D1">
        <w:t>services</w:t>
      </w:r>
      <w:r>
        <w:t xml:space="preserve"> </w:t>
      </w:r>
      <w:r w:rsidRPr="008516D1">
        <w:t>judiciaires</w:t>
      </w:r>
      <w:r>
        <w:t xml:space="preserve"> </w:t>
      </w:r>
      <w:r w:rsidRPr="008516D1">
        <w:t>et</w:t>
      </w:r>
      <w:r>
        <w:t xml:space="preserve"> </w:t>
      </w:r>
      <w:r w:rsidRPr="008516D1">
        <w:t>autres</w:t>
      </w:r>
      <w:r>
        <w:t xml:space="preserve"> </w:t>
      </w:r>
      <w:r w:rsidRPr="008516D1">
        <w:t>entités</w:t>
      </w:r>
      <w:r>
        <w:t xml:space="preserve"> </w:t>
      </w:r>
      <w:r w:rsidRPr="008516D1">
        <w:t>concernées,</w:t>
      </w:r>
      <w:r>
        <w:t xml:space="preserve"> </w:t>
      </w:r>
      <w:r w:rsidRPr="008516D1">
        <w:t>des</w:t>
      </w:r>
      <w:r>
        <w:t xml:space="preserve"> </w:t>
      </w:r>
      <w:r w:rsidRPr="008516D1">
        <w:t>actes</w:t>
      </w:r>
      <w:r>
        <w:t xml:space="preserve"> </w:t>
      </w:r>
      <w:r w:rsidRPr="008516D1">
        <w:t>et</w:t>
      </w:r>
      <w:r>
        <w:t xml:space="preserve"> </w:t>
      </w:r>
      <w:r w:rsidRPr="008516D1">
        <w:lastRenderedPageBreak/>
        <w:t>des</w:t>
      </w:r>
      <w:r>
        <w:t xml:space="preserve"> </w:t>
      </w:r>
      <w:r w:rsidRPr="008516D1">
        <w:t>procédures</w:t>
      </w:r>
      <w:r>
        <w:t xml:space="preserve"> </w:t>
      </w:r>
      <w:r w:rsidRPr="008516D1">
        <w:t>d</w:t>
      </w:r>
      <w:r>
        <w:t>’</w:t>
      </w:r>
      <w:r w:rsidRPr="008516D1">
        <w:t>enquête</w:t>
      </w:r>
      <w:r>
        <w:t xml:space="preserve"> </w:t>
      </w:r>
      <w:r w:rsidRPr="008516D1">
        <w:t>permettant</w:t>
      </w:r>
      <w:r>
        <w:t xml:space="preserve"> </w:t>
      </w:r>
      <w:r w:rsidRPr="008516D1">
        <w:t>d</w:t>
      </w:r>
      <w:r>
        <w:t>’</w:t>
      </w:r>
      <w:r w:rsidRPr="008516D1">
        <w:t>apporter</w:t>
      </w:r>
      <w:r>
        <w:t xml:space="preserve"> </w:t>
      </w:r>
      <w:r w:rsidRPr="008516D1">
        <w:t>les</w:t>
      </w:r>
      <w:r>
        <w:t xml:space="preserve"> </w:t>
      </w:r>
      <w:r w:rsidRPr="008516D1">
        <w:t>éléments</w:t>
      </w:r>
      <w:r>
        <w:t xml:space="preserve"> </w:t>
      </w:r>
      <w:r w:rsidRPr="008516D1">
        <w:t>de</w:t>
      </w:r>
      <w:r>
        <w:t xml:space="preserve"> </w:t>
      </w:r>
      <w:r w:rsidRPr="008516D1">
        <w:t>preuve</w:t>
      </w:r>
      <w:r>
        <w:t xml:space="preserve"> </w:t>
      </w:r>
      <w:r w:rsidRPr="008516D1">
        <w:t>nécessaires</w:t>
      </w:r>
      <w:r>
        <w:t xml:space="preserve"> </w:t>
      </w:r>
      <w:r w:rsidRPr="008516D1">
        <w:t>à</w:t>
      </w:r>
      <w:r>
        <w:t xml:space="preserve"> </w:t>
      </w:r>
      <w:r w:rsidRPr="008516D1">
        <w:t>l</w:t>
      </w:r>
      <w:r>
        <w:t>’</w:t>
      </w:r>
      <w:r w:rsidRPr="008516D1">
        <w:t>exercice</w:t>
      </w:r>
      <w:r>
        <w:t xml:space="preserve"> </w:t>
      </w:r>
      <w:r w:rsidRPr="008516D1">
        <w:t>de</w:t>
      </w:r>
      <w:r>
        <w:t xml:space="preserve"> </w:t>
      </w:r>
      <w:r w:rsidRPr="008516D1">
        <w:t>l</w:t>
      </w:r>
      <w:r>
        <w:t>’</w:t>
      </w:r>
      <w:r w:rsidRPr="008516D1">
        <w:t>action</w:t>
      </w:r>
      <w:r>
        <w:t xml:space="preserve"> </w:t>
      </w:r>
      <w:r w:rsidRPr="008516D1">
        <w:t>pénale.</w:t>
      </w:r>
    </w:p>
    <w:p w14:paraId="1A560D7A" w14:textId="77777777" w:rsidR="00286956" w:rsidRPr="008516D1" w:rsidRDefault="00286956" w:rsidP="0013732F">
      <w:pPr>
        <w:pStyle w:val="SingleTxtG"/>
      </w:pPr>
      <w:r w:rsidRPr="008516D1">
        <w:t>34.</w:t>
      </w:r>
      <w:r w:rsidRPr="008516D1">
        <w:tab/>
        <w:t>Les</w:t>
      </w:r>
      <w:r>
        <w:t xml:space="preserve"> </w:t>
      </w:r>
      <w:r w:rsidRPr="008516D1">
        <w:t>enquêtes</w:t>
      </w:r>
      <w:r>
        <w:t xml:space="preserve"> </w:t>
      </w:r>
      <w:r w:rsidRPr="008516D1">
        <w:t>sur</w:t>
      </w:r>
      <w:r>
        <w:t xml:space="preserve"> </w:t>
      </w:r>
      <w:r w:rsidRPr="008516D1">
        <w:t>les</w:t>
      </w:r>
      <w:r>
        <w:t xml:space="preserve"> </w:t>
      </w:r>
      <w:r w:rsidRPr="008516D1">
        <w:t>affaires</w:t>
      </w:r>
      <w:r>
        <w:t xml:space="preserve"> </w:t>
      </w:r>
      <w:r w:rsidRPr="008516D1">
        <w:t>de</w:t>
      </w:r>
      <w:r>
        <w:t xml:space="preserve"> </w:t>
      </w:r>
      <w:r w:rsidRPr="008516D1">
        <w:t>disparition</w:t>
      </w:r>
      <w:r>
        <w:t xml:space="preserve"> </w:t>
      </w:r>
      <w:r w:rsidRPr="008516D1">
        <w:t>de</w:t>
      </w:r>
      <w:r>
        <w:t xml:space="preserve"> </w:t>
      </w:r>
      <w:r w:rsidRPr="008516D1">
        <w:t>personnes</w:t>
      </w:r>
      <w:r>
        <w:t xml:space="preserve"> </w:t>
      </w:r>
      <w:r w:rsidRPr="008516D1">
        <w:t>sont</w:t>
      </w:r>
      <w:r>
        <w:t xml:space="preserve"> </w:t>
      </w:r>
      <w:r w:rsidRPr="008516D1">
        <w:t>menées</w:t>
      </w:r>
      <w:r>
        <w:t xml:space="preserve"> </w:t>
      </w:r>
      <w:r w:rsidRPr="008516D1">
        <w:t>conformément</w:t>
      </w:r>
      <w:r>
        <w:t xml:space="preserve"> </w:t>
      </w:r>
      <w:r w:rsidRPr="008516D1">
        <w:t>au</w:t>
      </w:r>
      <w:r>
        <w:t xml:space="preserve"> </w:t>
      </w:r>
      <w:r w:rsidRPr="008516D1">
        <w:t>Protocole</w:t>
      </w:r>
      <w:r>
        <w:t xml:space="preserve"> </w:t>
      </w:r>
      <w:r w:rsidRPr="008516D1">
        <w:t>d</w:t>
      </w:r>
      <w:r>
        <w:t>’</w:t>
      </w:r>
      <w:r w:rsidRPr="008516D1">
        <w:t>action</w:t>
      </w:r>
      <w:r>
        <w:t xml:space="preserve"> </w:t>
      </w:r>
      <w:r w:rsidRPr="008516D1">
        <w:t>applicable</w:t>
      </w:r>
      <w:r>
        <w:t xml:space="preserve"> </w:t>
      </w:r>
      <w:r w:rsidRPr="008516D1">
        <w:t>aux</w:t>
      </w:r>
      <w:r>
        <w:t xml:space="preserve"> </w:t>
      </w:r>
      <w:r w:rsidRPr="008516D1">
        <w:t>cas</w:t>
      </w:r>
      <w:r>
        <w:t xml:space="preserve"> </w:t>
      </w:r>
      <w:r w:rsidRPr="008516D1">
        <w:t>de</w:t>
      </w:r>
      <w:r>
        <w:t xml:space="preserve"> </w:t>
      </w:r>
      <w:r w:rsidRPr="008516D1">
        <w:t>personnes</w:t>
      </w:r>
      <w:r>
        <w:t xml:space="preserve"> </w:t>
      </w:r>
      <w:r w:rsidRPr="008516D1">
        <w:t>disparues</w:t>
      </w:r>
      <w:r>
        <w:t xml:space="preserve"> </w:t>
      </w:r>
      <w:r w:rsidRPr="008516D1">
        <w:t>ou</w:t>
      </w:r>
      <w:r>
        <w:t xml:space="preserve"> </w:t>
      </w:r>
      <w:r w:rsidRPr="008516D1">
        <w:t>égarées,</w:t>
      </w:r>
      <w:r>
        <w:t xml:space="preserve"> </w:t>
      </w:r>
      <w:r w:rsidRPr="008516D1">
        <w:t>sous</w:t>
      </w:r>
      <w:r>
        <w:t xml:space="preserve"> </w:t>
      </w:r>
      <w:r w:rsidRPr="008516D1">
        <w:t>la</w:t>
      </w:r>
      <w:r>
        <w:t xml:space="preserve"> </w:t>
      </w:r>
      <w:r w:rsidRPr="008516D1">
        <w:t>direction</w:t>
      </w:r>
      <w:r>
        <w:t xml:space="preserve"> </w:t>
      </w:r>
      <w:r w:rsidRPr="008516D1">
        <w:t>technique</w:t>
      </w:r>
      <w:r>
        <w:t xml:space="preserve"> </w:t>
      </w:r>
      <w:r w:rsidRPr="008516D1">
        <w:t>et</w:t>
      </w:r>
      <w:r>
        <w:t xml:space="preserve"> </w:t>
      </w:r>
      <w:r w:rsidRPr="008516D1">
        <w:t>juridique</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chargé</w:t>
      </w:r>
      <w:r>
        <w:t xml:space="preserve"> </w:t>
      </w:r>
      <w:r w:rsidRPr="008516D1">
        <w:t>des</w:t>
      </w:r>
      <w:r>
        <w:t xml:space="preserve"> </w:t>
      </w:r>
      <w:r w:rsidRPr="008516D1">
        <w:t>infractions</w:t>
      </w:r>
      <w:r>
        <w:t xml:space="preserve"> </w:t>
      </w:r>
      <w:r w:rsidRPr="008516D1">
        <w:t>de</w:t>
      </w:r>
      <w:r>
        <w:t xml:space="preserve"> </w:t>
      </w:r>
      <w:r w:rsidRPr="008516D1">
        <w:t>droit</w:t>
      </w:r>
      <w:r>
        <w:t xml:space="preserve"> </w:t>
      </w:r>
      <w:r w:rsidRPr="008516D1">
        <w:t>commun</w:t>
      </w:r>
      <w:r>
        <w:t xml:space="preserve"> </w:t>
      </w:r>
      <w:r w:rsidRPr="008516D1">
        <w:t>et</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724FB5D8" w14:textId="5C9DA283" w:rsidR="00286956" w:rsidRPr="008516D1" w:rsidRDefault="00286956" w:rsidP="0013732F">
      <w:pPr>
        <w:pStyle w:val="SingleTxtG"/>
      </w:pPr>
      <w:r w:rsidRPr="008516D1">
        <w:t>35.</w:t>
      </w:r>
      <w:r w:rsidRPr="008516D1">
        <w:tab/>
        <w:t>Dans</w:t>
      </w:r>
      <w:r>
        <w:t xml:space="preserve"> </w:t>
      </w:r>
      <w:r w:rsidRPr="008516D1">
        <w:t>le</w:t>
      </w:r>
      <w:r>
        <w:t xml:space="preserve"> </w:t>
      </w:r>
      <w:r w:rsidRPr="008516D1">
        <w:t>cadre</w:t>
      </w:r>
      <w:r>
        <w:t xml:space="preserve"> </w:t>
      </w:r>
      <w:r w:rsidRPr="008516D1">
        <w:t>de</w:t>
      </w:r>
      <w:r>
        <w:t xml:space="preserve"> </w:t>
      </w:r>
      <w:r w:rsidRPr="008516D1">
        <w:t>son</w:t>
      </w:r>
      <w:r>
        <w:t xml:space="preserve"> </w:t>
      </w:r>
      <w:r w:rsidRPr="008516D1">
        <w:t>plan</w:t>
      </w:r>
      <w:r>
        <w:t xml:space="preserve"> </w:t>
      </w:r>
      <w:r w:rsidRPr="008516D1">
        <w:t>stratégique</w:t>
      </w:r>
      <w:r>
        <w:t xml:space="preserve"> </w:t>
      </w:r>
      <w:r w:rsidRPr="008516D1">
        <w:t>2015-2020,</w:t>
      </w:r>
      <w:r>
        <w:t xml:space="preserve"> </w:t>
      </w:r>
      <w:r w:rsidRPr="008516D1">
        <w:t>le</w:t>
      </w:r>
      <w:r>
        <w:t xml:space="preserve"> </w:t>
      </w:r>
      <w:r w:rsidRPr="008516D1">
        <w:t>ministère</w:t>
      </w:r>
      <w:r>
        <w:t xml:space="preserve"> </w:t>
      </w:r>
      <w:r w:rsidRPr="008516D1">
        <w:t>public</w:t>
      </w:r>
      <w:r>
        <w:t xml:space="preserve"> </w:t>
      </w:r>
      <w:r w:rsidRPr="008516D1">
        <w:t>a</w:t>
      </w:r>
      <w:r>
        <w:t xml:space="preserve"> </w:t>
      </w:r>
      <w:r w:rsidRPr="008516D1">
        <w:t>mis</w:t>
      </w:r>
      <w:r>
        <w:t xml:space="preserve"> </w:t>
      </w:r>
      <w:r w:rsidRPr="008516D1">
        <w:t>en</w:t>
      </w:r>
      <w:r>
        <w:t xml:space="preserve"> </w:t>
      </w:r>
      <w:r w:rsidRPr="008516D1">
        <w:t>œuvre</w:t>
      </w:r>
      <w:r>
        <w:t xml:space="preserve"> </w:t>
      </w:r>
      <w:r w:rsidRPr="008516D1">
        <w:t>en</w:t>
      </w:r>
      <w:r>
        <w:t xml:space="preserve"> </w:t>
      </w:r>
      <w:r w:rsidRPr="008516D1">
        <w:t>2018</w:t>
      </w:r>
      <w:r>
        <w:t xml:space="preserve"> </w:t>
      </w:r>
      <w:r w:rsidRPr="008516D1">
        <w:t>un</w:t>
      </w:r>
      <w:r>
        <w:t xml:space="preserve"> </w:t>
      </w:r>
      <w:r w:rsidR="00216393">
        <w:t>m</w:t>
      </w:r>
      <w:r w:rsidRPr="008516D1">
        <w:t>anuel</w:t>
      </w:r>
      <w:r>
        <w:t xml:space="preserve"> </w:t>
      </w:r>
      <w:r w:rsidRPr="008516D1">
        <w:t>unique</w:t>
      </w:r>
      <w:r>
        <w:t xml:space="preserve"> </w:t>
      </w:r>
      <w:r w:rsidRPr="008516D1">
        <w:t>d</w:t>
      </w:r>
      <w:r>
        <w:t>’</w:t>
      </w:r>
      <w:r w:rsidRPr="008516D1">
        <w:t>enquêtes</w:t>
      </w:r>
      <w:r>
        <w:t xml:space="preserve"> </w:t>
      </w:r>
      <w:r w:rsidRPr="008516D1">
        <w:t>judiciaires,</w:t>
      </w:r>
      <w:r>
        <w:t xml:space="preserve"> </w:t>
      </w:r>
      <w:r w:rsidRPr="008516D1">
        <w:t>visant</w:t>
      </w:r>
      <w:r>
        <w:t xml:space="preserve"> </w:t>
      </w:r>
      <w:r w:rsidRPr="008516D1">
        <w:t>à</w:t>
      </w:r>
      <w:r>
        <w:t xml:space="preserve"> </w:t>
      </w:r>
      <w:r w:rsidRPr="008516D1">
        <w:t>améliorer,</w:t>
      </w:r>
      <w:r>
        <w:t xml:space="preserve"> </w:t>
      </w:r>
      <w:r w:rsidRPr="008516D1">
        <w:t>normaliser</w:t>
      </w:r>
      <w:r>
        <w:t xml:space="preserve"> </w:t>
      </w:r>
      <w:r w:rsidRPr="008516D1">
        <w:t>et</w:t>
      </w:r>
      <w:r>
        <w:t xml:space="preserve"> </w:t>
      </w:r>
      <w:r w:rsidRPr="008516D1">
        <w:t>harmoniser</w:t>
      </w:r>
      <w:r>
        <w:t xml:space="preserve"> </w:t>
      </w:r>
      <w:r w:rsidRPr="008516D1">
        <w:t>l</w:t>
      </w:r>
      <w:r>
        <w:t>’</w:t>
      </w:r>
      <w:r w:rsidRPr="008516D1">
        <w:t>ensemble</w:t>
      </w:r>
      <w:r>
        <w:t xml:space="preserve"> </w:t>
      </w:r>
      <w:r w:rsidRPr="008516D1">
        <w:t>des</w:t>
      </w:r>
      <w:r>
        <w:t xml:space="preserve"> </w:t>
      </w:r>
      <w:r w:rsidRPr="008516D1">
        <w:t>pratiques,</w:t>
      </w:r>
      <w:r>
        <w:t xml:space="preserve"> </w:t>
      </w:r>
      <w:r w:rsidRPr="008516D1">
        <w:t>actes,</w:t>
      </w:r>
      <w:r>
        <w:t xml:space="preserve"> </w:t>
      </w:r>
      <w:r w:rsidRPr="008516D1">
        <w:t>procédures</w:t>
      </w:r>
      <w:r>
        <w:t xml:space="preserve"> </w:t>
      </w:r>
      <w:r w:rsidRPr="008516D1">
        <w:t>et</w:t>
      </w:r>
      <w:r>
        <w:t xml:space="preserve"> </w:t>
      </w:r>
      <w:r w:rsidRPr="008516D1">
        <w:t>techniques</w:t>
      </w:r>
      <w:r>
        <w:t xml:space="preserve"> </w:t>
      </w:r>
      <w:r w:rsidRPr="008516D1">
        <w:t>d</w:t>
      </w:r>
      <w:r>
        <w:t>’</w:t>
      </w:r>
      <w:r w:rsidRPr="008516D1">
        <w:t>enquête.</w:t>
      </w:r>
      <w:r>
        <w:t xml:space="preserve"> </w:t>
      </w:r>
      <w:r w:rsidRPr="008516D1">
        <w:t>L</w:t>
      </w:r>
      <w:r>
        <w:t>’</w:t>
      </w:r>
      <w:r w:rsidRPr="008516D1">
        <w:t>utilisation</w:t>
      </w:r>
      <w:r>
        <w:t xml:space="preserve"> </w:t>
      </w:r>
      <w:r w:rsidRPr="008516D1">
        <w:t>de</w:t>
      </w:r>
      <w:r>
        <w:t xml:space="preserve"> </w:t>
      </w:r>
      <w:r w:rsidRPr="008516D1">
        <w:t>cet</w:t>
      </w:r>
      <w:r>
        <w:t xml:space="preserve"> </w:t>
      </w:r>
      <w:r w:rsidRPr="008516D1">
        <w:t>outil</w:t>
      </w:r>
      <w:r>
        <w:t xml:space="preserve"> </w:t>
      </w:r>
      <w:r w:rsidRPr="008516D1">
        <w:t>est</w:t>
      </w:r>
      <w:r>
        <w:t xml:space="preserve"> </w:t>
      </w:r>
      <w:r w:rsidRPr="008516D1">
        <w:t>obligatoire</w:t>
      </w:r>
      <w:r>
        <w:t xml:space="preserve"> </w:t>
      </w:r>
      <w:r w:rsidRPr="008516D1">
        <w:t>pour</w:t>
      </w:r>
      <w:r>
        <w:t xml:space="preserve"> </w:t>
      </w:r>
      <w:r w:rsidRPr="008516D1">
        <w:t>les</w:t>
      </w:r>
      <w:r>
        <w:t xml:space="preserve"> </w:t>
      </w:r>
      <w:r w:rsidRPr="008516D1">
        <w:t>procureurs,</w:t>
      </w:r>
      <w:r>
        <w:t xml:space="preserve"> </w:t>
      </w:r>
      <w:r w:rsidRPr="008516D1">
        <w:t>les</w:t>
      </w:r>
      <w:r>
        <w:t xml:space="preserve"> </w:t>
      </w:r>
      <w:r w:rsidRPr="008516D1">
        <w:t>experts</w:t>
      </w:r>
      <w:r>
        <w:t xml:space="preserve"> </w:t>
      </w:r>
      <w:r w:rsidRPr="008516D1">
        <w:t>médico-légaux,</w:t>
      </w:r>
      <w:r>
        <w:t xml:space="preserve"> </w:t>
      </w:r>
      <w:r w:rsidRPr="008516D1">
        <w:t>les</w:t>
      </w:r>
      <w:r>
        <w:t xml:space="preserve"> </w:t>
      </w:r>
      <w:r w:rsidRPr="008516D1">
        <w:t>enquêteurs,</w:t>
      </w:r>
      <w:r>
        <w:t xml:space="preserve"> </w:t>
      </w:r>
      <w:r w:rsidRPr="008516D1">
        <w:t>les</w:t>
      </w:r>
      <w:r>
        <w:t xml:space="preserve"> </w:t>
      </w:r>
      <w:r w:rsidRPr="008516D1">
        <w:t>policiers,</w:t>
      </w:r>
      <w:r>
        <w:t xml:space="preserve"> </w:t>
      </w:r>
      <w:r w:rsidRPr="008516D1">
        <w:t>les</w:t>
      </w:r>
      <w:r>
        <w:t xml:space="preserve"> </w:t>
      </w:r>
      <w:r w:rsidRPr="008516D1">
        <w:t>experts</w:t>
      </w:r>
      <w:r>
        <w:t xml:space="preserve"> </w:t>
      </w:r>
      <w:r w:rsidRPr="008516D1">
        <w:t>et</w:t>
      </w:r>
      <w:r>
        <w:t xml:space="preserve"> </w:t>
      </w:r>
      <w:r w:rsidRPr="008516D1">
        <w:t>les</w:t>
      </w:r>
      <w:r>
        <w:t xml:space="preserve"> </w:t>
      </w:r>
      <w:r w:rsidRPr="008516D1">
        <w:t>policiers</w:t>
      </w:r>
      <w:r>
        <w:t xml:space="preserve"> </w:t>
      </w:r>
      <w:r w:rsidRPr="008516D1">
        <w:t>militaires.</w:t>
      </w:r>
      <w:r>
        <w:t xml:space="preserve"> </w:t>
      </w:r>
      <w:r w:rsidRPr="008516D1">
        <w:t>Il</w:t>
      </w:r>
      <w:r>
        <w:t xml:space="preserve"> </w:t>
      </w:r>
      <w:r w:rsidRPr="008516D1">
        <w:t>définit</w:t>
      </w:r>
      <w:r>
        <w:t xml:space="preserve"> </w:t>
      </w:r>
      <w:r w:rsidRPr="008516D1">
        <w:t>des</w:t>
      </w:r>
      <w:r>
        <w:t xml:space="preserve"> </w:t>
      </w:r>
      <w:r w:rsidRPr="008516D1">
        <w:t>directives</w:t>
      </w:r>
      <w:r>
        <w:t xml:space="preserve"> </w:t>
      </w:r>
      <w:r w:rsidRPr="008516D1">
        <w:t>et</w:t>
      </w:r>
      <w:r>
        <w:t xml:space="preserve"> </w:t>
      </w:r>
      <w:r w:rsidRPr="008516D1">
        <w:t>des</w:t>
      </w:r>
      <w:r>
        <w:t xml:space="preserve"> </w:t>
      </w:r>
      <w:r w:rsidRPr="008516D1">
        <w:t>bonnes</w:t>
      </w:r>
      <w:r>
        <w:t xml:space="preserve"> </w:t>
      </w:r>
      <w:r w:rsidRPr="008516D1">
        <w:t>pratiques</w:t>
      </w:r>
      <w:r>
        <w:t xml:space="preserve"> </w:t>
      </w:r>
      <w:r w:rsidRPr="008516D1">
        <w:t>dans</w:t>
      </w:r>
      <w:r>
        <w:t xml:space="preserve"> </w:t>
      </w:r>
      <w:r w:rsidRPr="008516D1">
        <w:t>des</w:t>
      </w:r>
      <w:r>
        <w:t xml:space="preserve"> </w:t>
      </w:r>
      <w:r w:rsidRPr="008516D1">
        <w:t>domaines</w:t>
      </w:r>
      <w:r>
        <w:t xml:space="preserve"> </w:t>
      </w:r>
      <w:r w:rsidRPr="008516D1">
        <w:t>tels</w:t>
      </w:r>
      <w:r>
        <w:t xml:space="preserve"> </w:t>
      </w:r>
      <w:r w:rsidRPr="008516D1">
        <w:t>que</w:t>
      </w:r>
      <w:r>
        <w:t xml:space="preserve"> </w:t>
      </w:r>
      <w:r w:rsidRPr="008516D1">
        <w:t>la</w:t>
      </w:r>
      <w:r>
        <w:t xml:space="preserve"> </w:t>
      </w:r>
      <w:r w:rsidRPr="008516D1">
        <w:t>gestion</w:t>
      </w:r>
      <w:r>
        <w:t xml:space="preserve"> </w:t>
      </w:r>
      <w:r w:rsidRPr="008516D1">
        <w:t>des</w:t>
      </w:r>
      <w:r>
        <w:t xml:space="preserve"> </w:t>
      </w:r>
      <w:r w:rsidRPr="008516D1">
        <w:t>scènes</w:t>
      </w:r>
      <w:r>
        <w:t xml:space="preserve"> </w:t>
      </w:r>
      <w:r w:rsidRPr="008516D1">
        <w:t>de</w:t>
      </w:r>
      <w:r>
        <w:t xml:space="preserve"> </w:t>
      </w:r>
      <w:r w:rsidRPr="008516D1">
        <w:t>crime,</w:t>
      </w:r>
      <w:r>
        <w:t xml:space="preserve"> </w:t>
      </w:r>
      <w:r w:rsidRPr="008516D1">
        <w:t>la</w:t>
      </w:r>
      <w:r>
        <w:t xml:space="preserve"> </w:t>
      </w:r>
      <w:r w:rsidRPr="008516D1">
        <w:t>levée</w:t>
      </w:r>
      <w:r>
        <w:t xml:space="preserve"> </w:t>
      </w:r>
      <w:r w:rsidRPr="008516D1">
        <w:t>de</w:t>
      </w:r>
      <w:r>
        <w:t xml:space="preserve"> </w:t>
      </w:r>
      <w:r w:rsidRPr="008516D1">
        <w:t>corps,</w:t>
      </w:r>
      <w:r>
        <w:t xml:space="preserve"> </w:t>
      </w:r>
      <w:r w:rsidRPr="008516D1">
        <w:t>la</w:t>
      </w:r>
      <w:r>
        <w:t xml:space="preserve"> </w:t>
      </w:r>
      <w:r w:rsidRPr="008516D1">
        <w:t>saisie</w:t>
      </w:r>
      <w:r>
        <w:t xml:space="preserve"> </w:t>
      </w:r>
      <w:r w:rsidRPr="008516D1">
        <w:t>des</w:t>
      </w:r>
      <w:r>
        <w:t xml:space="preserve"> </w:t>
      </w:r>
      <w:r w:rsidRPr="008516D1">
        <w:t>documents,</w:t>
      </w:r>
      <w:r>
        <w:t xml:space="preserve"> </w:t>
      </w:r>
      <w:r w:rsidRPr="008516D1">
        <w:t>la</w:t>
      </w:r>
      <w:r>
        <w:t xml:space="preserve"> </w:t>
      </w:r>
      <w:r w:rsidRPr="008516D1">
        <w:t>collecte</w:t>
      </w:r>
      <w:r>
        <w:t xml:space="preserve"> </w:t>
      </w:r>
      <w:r w:rsidRPr="008516D1">
        <w:t>et</w:t>
      </w:r>
      <w:r>
        <w:t xml:space="preserve"> </w:t>
      </w:r>
      <w:r w:rsidRPr="008516D1">
        <w:t>la</w:t>
      </w:r>
      <w:r>
        <w:t xml:space="preserve"> </w:t>
      </w:r>
      <w:r w:rsidRPr="008516D1">
        <w:t>chaîne</w:t>
      </w:r>
      <w:r>
        <w:t xml:space="preserve"> </w:t>
      </w:r>
      <w:r w:rsidRPr="008516D1">
        <w:t>de</w:t>
      </w:r>
      <w:r>
        <w:t xml:space="preserve"> </w:t>
      </w:r>
      <w:r w:rsidRPr="008516D1">
        <w:t>conservation</w:t>
      </w:r>
      <w:r>
        <w:t xml:space="preserve"> </w:t>
      </w:r>
      <w:r w:rsidRPr="008516D1">
        <w:t>des</w:t>
      </w:r>
      <w:r>
        <w:t xml:space="preserve"> </w:t>
      </w:r>
      <w:r w:rsidRPr="008516D1">
        <w:t>preuves</w:t>
      </w:r>
      <w:r>
        <w:t xml:space="preserve"> </w:t>
      </w:r>
      <w:r w:rsidRPr="008516D1">
        <w:t>et</w:t>
      </w:r>
      <w:r>
        <w:t xml:space="preserve"> </w:t>
      </w:r>
      <w:r w:rsidRPr="008516D1">
        <w:t>indices</w:t>
      </w:r>
      <w:r>
        <w:t xml:space="preserve"> </w:t>
      </w:r>
      <w:r w:rsidRPr="008516D1">
        <w:t>et</w:t>
      </w:r>
      <w:r>
        <w:t xml:space="preserve"> </w:t>
      </w:r>
      <w:r w:rsidRPr="008516D1">
        <w:t>les</w:t>
      </w:r>
      <w:r>
        <w:t xml:space="preserve"> </w:t>
      </w:r>
      <w:r w:rsidRPr="008516D1">
        <w:t>garanties</w:t>
      </w:r>
      <w:r>
        <w:t xml:space="preserve"> </w:t>
      </w:r>
      <w:r w:rsidRPr="008516D1">
        <w:t>procédurales,</w:t>
      </w:r>
      <w:r>
        <w:t xml:space="preserve"> </w:t>
      </w:r>
      <w:r w:rsidRPr="008516D1">
        <w:t>entre</w:t>
      </w:r>
      <w:r>
        <w:t xml:space="preserve"> </w:t>
      </w:r>
      <w:r w:rsidRPr="008516D1">
        <w:t>autres</w:t>
      </w:r>
      <w:r w:rsidRPr="008516D1">
        <w:rPr>
          <w:rStyle w:val="Appelnotedebasdep"/>
        </w:rPr>
        <w:footnoteReference w:id="57"/>
      </w:r>
      <w:r w:rsidRPr="008516D1">
        <w:t>.</w:t>
      </w:r>
    </w:p>
    <w:p w14:paraId="770005F8" w14:textId="77777777" w:rsidR="00286956" w:rsidRPr="008516D1" w:rsidRDefault="00286956" w:rsidP="0013732F">
      <w:pPr>
        <w:pStyle w:val="SingleTxtG"/>
      </w:pPr>
      <w:r w:rsidRPr="008516D1">
        <w:t>36.</w:t>
      </w:r>
      <w:r w:rsidRPr="008516D1">
        <w:tab/>
        <w:t>Le</w:t>
      </w:r>
      <w:r>
        <w:t xml:space="preserve"> </w:t>
      </w:r>
      <w:r w:rsidRPr="008516D1">
        <w:t>manuel</w:t>
      </w:r>
      <w:r>
        <w:t xml:space="preserve"> </w:t>
      </w:r>
      <w:r w:rsidRPr="008516D1">
        <w:t>précité</w:t>
      </w:r>
      <w:r>
        <w:t xml:space="preserve"> </w:t>
      </w:r>
      <w:r w:rsidRPr="008516D1">
        <w:t>prévoit</w:t>
      </w:r>
      <w:r>
        <w:t xml:space="preserve"> </w:t>
      </w:r>
      <w:r w:rsidRPr="008516D1">
        <w:t>également</w:t>
      </w:r>
      <w:r>
        <w:t xml:space="preserve"> </w:t>
      </w:r>
      <w:r w:rsidRPr="008516D1">
        <w:t>les</w:t>
      </w:r>
      <w:r>
        <w:t xml:space="preserve"> </w:t>
      </w:r>
      <w:r w:rsidRPr="008516D1">
        <w:t>modalités</w:t>
      </w:r>
      <w:r>
        <w:t xml:space="preserve"> </w:t>
      </w:r>
      <w:r w:rsidRPr="008516D1">
        <w:t>de</w:t>
      </w:r>
      <w:r>
        <w:t xml:space="preserve"> </w:t>
      </w:r>
      <w:r w:rsidRPr="008516D1">
        <w:t>coordination</w:t>
      </w:r>
      <w:r>
        <w:t xml:space="preserve"> </w:t>
      </w:r>
      <w:r w:rsidRPr="008516D1">
        <w:t>avec</w:t>
      </w:r>
      <w:r>
        <w:t xml:space="preserve"> </w:t>
      </w:r>
      <w:r w:rsidRPr="008516D1">
        <w:t>les</w:t>
      </w:r>
      <w:r>
        <w:t xml:space="preserve"> </w:t>
      </w:r>
      <w:r w:rsidRPr="008516D1">
        <w:t>services</w:t>
      </w:r>
      <w:r>
        <w:t xml:space="preserve"> </w:t>
      </w:r>
      <w:r w:rsidRPr="008516D1">
        <w:t>de</w:t>
      </w:r>
      <w:r>
        <w:t xml:space="preserve"> </w:t>
      </w:r>
      <w:r w:rsidRPr="008516D1">
        <w:t>police</w:t>
      </w:r>
      <w:r>
        <w:t xml:space="preserve"> </w:t>
      </w:r>
      <w:r w:rsidRPr="008516D1">
        <w:t>et</w:t>
      </w:r>
      <w:r>
        <w:t xml:space="preserve"> </w:t>
      </w:r>
      <w:r w:rsidRPr="008516D1">
        <w:t>les</w:t>
      </w:r>
      <w:r>
        <w:t xml:space="preserve"> </w:t>
      </w:r>
      <w:r w:rsidRPr="008516D1">
        <w:t>autorités</w:t>
      </w:r>
      <w:r>
        <w:t xml:space="preserve"> </w:t>
      </w:r>
      <w:r w:rsidRPr="008516D1">
        <w:t>internationales,</w:t>
      </w:r>
      <w:r>
        <w:t xml:space="preserve"> </w:t>
      </w:r>
      <w:r w:rsidRPr="008516D1">
        <w:t>les</w:t>
      </w:r>
      <w:r>
        <w:t xml:space="preserve"> </w:t>
      </w:r>
      <w:r w:rsidRPr="008516D1">
        <w:t>organismes</w:t>
      </w:r>
      <w:r>
        <w:t xml:space="preserve"> </w:t>
      </w:r>
      <w:r w:rsidRPr="008516D1">
        <w:t>de</w:t>
      </w:r>
      <w:r>
        <w:t xml:space="preserve"> </w:t>
      </w:r>
      <w:r w:rsidRPr="008516D1">
        <w:t>soutien</w:t>
      </w:r>
      <w:r>
        <w:t xml:space="preserve"> </w:t>
      </w:r>
      <w:r w:rsidRPr="008516D1">
        <w:t>technique</w:t>
      </w:r>
      <w:r>
        <w:t xml:space="preserve"> </w:t>
      </w:r>
      <w:r w:rsidRPr="008516D1">
        <w:t>et</w:t>
      </w:r>
      <w:r>
        <w:t xml:space="preserve"> </w:t>
      </w:r>
      <w:r w:rsidRPr="008516D1">
        <w:t>scientifique,</w:t>
      </w:r>
      <w:r>
        <w:t xml:space="preserve"> </w:t>
      </w:r>
      <w:r w:rsidRPr="008516D1">
        <w:t>la</w:t>
      </w:r>
      <w:r>
        <w:t xml:space="preserve"> </w:t>
      </w:r>
      <w:r w:rsidRPr="008516D1">
        <w:t>police</w:t>
      </w:r>
      <w:r>
        <w:t xml:space="preserve"> </w:t>
      </w:r>
      <w:r w:rsidRPr="008516D1">
        <w:t>scientifique</w:t>
      </w:r>
      <w:r>
        <w:t xml:space="preserve"> </w:t>
      </w:r>
      <w:r w:rsidRPr="008516D1">
        <w:t>de</w:t>
      </w:r>
      <w:r>
        <w:t xml:space="preserve"> </w:t>
      </w:r>
      <w:r w:rsidRPr="008516D1">
        <w:t>terrain,</w:t>
      </w:r>
      <w:r>
        <w:t xml:space="preserve"> </w:t>
      </w:r>
      <w:r w:rsidRPr="008516D1">
        <w:t>la</w:t>
      </w:r>
      <w:r>
        <w:t xml:space="preserve"> </w:t>
      </w:r>
      <w:r w:rsidRPr="008516D1">
        <w:t>médecine</w:t>
      </w:r>
      <w:r>
        <w:t xml:space="preserve"> </w:t>
      </w:r>
      <w:r w:rsidRPr="008516D1">
        <w:t>légale,</w:t>
      </w:r>
      <w:r>
        <w:t xml:space="preserve"> </w:t>
      </w:r>
      <w:r w:rsidRPr="008516D1">
        <w:t>les</w:t>
      </w:r>
      <w:r>
        <w:t xml:space="preserve"> </w:t>
      </w:r>
      <w:r w:rsidRPr="008516D1">
        <w:t>laboratoires</w:t>
      </w:r>
      <w:r>
        <w:t xml:space="preserve"> </w:t>
      </w:r>
      <w:r w:rsidRPr="008516D1">
        <w:t>de</w:t>
      </w:r>
      <w:r>
        <w:t xml:space="preserve"> </w:t>
      </w:r>
      <w:r w:rsidRPr="008516D1">
        <w:t>criminalistique,</w:t>
      </w:r>
      <w:r>
        <w:t xml:space="preserve"> </w:t>
      </w:r>
      <w:r w:rsidRPr="008516D1">
        <w:t>les</w:t>
      </w:r>
      <w:r>
        <w:t xml:space="preserve"> </w:t>
      </w:r>
      <w:r w:rsidRPr="008516D1">
        <w:t>laboratoires</w:t>
      </w:r>
      <w:r>
        <w:t xml:space="preserve"> </w:t>
      </w:r>
      <w:r w:rsidRPr="008516D1">
        <w:t>privés</w:t>
      </w:r>
      <w:r>
        <w:t xml:space="preserve"> </w:t>
      </w:r>
      <w:r w:rsidRPr="008516D1">
        <w:t>nationaux</w:t>
      </w:r>
      <w:r>
        <w:t xml:space="preserve"> </w:t>
      </w:r>
      <w:r w:rsidRPr="008516D1">
        <w:t>et</w:t>
      </w:r>
      <w:r>
        <w:t xml:space="preserve"> </w:t>
      </w:r>
      <w:r w:rsidRPr="008516D1">
        <w:t>étrangers,</w:t>
      </w:r>
      <w:r>
        <w:t xml:space="preserve"> </w:t>
      </w:r>
      <w:r w:rsidRPr="008516D1">
        <w:t>les</w:t>
      </w:r>
      <w:r>
        <w:t xml:space="preserve"> </w:t>
      </w:r>
      <w:r w:rsidRPr="008516D1">
        <w:t>universités</w:t>
      </w:r>
      <w:r>
        <w:t xml:space="preserve"> </w:t>
      </w:r>
      <w:r w:rsidRPr="008516D1">
        <w:t>et</w:t>
      </w:r>
      <w:r>
        <w:t xml:space="preserve"> </w:t>
      </w:r>
      <w:r w:rsidRPr="008516D1">
        <w:t>les</w:t>
      </w:r>
      <w:r>
        <w:t xml:space="preserve"> </w:t>
      </w:r>
      <w:r w:rsidRPr="008516D1">
        <w:t>laboratoires</w:t>
      </w:r>
      <w:r>
        <w:t xml:space="preserve"> </w:t>
      </w:r>
      <w:r w:rsidRPr="008516D1">
        <w:t>d</w:t>
      </w:r>
      <w:r>
        <w:t>’</w:t>
      </w:r>
      <w:r w:rsidRPr="008516D1">
        <w:t>autres</w:t>
      </w:r>
      <w:r>
        <w:t xml:space="preserve"> </w:t>
      </w:r>
      <w:r w:rsidRPr="008516D1">
        <w:t>organismes,</w:t>
      </w:r>
      <w:r>
        <w:t xml:space="preserve"> </w:t>
      </w:r>
      <w:r w:rsidRPr="008516D1">
        <w:t>notamment.</w:t>
      </w:r>
    </w:p>
    <w:p w14:paraId="56F1E784" w14:textId="3355BB36" w:rsidR="00286956" w:rsidRPr="008516D1" w:rsidRDefault="00286956" w:rsidP="0013732F">
      <w:pPr>
        <w:pStyle w:val="SingleTxtG"/>
      </w:pPr>
      <w:bookmarkStart w:id="21" w:name="_Hlk92653413"/>
      <w:r w:rsidRPr="008516D1">
        <w:t>37.</w:t>
      </w:r>
      <w:r w:rsidRPr="008516D1">
        <w:tab/>
        <w:t>Par</w:t>
      </w:r>
      <w:r>
        <w:t xml:space="preserve"> </w:t>
      </w:r>
      <w:r w:rsidRPr="008516D1">
        <w:t>ailleurs,</w:t>
      </w:r>
      <w:r>
        <w:t xml:space="preserve"> </w:t>
      </w:r>
      <w:r w:rsidRPr="008516D1">
        <w:t>en</w:t>
      </w:r>
      <w:r>
        <w:t xml:space="preserve"> </w:t>
      </w:r>
      <w:r w:rsidRPr="008516D1">
        <w:t>2016,</w:t>
      </w:r>
      <w:r>
        <w:t xml:space="preserve"> </w:t>
      </w:r>
      <w:r w:rsidRPr="008516D1">
        <w:t>le</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par</w:t>
      </w:r>
      <w:r>
        <w:t xml:space="preserve"> </w:t>
      </w:r>
      <w:r w:rsidRPr="008516D1">
        <w:t>l</w:t>
      </w:r>
      <w:r>
        <w:t>’</w:t>
      </w:r>
      <w:r w:rsidRPr="008516D1">
        <w:t>intermédiaire</w:t>
      </w:r>
      <w:r>
        <w:t xml:space="preserve"> </w:t>
      </w:r>
      <w:r w:rsidRPr="008516D1">
        <w:t>du</w:t>
      </w:r>
      <w:r>
        <w:t xml:space="preserve"> </w:t>
      </w:r>
      <w:r w:rsidRPr="008516D1">
        <w:t>Bureau</w:t>
      </w:r>
      <w:r>
        <w:t xml:space="preserve"> </w:t>
      </w:r>
      <w:r w:rsidRPr="008516D1">
        <w:t>central</w:t>
      </w:r>
      <w:r>
        <w:t xml:space="preserve"> </w:t>
      </w:r>
      <w:r w:rsidRPr="008516D1">
        <w:t>national</w:t>
      </w:r>
      <w:r>
        <w:t xml:space="preserve"> </w:t>
      </w:r>
      <w:r w:rsidRPr="008516D1">
        <w:t>de</w:t>
      </w:r>
      <w:r>
        <w:t xml:space="preserve"> </w:t>
      </w:r>
      <w:r w:rsidRPr="008516D1">
        <w:t>l</w:t>
      </w:r>
      <w:r>
        <w:t>’</w:t>
      </w:r>
      <w:r w:rsidRPr="008516D1">
        <w:t>Organisation</w:t>
      </w:r>
      <w:r>
        <w:t xml:space="preserve"> </w:t>
      </w:r>
      <w:r w:rsidRPr="008516D1">
        <w:t>internationale</w:t>
      </w:r>
      <w:r>
        <w:t xml:space="preserve"> </w:t>
      </w:r>
      <w:r w:rsidRPr="008516D1">
        <w:t>de</w:t>
      </w:r>
      <w:r>
        <w:t xml:space="preserve"> </w:t>
      </w:r>
      <w:r w:rsidRPr="008516D1">
        <w:t>police</w:t>
      </w:r>
      <w:r>
        <w:t xml:space="preserve"> </w:t>
      </w:r>
      <w:r w:rsidRPr="008516D1">
        <w:t>criminelle</w:t>
      </w:r>
      <w:r>
        <w:t xml:space="preserve"> </w:t>
      </w:r>
      <w:r w:rsidRPr="008516D1">
        <w:t>(Interpol)</w:t>
      </w:r>
      <w:r>
        <w:t xml:space="preserve"> </w:t>
      </w:r>
      <w:r w:rsidRPr="008516D1">
        <w:t>au</w:t>
      </w:r>
      <w:r>
        <w:t xml:space="preserve"> </w:t>
      </w:r>
      <w:r w:rsidRPr="008516D1">
        <w:t>Honduras,</w:t>
      </w:r>
      <w:r>
        <w:t xml:space="preserve"> </w:t>
      </w:r>
      <w:r w:rsidRPr="008516D1">
        <w:t>et</w:t>
      </w:r>
      <w:r>
        <w:t xml:space="preserve"> </w:t>
      </w:r>
      <w:r w:rsidRPr="008516D1">
        <w:t>le</w:t>
      </w:r>
      <w:r>
        <w:t xml:space="preserve"> </w:t>
      </w:r>
      <w:r w:rsidRPr="008516D1">
        <w:t>ministère</w:t>
      </w:r>
      <w:r>
        <w:t xml:space="preserve"> </w:t>
      </w:r>
      <w:r w:rsidRPr="008516D1">
        <w:t>public</w:t>
      </w:r>
      <w:r>
        <w:t xml:space="preserve"> </w:t>
      </w:r>
      <w:r w:rsidRPr="008516D1">
        <w:t>ont</w:t>
      </w:r>
      <w:r>
        <w:t xml:space="preserve"> </w:t>
      </w:r>
      <w:r w:rsidRPr="008516D1">
        <w:t>signé</w:t>
      </w:r>
      <w:r>
        <w:t xml:space="preserve"> </w:t>
      </w:r>
      <w:r w:rsidRPr="008516D1">
        <w:t>un</w:t>
      </w:r>
      <w:r>
        <w:t xml:space="preserve"> </w:t>
      </w:r>
      <w:r w:rsidRPr="008516D1">
        <w:t>accord</w:t>
      </w:r>
      <w:r>
        <w:t xml:space="preserve"> </w:t>
      </w:r>
      <w:r w:rsidRPr="008516D1">
        <w:t>sur</w:t>
      </w:r>
      <w:r>
        <w:t xml:space="preserve"> </w:t>
      </w:r>
      <w:r w:rsidRPr="008516D1">
        <w:t>la</w:t>
      </w:r>
      <w:r>
        <w:t xml:space="preserve"> </w:t>
      </w:r>
      <w:r w:rsidRPr="008516D1">
        <w:t>poursuite</w:t>
      </w:r>
      <w:r>
        <w:t xml:space="preserve"> </w:t>
      </w:r>
      <w:r w:rsidRPr="008516D1">
        <w:t>des</w:t>
      </w:r>
      <w:r>
        <w:t xml:space="preserve"> </w:t>
      </w:r>
      <w:r w:rsidRPr="008516D1">
        <w:t>infractions</w:t>
      </w:r>
      <w:r>
        <w:t xml:space="preserve"> </w:t>
      </w:r>
      <w:r w:rsidRPr="008516D1">
        <w:t>transnationales</w:t>
      </w:r>
      <w:r>
        <w:t xml:space="preserve"> </w:t>
      </w:r>
      <w:r w:rsidRPr="008516D1">
        <w:t>ou</w:t>
      </w:r>
      <w:r>
        <w:t xml:space="preserve"> </w:t>
      </w:r>
      <w:r w:rsidRPr="008516D1">
        <w:t>présentant</w:t>
      </w:r>
      <w:r>
        <w:t xml:space="preserve"> </w:t>
      </w:r>
      <w:r w:rsidRPr="008516D1">
        <w:t>des</w:t>
      </w:r>
      <w:r>
        <w:t xml:space="preserve"> </w:t>
      </w:r>
      <w:r w:rsidRPr="008516D1">
        <w:t>caractéristiques</w:t>
      </w:r>
      <w:r>
        <w:t xml:space="preserve"> </w:t>
      </w:r>
      <w:r w:rsidRPr="008516D1">
        <w:t>transnationales.</w:t>
      </w:r>
      <w:r>
        <w:t xml:space="preserve"> </w:t>
      </w:r>
      <w:r w:rsidRPr="008516D1">
        <w:t>Il</w:t>
      </w:r>
      <w:r>
        <w:t xml:space="preserve"> </w:t>
      </w:r>
      <w:r w:rsidRPr="008516D1">
        <w:t>est</w:t>
      </w:r>
      <w:r>
        <w:t xml:space="preserve"> </w:t>
      </w:r>
      <w:r w:rsidRPr="008516D1">
        <w:t>désormais</w:t>
      </w:r>
      <w:r>
        <w:t xml:space="preserve"> </w:t>
      </w:r>
      <w:r w:rsidRPr="008516D1">
        <w:t>possible,</w:t>
      </w:r>
      <w:r>
        <w:t xml:space="preserve"> </w:t>
      </w:r>
      <w:r w:rsidRPr="008516D1">
        <w:t>grâce</w:t>
      </w:r>
      <w:r>
        <w:t xml:space="preserve"> </w:t>
      </w:r>
      <w:r w:rsidRPr="008516D1">
        <w:t>au</w:t>
      </w:r>
      <w:r>
        <w:t xml:space="preserve"> </w:t>
      </w:r>
      <w:r w:rsidRPr="008516D1">
        <w:t>logiciel</w:t>
      </w:r>
      <w:r>
        <w:t xml:space="preserve"> </w:t>
      </w:r>
      <w:r w:rsidRPr="008516D1">
        <w:t>FIND,</w:t>
      </w:r>
      <w:r>
        <w:t xml:space="preserve"> </w:t>
      </w:r>
      <w:r w:rsidRPr="008516D1">
        <w:t>d</w:t>
      </w:r>
      <w:r>
        <w:t>’</w:t>
      </w:r>
      <w:r w:rsidRPr="008516D1">
        <w:t>accéder</w:t>
      </w:r>
      <w:r>
        <w:t xml:space="preserve"> </w:t>
      </w:r>
      <w:r w:rsidRPr="008516D1">
        <w:t>aux</w:t>
      </w:r>
      <w:r>
        <w:t xml:space="preserve"> </w:t>
      </w:r>
      <w:r w:rsidRPr="008516D1">
        <w:t>bases</w:t>
      </w:r>
      <w:r>
        <w:t xml:space="preserve"> </w:t>
      </w:r>
      <w:r w:rsidRPr="008516D1">
        <w:t>de</w:t>
      </w:r>
      <w:r>
        <w:t xml:space="preserve"> </w:t>
      </w:r>
      <w:r w:rsidRPr="008516D1">
        <w:t>données</w:t>
      </w:r>
      <w:r>
        <w:t xml:space="preserve"> </w:t>
      </w:r>
      <w:r w:rsidRPr="008516D1">
        <w:t>d</w:t>
      </w:r>
      <w:r>
        <w:t>’</w:t>
      </w:r>
      <w:r w:rsidRPr="008516D1">
        <w:t>Interpol</w:t>
      </w:r>
      <w:r>
        <w:t xml:space="preserve"> </w:t>
      </w:r>
      <w:r w:rsidRPr="008516D1">
        <w:t>et</w:t>
      </w:r>
      <w:r>
        <w:t xml:space="preserve"> </w:t>
      </w:r>
      <w:r w:rsidRPr="008516D1">
        <w:t>de</w:t>
      </w:r>
      <w:r>
        <w:t xml:space="preserve"> </w:t>
      </w:r>
      <w:r w:rsidRPr="008516D1">
        <w:t>consulter</w:t>
      </w:r>
      <w:r>
        <w:t xml:space="preserve"> </w:t>
      </w:r>
      <w:r w:rsidRPr="008516D1">
        <w:t>les</w:t>
      </w:r>
      <w:r>
        <w:t xml:space="preserve"> </w:t>
      </w:r>
      <w:r w:rsidRPr="008516D1">
        <w:t>données</w:t>
      </w:r>
      <w:r>
        <w:t xml:space="preserve"> </w:t>
      </w:r>
      <w:r w:rsidRPr="008516D1">
        <w:t>sur</w:t>
      </w:r>
      <w:r>
        <w:t xml:space="preserve"> </w:t>
      </w:r>
      <w:r w:rsidRPr="008516D1">
        <w:t>l</w:t>
      </w:r>
      <w:r>
        <w:t>’</w:t>
      </w:r>
      <w:r w:rsidRPr="008516D1">
        <w:t>ADN</w:t>
      </w:r>
      <w:r>
        <w:t xml:space="preserve"> </w:t>
      </w:r>
      <w:r w:rsidRPr="008516D1">
        <w:t>et</w:t>
      </w:r>
      <w:r>
        <w:t xml:space="preserve"> </w:t>
      </w:r>
      <w:r w:rsidRPr="008516D1">
        <w:t>les</w:t>
      </w:r>
      <w:r>
        <w:t xml:space="preserve"> </w:t>
      </w:r>
      <w:r w:rsidRPr="008516D1">
        <w:t>empreintes</w:t>
      </w:r>
      <w:r>
        <w:t xml:space="preserve"> </w:t>
      </w:r>
      <w:r w:rsidRPr="008516D1">
        <w:t>digitales,</w:t>
      </w:r>
      <w:r>
        <w:t xml:space="preserve"> </w:t>
      </w:r>
      <w:r w:rsidRPr="008516D1">
        <w:t>le</w:t>
      </w:r>
      <w:r>
        <w:t xml:space="preserve"> </w:t>
      </w:r>
      <w:r w:rsidR="00216393">
        <w:t>t</w:t>
      </w:r>
      <w:r w:rsidRPr="008516D1">
        <w:t>ableau</w:t>
      </w:r>
      <w:r>
        <w:t xml:space="preserve"> </w:t>
      </w:r>
      <w:r w:rsidRPr="008516D1">
        <w:t>de</w:t>
      </w:r>
      <w:r>
        <w:t xml:space="preserve"> </w:t>
      </w:r>
      <w:r w:rsidRPr="008516D1">
        <w:t>référence</w:t>
      </w:r>
      <w:r>
        <w:t xml:space="preserve"> </w:t>
      </w:r>
      <w:r w:rsidRPr="008516D1">
        <w:t>sur</w:t>
      </w:r>
      <w:r>
        <w:t xml:space="preserve"> </w:t>
      </w:r>
      <w:r w:rsidRPr="008516D1">
        <w:t>les</w:t>
      </w:r>
      <w:r>
        <w:t xml:space="preserve"> </w:t>
      </w:r>
      <w:r w:rsidRPr="008516D1">
        <w:t>armes</w:t>
      </w:r>
      <w:r>
        <w:t xml:space="preserve"> </w:t>
      </w:r>
      <w:r w:rsidRPr="008516D1">
        <w:t>à</w:t>
      </w:r>
      <w:r>
        <w:t xml:space="preserve"> </w:t>
      </w:r>
      <w:r w:rsidRPr="008516D1">
        <w:t>feu</w:t>
      </w:r>
      <w:r>
        <w:t xml:space="preserve"> </w:t>
      </w:r>
      <w:r w:rsidRPr="008516D1">
        <w:t>et</w:t>
      </w:r>
      <w:r>
        <w:t xml:space="preserve"> </w:t>
      </w:r>
      <w:r w:rsidRPr="008516D1">
        <w:t>le</w:t>
      </w:r>
      <w:r>
        <w:t xml:space="preserve"> </w:t>
      </w:r>
      <w:r w:rsidR="00216393">
        <w:t>r</w:t>
      </w:r>
      <w:r w:rsidRPr="008516D1">
        <w:t>éseau</w:t>
      </w:r>
      <w:r>
        <w:t xml:space="preserve"> </w:t>
      </w:r>
      <w:r w:rsidRPr="008516D1">
        <w:t>d</w:t>
      </w:r>
      <w:r>
        <w:t>’</w:t>
      </w:r>
      <w:r w:rsidRPr="008516D1">
        <w:t>information</w:t>
      </w:r>
      <w:r>
        <w:t xml:space="preserve"> </w:t>
      </w:r>
      <w:r w:rsidRPr="008516D1">
        <w:t>balistique</w:t>
      </w:r>
      <w:r>
        <w:t xml:space="preserve"> </w:t>
      </w:r>
      <w:r w:rsidRPr="008516D1">
        <w:t>d</w:t>
      </w:r>
      <w:r>
        <w:t>’</w:t>
      </w:r>
      <w:r w:rsidRPr="008516D1">
        <w:t>Interpol</w:t>
      </w:r>
      <w:bookmarkEnd w:id="21"/>
      <w:r w:rsidRPr="008516D1">
        <w:rPr>
          <w:rStyle w:val="Appelnotedebasdep"/>
        </w:rPr>
        <w:footnoteReference w:id="58"/>
      </w:r>
      <w:r w:rsidRPr="008516D1">
        <w:t>.</w:t>
      </w:r>
    </w:p>
    <w:p w14:paraId="194B8680" w14:textId="096D71EE" w:rsidR="00286956" w:rsidRPr="008516D1" w:rsidRDefault="00286956" w:rsidP="0013732F">
      <w:pPr>
        <w:pStyle w:val="SingleTxtG"/>
      </w:pPr>
      <w:r w:rsidRPr="008516D1">
        <w:t>38.</w:t>
      </w:r>
      <w:r w:rsidRPr="008516D1">
        <w:tab/>
        <w:t>En</w:t>
      </w:r>
      <w:r>
        <w:t xml:space="preserve"> </w:t>
      </w:r>
      <w:r w:rsidRPr="008516D1">
        <w:t>avril</w:t>
      </w:r>
      <w:r>
        <w:t xml:space="preserve"> </w:t>
      </w:r>
      <w:r w:rsidRPr="008516D1">
        <w:t>2019,</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une</w:t>
      </w:r>
      <w:r>
        <w:t xml:space="preserve"> </w:t>
      </w:r>
      <w:r w:rsidR="00A647FA">
        <w:t>u</w:t>
      </w:r>
      <w:r w:rsidRPr="008516D1">
        <w:t>nité</w:t>
      </w:r>
      <w:r>
        <w:t xml:space="preserve"> </w:t>
      </w:r>
      <w:r w:rsidRPr="008516D1">
        <w:t>chargée</w:t>
      </w:r>
      <w:r>
        <w:t xml:space="preserve"> </w:t>
      </w:r>
      <w:r w:rsidRPr="008516D1">
        <w:t>du</w:t>
      </w:r>
      <w:r>
        <w:t xml:space="preserve"> </w:t>
      </w:r>
      <w:r w:rsidRPr="008516D1">
        <w:t>suivi</w:t>
      </w:r>
      <w:r>
        <w:t xml:space="preserve"> </w:t>
      </w:r>
      <w:r w:rsidRPr="008516D1">
        <w:t>des</w:t>
      </w:r>
      <w:r>
        <w:t xml:space="preserve"> </w:t>
      </w:r>
      <w:r w:rsidRPr="008516D1">
        <w:t>signalements</w:t>
      </w:r>
      <w:r>
        <w:t xml:space="preserve"> </w:t>
      </w:r>
      <w:r w:rsidRPr="008516D1">
        <w:t>de</w:t>
      </w:r>
      <w:r>
        <w:t xml:space="preserve"> </w:t>
      </w:r>
      <w:r w:rsidRPr="008516D1">
        <w:t>personnes</w:t>
      </w:r>
      <w:r>
        <w:t xml:space="preserve"> </w:t>
      </w:r>
      <w:r w:rsidRPr="008516D1">
        <w:t>disparues.</w:t>
      </w:r>
      <w:r>
        <w:t xml:space="preserve"> </w:t>
      </w:r>
      <w:r w:rsidRPr="008516D1">
        <w:t>Rattachée</w:t>
      </w:r>
      <w:r>
        <w:t xml:space="preserve"> </w:t>
      </w:r>
      <w:r w:rsidRPr="008516D1">
        <w:t>au</w:t>
      </w:r>
      <w:r>
        <w:t xml:space="preserve"> </w:t>
      </w:r>
      <w:r w:rsidRPr="008516D1">
        <w:t>Bureau</w:t>
      </w:r>
      <w:r>
        <w:t xml:space="preserve"> </w:t>
      </w:r>
      <w:r w:rsidRPr="008516D1">
        <w:t>central</w:t>
      </w:r>
      <w:r>
        <w:t xml:space="preserve"> </w:t>
      </w:r>
      <w:r w:rsidRPr="008516D1">
        <w:t>national</w:t>
      </w:r>
      <w:r>
        <w:t xml:space="preserve"> </w:t>
      </w:r>
      <w:r w:rsidRPr="008516D1">
        <w:t>de</w:t>
      </w:r>
      <w:r>
        <w:t xml:space="preserve"> </w:t>
      </w:r>
      <w:r w:rsidRPr="008516D1">
        <w:t>l</w:t>
      </w:r>
      <w:r>
        <w:t>’</w:t>
      </w:r>
      <w:r w:rsidRPr="008516D1">
        <w:t>Organisation</w:t>
      </w:r>
      <w:r>
        <w:t xml:space="preserve"> </w:t>
      </w:r>
      <w:r w:rsidRPr="008516D1">
        <w:t>internationale</w:t>
      </w:r>
      <w:r>
        <w:t xml:space="preserve"> </w:t>
      </w:r>
      <w:r w:rsidRPr="008516D1">
        <w:t>de</w:t>
      </w:r>
      <w:r>
        <w:t xml:space="preserve"> </w:t>
      </w:r>
      <w:r w:rsidRPr="008516D1">
        <w:t>police</w:t>
      </w:r>
      <w:r>
        <w:t xml:space="preserve"> </w:t>
      </w:r>
      <w:r w:rsidRPr="008516D1">
        <w:t>criminelle</w:t>
      </w:r>
      <w:r>
        <w:t xml:space="preserve"> </w:t>
      </w:r>
      <w:r w:rsidRPr="008516D1">
        <w:t>(Interpol)</w:t>
      </w:r>
      <w:r>
        <w:t xml:space="preserve"> </w:t>
      </w:r>
      <w:r w:rsidRPr="008516D1">
        <w:t>au</w:t>
      </w:r>
      <w:r>
        <w:t xml:space="preserve"> </w:t>
      </w:r>
      <w:r w:rsidRPr="008516D1">
        <w:t>Honduras,</w:t>
      </w:r>
      <w:r>
        <w:t xml:space="preserve"> </w:t>
      </w:r>
      <w:r w:rsidRPr="008516D1">
        <w:t>elle</w:t>
      </w:r>
      <w:r>
        <w:t xml:space="preserve"> </w:t>
      </w:r>
      <w:r w:rsidRPr="008516D1">
        <w:t>traite</w:t>
      </w:r>
      <w:r>
        <w:t xml:space="preserve"> </w:t>
      </w:r>
      <w:r w:rsidRPr="008516D1">
        <w:t>les</w:t>
      </w:r>
      <w:r>
        <w:t xml:space="preserve"> </w:t>
      </w:r>
      <w:r w:rsidRPr="008516D1">
        <w:t>signalements</w:t>
      </w:r>
      <w:r>
        <w:t xml:space="preserve"> </w:t>
      </w:r>
      <w:r w:rsidRPr="008516D1">
        <w:t>de</w:t>
      </w:r>
      <w:r>
        <w:t xml:space="preserve"> </w:t>
      </w:r>
      <w:r w:rsidRPr="008516D1">
        <w:t>personnes</w:t>
      </w:r>
      <w:r>
        <w:t xml:space="preserve"> </w:t>
      </w:r>
      <w:r w:rsidRPr="008516D1">
        <w:t>disparues</w:t>
      </w:r>
      <w:r>
        <w:t xml:space="preserve"> </w:t>
      </w:r>
      <w:r w:rsidRPr="008516D1">
        <w:t>pour</w:t>
      </w:r>
      <w:r>
        <w:t xml:space="preserve"> </w:t>
      </w:r>
      <w:r w:rsidRPr="008516D1">
        <w:t>raisons</w:t>
      </w:r>
      <w:r>
        <w:t xml:space="preserve"> </w:t>
      </w:r>
      <w:r w:rsidRPr="008516D1">
        <w:t>diverses</w:t>
      </w:r>
      <w:r>
        <w:t xml:space="preserve"> </w:t>
      </w:r>
      <w:r w:rsidRPr="008516D1">
        <w:t>et</w:t>
      </w:r>
      <w:r>
        <w:t xml:space="preserve"> </w:t>
      </w:r>
      <w:r w:rsidRPr="008516D1">
        <w:t>transmet</w:t>
      </w:r>
      <w:r>
        <w:t xml:space="preserve"> </w:t>
      </w:r>
      <w:r w:rsidRPr="008516D1">
        <w:t>les</w:t>
      </w:r>
      <w:r>
        <w:t xml:space="preserve"> </w:t>
      </w:r>
      <w:r w:rsidRPr="008516D1">
        <w:t>dossiers</w:t>
      </w:r>
      <w:r>
        <w:t xml:space="preserve"> </w:t>
      </w:r>
      <w:r w:rsidRPr="008516D1">
        <w:t>au</w:t>
      </w:r>
      <w:r>
        <w:t xml:space="preserve"> </w:t>
      </w:r>
      <w:r w:rsidRPr="008516D1">
        <w:t>ministère</w:t>
      </w:r>
      <w:r>
        <w:t xml:space="preserve"> </w:t>
      </w:r>
      <w:r w:rsidRPr="008516D1">
        <w:t>public</w:t>
      </w:r>
      <w:r>
        <w:t xml:space="preserve"> </w:t>
      </w:r>
      <w:r w:rsidRPr="008516D1">
        <w:t>via</w:t>
      </w:r>
      <w:r>
        <w:t xml:space="preserve"> </w:t>
      </w:r>
      <w:r w:rsidRPr="008516D1">
        <w:t>les</w:t>
      </w:r>
      <w:r>
        <w:t xml:space="preserve"> </w:t>
      </w:r>
      <w:r w:rsidRPr="008516D1">
        <w:t>parquets</w:t>
      </w:r>
      <w:r>
        <w:t xml:space="preserve"> </w:t>
      </w:r>
      <w:r w:rsidRPr="008516D1">
        <w:t>et</w:t>
      </w:r>
      <w:r>
        <w:t xml:space="preserve"> </w:t>
      </w:r>
      <w:r w:rsidRPr="008516D1">
        <w:t>les</w:t>
      </w:r>
      <w:r>
        <w:t xml:space="preserve"> </w:t>
      </w:r>
      <w:r w:rsidRPr="008516D1">
        <w:t>organismes</w:t>
      </w:r>
      <w:r>
        <w:t xml:space="preserve"> </w:t>
      </w:r>
      <w:r w:rsidRPr="008516D1">
        <w:t>d</w:t>
      </w:r>
      <w:r>
        <w:t>’</w:t>
      </w:r>
      <w:r w:rsidRPr="008516D1">
        <w:t>enquête</w:t>
      </w:r>
      <w:r>
        <w:t xml:space="preserve"> </w:t>
      </w:r>
      <w:r w:rsidRPr="008516D1">
        <w:t>désignés</w:t>
      </w:r>
      <w:r>
        <w:t xml:space="preserve"> </w:t>
      </w:r>
      <w:r w:rsidRPr="008516D1">
        <w:t>à</w:t>
      </w:r>
      <w:r>
        <w:t xml:space="preserve"> </w:t>
      </w:r>
      <w:r w:rsidRPr="008516D1">
        <w:t>cet</w:t>
      </w:r>
      <w:r>
        <w:t xml:space="preserve"> </w:t>
      </w:r>
      <w:r w:rsidRPr="008516D1">
        <w:t>effet.</w:t>
      </w:r>
    </w:p>
    <w:p w14:paraId="0173A449" w14:textId="32753B22" w:rsidR="00286956" w:rsidRPr="008516D1" w:rsidRDefault="00286956" w:rsidP="0013732F">
      <w:pPr>
        <w:pStyle w:val="SingleTxtG"/>
        <w:rPr>
          <w:color w:val="002060"/>
        </w:rPr>
      </w:pPr>
      <w:r w:rsidRPr="008516D1">
        <w:t>39.</w:t>
      </w:r>
      <w:r w:rsidRPr="008516D1">
        <w:tab/>
        <w:t>Depuis</w:t>
      </w:r>
      <w:r>
        <w:t xml:space="preserve"> </w:t>
      </w:r>
      <w:r w:rsidRPr="008516D1">
        <w:t>sa</w:t>
      </w:r>
      <w:r>
        <w:t xml:space="preserve"> </w:t>
      </w:r>
      <w:r w:rsidRPr="008516D1">
        <w:t>création</w:t>
      </w:r>
      <w:r>
        <w:t xml:space="preserve"> </w:t>
      </w:r>
      <w:r w:rsidRPr="008516D1">
        <w:t>en</w:t>
      </w:r>
      <w:r>
        <w:t xml:space="preserve"> </w:t>
      </w:r>
      <w:r w:rsidRPr="008516D1">
        <w:t>2019</w:t>
      </w:r>
      <w:r>
        <w:t xml:space="preserve"> </w:t>
      </w:r>
      <w:r w:rsidRPr="008516D1">
        <w:t>jusqu</w:t>
      </w:r>
      <w:r>
        <w:t>’</w:t>
      </w:r>
      <w:r w:rsidRPr="008516D1">
        <w:t>à</w:t>
      </w:r>
      <w:r>
        <w:t xml:space="preserve"> </w:t>
      </w:r>
      <w:r w:rsidRPr="008516D1">
        <w:t>mai</w:t>
      </w:r>
      <w:r>
        <w:t xml:space="preserve"> </w:t>
      </w:r>
      <w:r w:rsidRPr="008516D1">
        <w:t>2021,</w:t>
      </w:r>
      <w:r>
        <w:t xml:space="preserve"> </w:t>
      </w:r>
      <w:r w:rsidRPr="008516D1">
        <w:t>l</w:t>
      </w:r>
      <w:r>
        <w:t>’</w:t>
      </w:r>
      <w:r w:rsidRPr="008516D1">
        <w:t>unité</w:t>
      </w:r>
      <w:r>
        <w:t xml:space="preserve"> </w:t>
      </w:r>
      <w:r w:rsidRPr="008516D1">
        <w:t>précitée</w:t>
      </w:r>
      <w:r>
        <w:t xml:space="preserve"> </w:t>
      </w:r>
      <w:r w:rsidRPr="008516D1">
        <w:t>a</w:t>
      </w:r>
      <w:r>
        <w:t xml:space="preserve"> </w:t>
      </w:r>
      <w:r w:rsidRPr="008516D1">
        <w:t>enregistré</w:t>
      </w:r>
      <w:r>
        <w:t xml:space="preserve"> </w:t>
      </w:r>
      <w:r w:rsidRPr="008516D1">
        <w:t>2</w:t>
      </w:r>
      <w:r w:rsidR="00A74554">
        <w:t> </w:t>
      </w:r>
      <w:r w:rsidRPr="008516D1">
        <w:t>478</w:t>
      </w:r>
      <w:r>
        <w:t xml:space="preserve"> </w:t>
      </w:r>
      <w:r w:rsidRPr="008516D1">
        <w:t>signalements</w:t>
      </w:r>
      <w:r>
        <w:t xml:space="preserve"> </w:t>
      </w:r>
      <w:r w:rsidRPr="008516D1">
        <w:t>de</w:t>
      </w:r>
      <w:r>
        <w:t xml:space="preserve"> </w:t>
      </w:r>
      <w:r w:rsidRPr="008516D1">
        <w:t>personnes</w:t>
      </w:r>
      <w:r>
        <w:t xml:space="preserve"> </w:t>
      </w:r>
      <w:r w:rsidRPr="008516D1">
        <w:t>disparues.</w:t>
      </w:r>
      <w:r>
        <w:t xml:space="preserve"> </w:t>
      </w:r>
      <w:r w:rsidRPr="008516D1">
        <w:t>Les</w:t>
      </w:r>
      <w:r>
        <w:t xml:space="preserve"> </w:t>
      </w:r>
      <w:r w:rsidRPr="008516D1">
        <w:t>actes</w:t>
      </w:r>
      <w:r>
        <w:t xml:space="preserve"> </w:t>
      </w:r>
      <w:r w:rsidRPr="008516D1">
        <w:t>de</w:t>
      </w:r>
      <w:r>
        <w:t xml:space="preserve"> </w:t>
      </w:r>
      <w:r w:rsidRPr="008516D1">
        <w:t>procédure</w:t>
      </w:r>
      <w:r>
        <w:t xml:space="preserve"> </w:t>
      </w:r>
      <w:r w:rsidRPr="008516D1">
        <w:t>effectués</w:t>
      </w:r>
      <w:r>
        <w:t xml:space="preserve"> </w:t>
      </w:r>
      <w:r w:rsidRPr="008516D1">
        <w:t>ont</w:t>
      </w:r>
      <w:r>
        <w:t xml:space="preserve"> </w:t>
      </w:r>
      <w:r w:rsidRPr="008516D1">
        <w:t>permis</w:t>
      </w:r>
      <w:r>
        <w:t xml:space="preserve"> </w:t>
      </w:r>
      <w:r w:rsidRPr="008516D1">
        <w:t>de</w:t>
      </w:r>
      <w:r>
        <w:t xml:space="preserve"> </w:t>
      </w:r>
      <w:r w:rsidRPr="008516D1">
        <w:t>localiser</w:t>
      </w:r>
      <w:r>
        <w:t xml:space="preserve"> </w:t>
      </w:r>
      <w:r w:rsidRPr="008516D1">
        <w:t>1</w:t>
      </w:r>
      <w:r w:rsidR="00A74554">
        <w:t> </w:t>
      </w:r>
      <w:r w:rsidRPr="008516D1">
        <w:t>632</w:t>
      </w:r>
      <w:r>
        <w:t xml:space="preserve"> </w:t>
      </w:r>
      <w:r w:rsidRPr="008516D1">
        <w:t>personnes</w:t>
      </w:r>
      <w:r>
        <w:t xml:space="preserve"> </w:t>
      </w:r>
      <w:r w:rsidRPr="008516D1">
        <w:t>et</w:t>
      </w:r>
      <w:r>
        <w:t xml:space="preserve"> </w:t>
      </w:r>
      <w:r w:rsidRPr="008516D1">
        <w:t>d</w:t>
      </w:r>
      <w:r>
        <w:t>’</w:t>
      </w:r>
      <w:r w:rsidRPr="008516D1">
        <w:t>établir</w:t>
      </w:r>
      <w:r>
        <w:t xml:space="preserve"> </w:t>
      </w:r>
      <w:r w:rsidRPr="008516D1">
        <w:t>le</w:t>
      </w:r>
      <w:r>
        <w:t xml:space="preserve"> </w:t>
      </w:r>
      <w:r w:rsidRPr="008516D1">
        <w:t>décès</w:t>
      </w:r>
      <w:r>
        <w:t xml:space="preserve"> </w:t>
      </w:r>
      <w:r w:rsidRPr="008516D1">
        <w:t>présumé</w:t>
      </w:r>
      <w:r>
        <w:t xml:space="preserve"> </w:t>
      </w:r>
      <w:r w:rsidRPr="008516D1">
        <w:t>de</w:t>
      </w:r>
      <w:r>
        <w:t xml:space="preserve"> </w:t>
      </w:r>
      <w:r w:rsidRPr="008516D1">
        <w:t>60</w:t>
      </w:r>
      <w:r w:rsidR="00A74554">
        <w:t> </w:t>
      </w:r>
      <w:r w:rsidRPr="008516D1">
        <w:t>personnes.</w:t>
      </w:r>
      <w:r>
        <w:t xml:space="preserve"> </w:t>
      </w:r>
      <w:r w:rsidRPr="008516D1">
        <w:t>Les</w:t>
      </w:r>
      <w:r>
        <w:t xml:space="preserve"> </w:t>
      </w:r>
      <w:r w:rsidRPr="008516D1">
        <w:t>enquêtes</w:t>
      </w:r>
      <w:r>
        <w:t xml:space="preserve"> </w:t>
      </w:r>
      <w:r w:rsidRPr="008516D1">
        <w:t>se</w:t>
      </w:r>
      <w:r>
        <w:t xml:space="preserve"> </w:t>
      </w:r>
      <w:r w:rsidRPr="008516D1">
        <w:t>poursuivent</w:t>
      </w:r>
      <w:r>
        <w:t xml:space="preserve"> </w:t>
      </w:r>
      <w:r w:rsidRPr="008516D1">
        <w:t>pour</w:t>
      </w:r>
      <w:r>
        <w:t xml:space="preserve"> </w:t>
      </w:r>
      <w:r w:rsidRPr="008516D1">
        <w:t>les</w:t>
      </w:r>
      <w:r>
        <w:t xml:space="preserve"> </w:t>
      </w:r>
      <w:r w:rsidRPr="008516D1">
        <w:t>786</w:t>
      </w:r>
      <w:r w:rsidR="00A74554">
        <w:t> </w:t>
      </w:r>
      <w:r w:rsidRPr="008516D1">
        <w:t>personnes</w:t>
      </w:r>
      <w:r>
        <w:t xml:space="preserve"> </w:t>
      </w:r>
      <w:r w:rsidRPr="008516D1">
        <w:t>qui</w:t>
      </w:r>
      <w:r>
        <w:t xml:space="preserve"> </w:t>
      </w:r>
      <w:r w:rsidRPr="008516D1">
        <w:t>n</w:t>
      </w:r>
      <w:r>
        <w:t>’</w:t>
      </w:r>
      <w:r w:rsidRPr="008516D1">
        <w:t>ont</w:t>
      </w:r>
      <w:r>
        <w:t xml:space="preserve"> </w:t>
      </w:r>
      <w:r w:rsidRPr="008516D1">
        <w:t>pas</w:t>
      </w:r>
      <w:r>
        <w:t xml:space="preserve"> </w:t>
      </w:r>
      <w:r w:rsidRPr="008516D1">
        <w:t>été</w:t>
      </w:r>
      <w:r>
        <w:t xml:space="preserve"> </w:t>
      </w:r>
      <w:r w:rsidRPr="008516D1">
        <w:t>localisées.</w:t>
      </w:r>
    </w:p>
    <w:p w14:paraId="4C723872" w14:textId="481CDD9F" w:rsidR="00286956" w:rsidRPr="008516D1" w:rsidRDefault="00286956" w:rsidP="0013732F">
      <w:pPr>
        <w:pStyle w:val="SingleTxtG"/>
      </w:pPr>
      <w:r w:rsidRPr="008516D1">
        <w:t>40.</w:t>
      </w:r>
      <w:r w:rsidRPr="008516D1">
        <w:tab/>
        <w:t>Dans</w:t>
      </w:r>
      <w:r>
        <w:t xml:space="preserve"> </w:t>
      </w:r>
      <w:r w:rsidRPr="008516D1">
        <w:t>le</w:t>
      </w:r>
      <w:r>
        <w:t xml:space="preserve"> </w:t>
      </w:r>
      <w:r w:rsidRPr="008516D1">
        <w:t>cas</w:t>
      </w:r>
      <w:r>
        <w:t xml:space="preserve"> </w:t>
      </w:r>
      <w:r w:rsidRPr="008516D1">
        <w:t>des</w:t>
      </w:r>
      <w:r>
        <w:t xml:space="preserve"> </w:t>
      </w:r>
      <w:r w:rsidRPr="008516D1">
        <w:t>1</w:t>
      </w:r>
      <w:r w:rsidR="00A74554">
        <w:t> </w:t>
      </w:r>
      <w:r w:rsidRPr="008516D1">
        <w:t>632</w:t>
      </w:r>
      <w:r>
        <w:t xml:space="preserve"> </w:t>
      </w:r>
      <w:r w:rsidRPr="008516D1">
        <w:t>personnes</w:t>
      </w:r>
      <w:r>
        <w:t xml:space="preserve"> </w:t>
      </w:r>
      <w:r w:rsidRPr="008516D1">
        <w:t>portées</w:t>
      </w:r>
      <w:r>
        <w:t xml:space="preserve"> </w:t>
      </w:r>
      <w:r w:rsidRPr="008516D1">
        <w:t>disparues</w:t>
      </w:r>
      <w:r>
        <w:t xml:space="preserve"> </w:t>
      </w:r>
      <w:r w:rsidRPr="008516D1">
        <w:t>qui</w:t>
      </w:r>
      <w:r>
        <w:t xml:space="preserve"> </w:t>
      </w:r>
      <w:r w:rsidRPr="008516D1">
        <w:t>ont</w:t>
      </w:r>
      <w:r>
        <w:t xml:space="preserve"> </w:t>
      </w:r>
      <w:r w:rsidRPr="008516D1">
        <w:t>été</w:t>
      </w:r>
      <w:r>
        <w:t xml:space="preserve"> </w:t>
      </w:r>
      <w:r w:rsidRPr="008516D1">
        <w:t>localisées,</w:t>
      </w:r>
      <w:r>
        <w:t xml:space="preserve"> </w:t>
      </w:r>
      <w:r w:rsidRPr="008516D1">
        <w:t>leur</w:t>
      </w:r>
      <w:r>
        <w:t xml:space="preserve"> </w:t>
      </w:r>
      <w:r w:rsidRPr="008516D1">
        <w:t>disparition</w:t>
      </w:r>
      <w:r>
        <w:t xml:space="preserve"> </w:t>
      </w:r>
      <w:r w:rsidRPr="008516D1">
        <w:t>était</w:t>
      </w:r>
      <w:r>
        <w:t xml:space="preserve"> </w:t>
      </w:r>
      <w:r w:rsidRPr="008516D1">
        <w:t>soit</w:t>
      </w:r>
      <w:r>
        <w:t xml:space="preserve"> </w:t>
      </w:r>
      <w:r w:rsidRPr="008516D1">
        <w:t>volontaire,</w:t>
      </w:r>
      <w:r>
        <w:t xml:space="preserve"> </w:t>
      </w:r>
      <w:r w:rsidRPr="008516D1">
        <w:t>soit</w:t>
      </w:r>
      <w:r>
        <w:t xml:space="preserve"> </w:t>
      </w:r>
      <w:r w:rsidRPr="008516D1">
        <w:t>associée</w:t>
      </w:r>
      <w:r>
        <w:t xml:space="preserve"> </w:t>
      </w:r>
      <w:r w:rsidRPr="008516D1">
        <w:t>à</w:t>
      </w:r>
      <w:r>
        <w:t xml:space="preserve"> </w:t>
      </w:r>
      <w:r w:rsidRPr="008516D1">
        <w:t>des</w:t>
      </w:r>
      <w:r>
        <w:t xml:space="preserve"> </w:t>
      </w:r>
      <w:r w:rsidRPr="008516D1">
        <w:t>raisons</w:t>
      </w:r>
      <w:r>
        <w:t xml:space="preserve"> </w:t>
      </w:r>
      <w:r w:rsidRPr="008516D1">
        <w:t>sentimentales,</w:t>
      </w:r>
      <w:r>
        <w:t xml:space="preserve"> </w:t>
      </w:r>
      <w:r w:rsidRPr="008516D1">
        <w:t>à</w:t>
      </w:r>
      <w:r>
        <w:t xml:space="preserve"> </w:t>
      </w:r>
      <w:r w:rsidRPr="008516D1">
        <w:t>une</w:t>
      </w:r>
      <w:r>
        <w:t xml:space="preserve"> </w:t>
      </w:r>
      <w:r w:rsidRPr="008516D1">
        <w:t>migration,</w:t>
      </w:r>
      <w:r>
        <w:t xml:space="preserve"> </w:t>
      </w:r>
      <w:r w:rsidRPr="008516D1">
        <w:t>à</w:t>
      </w:r>
      <w:r>
        <w:t xml:space="preserve"> </w:t>
      </w:r>
      <w:r w:rsidRPr="008516D1">
        <w:t>des</w:t>
      </w:r>
      <w:r>
        <w:t xml:space="preserve"> </w:t>
      </w:r>
      <w:r w:rsidRPr="008516D1">
        <w:t>problèmes</w:t>
      </w:r>
      <w:r>
        <w:t xml:space="preserve"> </w:t>
      </w:r>
      <w:r w:rsidRPr="008516D1">
        <w:t>de</w:t>
      </w:r>
      <w:r>
        <w:t xml:space="preserve"> </w:t>
      </w:r>
      <w:r w:rsidRPr="008516D1">
        <w:t>santé</w:t>
      </w:r>
      <w:r>
        <w:t xml:space="preserve"> </w:t>
      </w:r>
      <w:r w:rsidRPr="008516D1">
        <w:t>mentale,</w:t>
      </w:r>
      <w:r>
        <w:t xml:space="preserve"> </w:t>
      </w:r>
      <w:r w:rsidRPr="008516D1">
        <w:t>à</w:t>
      </w:r>
      <w:r>
        <w:t xml:space="preserve"> </w:t>
      </w:r>
      <w:r w:rsidRPr="008516D1">
        <w:t>une</w:t>
      </w:r>
      <w:r>
        <w:t xml:space="preserve"> </w:t>
      </w:r>
      <w:r w:rsidRPr="008516D1">
        <w:t>détention</w:t>
      </w:r>
      <w:r>
        <w:t xml:space="preserve"> </w:t>
      </w:r>
      <w:r w:rsidRPr="008516D1">
        <w:t>et</w:t>
      </w:r>
      <w:r>
        <w:t xml:space="preserve"> </w:t>
      </w:r>
      <w:r w:rsidRPr="008516D1">
        <w:t>à</w:t>
      </w:r>
      <w:r>
        <w:t xml:space="preserve"> </w:t>
      </w:r>
      <w:r w:rsidRPr="008516D1">
        <w:t>un</w:t>
      </w:r>
      <w:r>
        <w:t xml:space="preserve"> </w:t>
      </w:r>
      <w:r w:rsidRPr="008516D1">
        <w:t>enlèvement.</w:t>
      </w:r>
      <w:r>
        <w:t xml:space="preserve"> </w:t>
      </w:r>
      <w:r w:rsidRPr="008516D1">
        <w:t>Les</w:t>
      </w:r>
      <w:r>
        <w:t xml:space="preserve"> </w:t>
      </w:r>
      <w:r w:rsidRPr="008516D1">
        <w:t>signalements</w:t>
      </w:r>
      <w:r>
        <w:t xml:space="preserve"> </w:t>
      </w:r>
      <w:r w:rsidRPr="008516D1">
        <w:t>pour</w:t>
      </w:r>
      <w:r>
        <w:t xml:space="preserve"> </w:t>
      </w:r>
      <w:r w:rsidRPr="008516D1">
        <w:t>disparition</w:t>
      </w:r>
      <w:r>
        <w:t xml:space="preserve"> </w:t>
      </w:r>
      <w:r w:rsidRPr="008516D1">
        <w:t>reçus</w:t>
      </w:r>
      <w:r>
        <w:t xml:space="preserve"> </w:t>
      </w:r>
      <w:r w:rsidRPr="008516D1">
        <w:t>ces</w:t>
      </w:r>
      <w:r>
        <w:t xml:space="preserve"> </w:t>
      </w:r>
      <w:r w:rsidRPr="008516D1">
        <w:t>dernières</w:t>
      </w:r>
      <w:r>
        <w:t xml:space="preserve"> </w:t>
      </w:r>
      <w:r w:rsidRPr="008516D1">
        <w:t>années</w:t>
      </w:r>
      <w:r>
        <w:t xml:space="preserve"> </w:t>
      </w:r>
      <w:r w:rsidRPr="008516D1">
        <w:t>sont</w:t>
      </w:r>
      <w:r>
        <w:t xml:space="preserve"> </w:t>
      </w:r>
      <w:r w:rsidRPr="008516D1">
        <w:t>détaillés</w:t>
      </w:r>
      <w:r>
        <w:t xml:space="preserve"> </w:t>
      </w:r>
      <w:r w:rsidRPr="008516D1">
        <w:t>ci-après.</w:t>
      </w:r>
    </w:p>
    <w:tbl>
      <w:tblPr>
        <w:tblW w:w="7370" w:type="dxa"/>
        <w:tblInd w:w="1134" w:type="dxa"/>
        <w:tblLayout w:type="fixed"/>
        <w:tblCellMar>
          <w:left w:w="0" w:type="dxa"/>
          <w:right w:w="0" w:type="dxa"/>
        </w:tblCellMar>
        <w:tblLook w:val="04A0" w:firstRow="1" w:lastRow="0" w:firstColumn="1" w:lastColumn="0" w:noHBand="0" w:noVBand="1"/>
      </w:tblPr>
      <w:tblGrid>
        <w:gridCol w:w="626"/>
        <w:gridCol w:w="1498"/>
        <w:gridCol w:w="999"/>
        <w:gridCol w:w="830"/>
        <w:gridCol w:w="920"/>
        <w:gridCol w:w="999"/>
        <w:gridCol w:w="1498"/>
      </w:tblGrid>
      <w:tr w:rsidR="00286956" w:rsidRPr="0013732F" w14:paraId="06C14DE7" w14:textId="77777777" w:rsidTr="00A647FA">
        <w:trPr>
          <w:tblHeader/>
        </w:trPr>
        <w:tc>
          <w:tcPr>
            <w:tcW w:w="7370" w:type="dxa"/>
            <w:gridSpan w:val="7"/>
            <w:tcBorders>
              <w:top w:val="single" w:sz="4" w:space="0" w:color="auto"/>
              <w:bottom w:val="single" w:sz="12" w:space="0" w:color="auto"/>
            </w:tcBorders>
            <w:shd w:val="clear" w:color="auto" w:fill="auto"/>
            <w:vAlign w:val="bottom"/>
          </w:tcPr>
          <w:p w14:paraId="54EC4288" w14:textId="46B861B8" w:rsidR="00286956" w:rsidRPr="0013732F" w:rsidRDefault="00286956" w:rsidP="0013732F">
            <w:pPr>
              <w:suppressAutoHyphens w:val="0"/>
              <w:spacing w:before="80" w:after="80" w:line="200" w:lineRule="exact"/>
              <w:rPr>
                <w:bCs/>
                <w:i/>
                <w:sz w:val="16"/>
              </w:rPr>
            </w:pPr>
            <w:r w:rsidRPr="0013732F">
              <w:rPr>
                <w:i/>
                <w:sz w:val="16"/>
              </w:rPr>
              <w:t>Signalements de personnes disparues, par sexe et par année</w:t>
            </w:r>
          </w:p>
        </w:tc>
      </w:tr>
      <w:tr w:rsidR="00286956" w:rsidRPr="0013732F" w14:paraId="2FB1E41B" w14:textId="77777777" w:rsidTr="00A647FA">
        <w:trPr>
          <w:tblHeader/>
        </w:trPr>
        <w:tc>
          <w:tcPr>
            <w:tcW w:w="626" w:type="dxa"/>
            <w:tcBorders>
              <w:top w:val="single" w:sz="12" w:space="0" w:color="auto"/>
            </w:tcBorders>
            <w:shd w:val="clear" w:color="auto" w:fill="auto"/>
          </w:tcPr>
          <w:p w14:paraId="40D63903" w14:textId="77777777" w:rsidR="00286956" w:rsidRPr="0013732F" w:rsidRDefault="00286956" w:rsidP="0013732F">
            <w:pPr>
              <w:suppressAutoHyphens w:val="0"/>
              <w:spacing w:before="40" w:after="40" w:line="220" w:lineRule="exact"/>
              <w:rPr>
                <w:b/>
                <w:bCs/>
                <w:sz w:val="18"/>
              </w:rPr>
            </w:pPr>
            <w:r w:rsidRPr="0013732F">
              <w:rPr>
                <w:b/>
                <w:bCs/>
                <w:sz w:val="18"/>
              </w:rPr>
              <w:t>Année</w:t>
            </w:r>
          </w:p>
        </w:tc>
        <w:tc>
          <w:tcPr>
            <w:tcW w:w="1498" w:type="dxa"/>
            <w:tcBorders>
              <w:top w:val="single" w:sz="12" w:space="0" w:color="auto"/>
            </w:tcBorders>
            <w:shd w:val="clear" w:color="auto" w:fill="auto"/>
          </w:tcPr>
          <w:p w14:paraId="7555F45D" w14:textId="77777777" w:rsidR="00286956" w:rsidRPr="0013732F" w:rsidRDefault="00286956" w:rsidP="0013732F">
            <w:pPr>
              <w:suppressAutoHyphens w:val="0"/>
              <w:spacing w:before="40" w:after="40" w:line="220" w:lineRule="exact"/>
              <w:jc w:val="right"/>
              <w:rPr>
                <w:b/>
                <w:bCs/>
                <w:sz w:val="18"/>
              </w:rPr>
            </w:pPr>
            <w:r w:rsidRPr="0013732F">
              <w:rPr>
                <w:b/>
                <w:bCs/>
                <w:sz w:val="18"/>
              </w:rPr>
              <w:t>Disparitions signalées</w:t>
            </w:r>
          </w:p>
        </w:tc>
        <w:tc>
          <w:tcPr>
            <w:tcW w:w="999" w:type="dxa"/>
            <w:tcBorders>
              <w:top w:val="single" w:sz="12" w:space="0" w:color="auto"/>
            </w:tcBorders>
            <w:shd w:val="clear" w:color="auto" w:fill="auto"/>
          </w:tcPr>
          <w:p w14:paraId="7D8C908A" w14:textId="77777777" w:rsidR="00286956" w:rsidRPr="0013732F" w:rsidRDefault="00286956" w:rsidP="0013732F">
            <w:pPr>
              <w:suppressAutoHyphens w:val="0"/>
              <w:spacing w:before="40" w:after="40" w:line="220" w:lineRule="exact"/>
              <w:jc w:val="right"/>
              <w:rPr>
                <w:b/>
                <w:bCs/>
                <w:sz w:val="18"/>
              </w:rPr>
            </w:pPr>
            <w:r w:rsidRPr="0013732F">
              <w:rPr>
                <w:b/>
                <w:bCs/>
                <w:sz w:val="18"/>
              </w:rPr>
              <w:t>Hommes</w:t>
            </w:r>
          </w:p>
        </w:tc>
        <w:tc>
          <w:tcPr>
            <w:tcW w:w="830" w:type="dxa"/>
            <w:tcBorders>
              <w:top w:val="single" w:sz="12" w:space="0" w:color="auto"/>
            </w:tcBorders>
            <w:shd w:val="clear" w:color="auto" w:fill="auto"/>
          </w:tcPr>
          <w:p w14:paraId="1491E89C" w14:textId="77777777" w:rsidR="00286956" w:rsidRPr="0013732F" w:rsidRDefault="00286956" w:rsidP="0013732F">
            <w:pPr>
              <w:suppressAutoHyphens w:val="0"/>
              <w:spacing w:before="40" w:after="40" w:line="220" w:lineRule="exact"/>
              <w:jc w:val="right"/>
              <w:rPr>
                <w:b/>
                <w:bCs/>
                <w:sz w:val="18"/>
              </w:rPr>
            </w:pPr>
            <w:r w:rsidRPr="0013732F">
              <w:rPr>
                <w:b/>
                <w:bCs/>
                <w:sz w:val="18"/>
              </w:rPr>
              <w:t>Femmes</w:t>
            </w:r>
          </w:p>
        </w:tc>
        <w:tc>
          <w:tcPr>
            <w:tcW w:w="920" w:type="dxa"/>
            <w:tcBorders>
              <w:top w:val="single" w:sz="12" w:space="0" w:color="auto"/>
            </w:tcBorders>
            <w:shd w:val="clear" w:color="auto" w:fill="auto"/>
          </w:tcPr>
          <w:p w14:paraId="3C95607E" w14:textId="77777777" w:rsidR="00286956" w:rsidRPr="0013732F" w:rsidRDefault="00286956" w:rsidP="0013732F">
            <w:pPr>
              <w:suppressAutoHyphens w:val="0"/>
              <w:spacing w:before="40" w:after="40" w:line="220" w:lineRule="exact"/>
              <w:jc w:val="right"/>
              <w:rPr>
                <w:b/>
                <w:bCs/>
                <w:sz w:val="18"/>
              </w:rPr>
            </w:pPr>
            <w:r w:rsidRPr="0013732F">
              <w:rPr>
                <w:b/>
                <w:bCs/>
                <w:sz w:val="18"/>
              </w:rPr>
              <w:t>Personnes retrouvées</w:t>
            </w:r>
          </w:p>
        </w:tc>
        <w:tc>
          <w:tcPr>
            <w:tcW w:w="999" w:type="dxa"/>
            <w:tcBorders>
              <w:top w:val="single" w:sz="12" w:space="0" w:color="auto"/>
            </w:tcBorders>
            <w:shd w:val="clear" w:color="auto" w:fill="auto"/>
          </w:tcPr>
          <w:p w14:paraId="49A3A7FA" w14:textId="77777777" w:rsidR="00286956" w:rsidRPr="0013732F" w:rsidRDefault="00286956" w:rsidP="0013732F">
            <w:pPr>
              <w:suppressAutoHyphens w:val="0"/>
              <w:spacing w:before="40" w:after="40" w:line="220" w:lineRule="exact"/>
              <w:jc w:val="right"/>
              <w:rPr>
                <w:b/>
                <w:bCs/>
                <w:sz w:val="18"/>
              </w:rPr>
            </w:pPr>
            <w:r w:rsidRPr="0013732F">
              <w:rPr>
                <w:b/>
                <w:bCs/>
                <w:sz w:val="18"/>
              </w:rPr>
              <w:t>Décès présumés</w:t>
            </w:r>
          </w:p>
        </w:tc>
        <w:tc>
          <w:tcPr>
            <w:tcW w:w="1498" w:type="dxa"/>
            <w:tcBorders>
              <w:top w:val="single" w:sz="12" w:space="0" w:color="auto"/>
            </w:tcBorders>
            <w:shd w:val="clear" w:color="auto" w:fill="auto"/>
          </w:tcPr>
          <w:p w14:paraId="266FF25F" w14:textId="77777777" w:rsidR="00286956" w:rsidRPr="0013732F" w:rsidRDefault="00286956" w:rsidP="0013732F">
            <w:pPr>
              <w:suppressAutoHyphens w:val="0"/>
              <w:spacing w:before="40" w:after="40" w:line="220" w:lineRule="exact"/>
              <w:jc w:val="right"/>
              <w:rPr>
                <w:b/>
                <w:bCs/>
                <w:sz w:val="18"/>
              </w:rPr>
            </w:pPr>
            <w:r w:rsidRPr="0013732F">
              <w:rPr>
                <w:b/>
                <w:bCs/>
                <w:sz w:val="18"/>
              </w:rPr>
              <w:t>Personnes non retrouvées</w:t>
            </w:r>
          </w:p>
        </w:tc>
      </w:tr>
      <w:tr w:rsidR="00286956" w:rsidRPr="0013732F" w14:paraId="485D23A6" w14:textId="77777777" w:rsidTr="0013732F">
        <w:tc>
          <w:tcPr>
            <w:tcW w:w="626" w:type="dxa"/>
            <w:shd w:val="clear" w:color="auto" w:fill="auto"/>
          </w:tcPr>
          <w:p w14:paraId="56889F1F" w14:textId="77777777" w:rsidR="00286956" w:rsidRPr="0013732F" w:rsidRDefault="00286956" w:rsidP="0013732F">
            <w:pPr>
              <w:suppressAutoHyphens w:val="0"/>
              <w:spacing w:before="40" w:after="40" w:line="220" w:lineRule="exact"/>
              <w:rPr>
                <w:b/>
                <w:bCs/>
                <w:sz w:val="18"/>
              </w:rPr>
            </w:pPr>
            <w:r w:rsidRPr="0013732F">
              <w:rPr>
                <w:b/>
                <w:bCs/>
                <w:sz w:val="18"/>
              </w:rPr>
              <w:t>2016</w:t>
            </w:r>
          </w:p>
        </w:tc>
        <w:tc>
          <w:tcPr>
            <w:tcW w:w="1498" w:type="dxa"/>
            <w:shd w:val="clear" w:color="auto" w:fill="auto"/>
          </w:tcPr>
          <w:p w14:paraId="524D54C2" w14:textId="77777777" w:rsidR="00286956" w:rsidRPr="0013732F" w:rsidRDefault="00286956" w:rsidP="0013732F">
            <w:pPr>
              <w:suppressAutoHyphens w:val="0"/>
              <w:spacing w:before="40" w:after="40" w:line="220" w:lineRule="exact"/>
              <w:jc w:val="right"/>
              <w:rPr>
                <w:sz w:val="18"/>
              </w:rPr>
            </w:pPr>
            <w:r w:rsidRPr="0013732F">
              <w:rPr>
                <w:sz w:val="18"/>
              </w:rPr>
              <w:t>774</w:t>
            </w:r>
          </w:p>
        </w:tc>
        <w:tc>
          <w:tcPr>
            <w:tcW w:w="999" w:type="dxa"/>
            <w:shd w:val="clear" w:color="auto" w:fill="auto"/>
          </w:tcPr>
          <w:p w14:paraId="7BB970E9" w14:textId="77777777" w:rsidR="00286956" w:rsidRPr="0013732F" w:rsidRDefault="00286956" w:rsidP="0013732F">
            <w:pPr>
              <w:suppressAutoHyphens w:val="0"/>
              <w:spacing w:before="40" w:after="40" w:line="220" w:lineRule="exact"/>
              <w:jc w:val="right"/>
              <w:rPr>
                <w:sz w:val="18"/>
              </w:rPr>
            </w:pPr>
            <w:r w:rsidRPr="0013732F">
              <w:rPr>
                <w:sz w:val="18"/>
              </w:rPr>
              <w:t>507</w:t>
            </w:r>
          </w:p>
        </w:tc>
        <w:tc>
          <w:tcPr>
            <w:tcW w:w="830" w:type="dxa"/>
            <w:shd w:val="clear" w:color="auto" w:fill="auto"/>
          </w:tcPr>
          <w:p w14:paraId="142DA411" w14:textId="77777777" w:rsidR="00286956" w:rsidRPr="0013732F" w:rsidRDefault="00286956" w:rsidP="0013732F">
            <w:pPr>
              <w:suppressAutoHyphens w:val="0"/>
              <w:spacing w:before="40" w:after="40" w:line="220" w:lineRule="exact"/>
              <w:jc w:val="right"/>
              <w:rPr>
                <w:sz w:val="18"/>
              </w:rPr>
            </w:pPr>
            <w:r w:rsidRPr="0013732F">
              <w:rPr>
                <w:sz w:val="18"/>
              </w:rPr>
              <w:t>267</w:t>
            </w:r>
          </w:p>
        </w:tc>
        <w:tc>
          <w:tcPr>
            <w:tcW w:w="920" w:type="dxa"/>
            <w:shd w:val="clear" w:color="auto" w:fill="auto"/>
          </w:tcPr>
          <w:p w14:paraId="35FBD8BF"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999" w:type="dxa"/>
            <w:shd w:val="clear" w:color="auto" w:fill="auto"/>
          </w:tcPr>
          <w:p w14:paraId="19B6F68C"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1498" w:type="dxa"/>
            <w:shd w:val="clear" w:color="auto" w:fill="auto"/>
          </w:tcPr>
          <w:p w14:paraId="1B1D2690" w14:textId="77777777" w:rsidR="00286956" w:rsidRPr="0013732F" w:rsidRDefault="00286956" w:rsidP="0013732F">
            <w:pPr>
              <w:suppressAutoHyphens w:val="0"/>
              <w:spacing w:before="40" w:after="40" w:line="220" w:lineRule="exact"/>
              <w:jc w:val="right"/>
              <w:rPr>
                <w:sz w:val="18"/>
              </w:rPr>
            </w:pPr>
            <w:r w:rsidRPr="0013732F">
              <w:rPr>
                <w:sz w:val="18"/>
              </w:rPr>
              <w:t>N/D</w:t>
            </w:r>
          </w:p>
        </w:tc>
      </w:tr>
      <w:tr w:rsidR="00286956" w:rsidRPr="0013732F" w14:paraId="210D3536" w14:textId="77777777" w:rsidTr="0013732F">
        <w:tc>
          <w:tcPr>
            <w:tcW w:w="626" w:type="dxa"/>
            <w:shd w:val="clear" w:color="auto" w:fill="auto"/>
          </w:tcPr>
          <w:p w14:paraId="382D8021" w14:textId="77777777" w:rsidR="00286956" w:rsidRPr="0013732F" w:rsidRDefault="00286956" w:rsidP="0013732F">
            <w:pPr>
              <w:suppressAutoHyphens w:val="0"/>
              <w:spacing w:before="40" w:after="40" w:line="220" w:lineRule="exact"/>
              <w:rPr>
                <w:b/>
                <w:bCs/>
                <w:sz w:val="18"/>
              </w:rPr>
            </w:pPr>
          </w:p>
        </w:tc>
        <w:tc>
          <w:tcPr>
            <w:tcW w:w="1498" w:type="dxa"/>
            <w:shd w:val="clear" w:color="auto" w:fill="auto"/>
          </w:tcPr>
          <w:p w14:paraId="44995040" w14:textId="77777777" w:rsidR="00286956" w:rsidRPr="0013732F" w:rsidRDefault="00286956" w:rsidP="0013732F">
            <w:pPr>
              <w:suppressAutoHyphens w:val="0"/>
              <w:spacing w:before="40" w:after="40" w:line="220" w:lineRule="exact"/>
              <w:jc w:val="right"/>
              <w:rPr>
                <w:sz w:val="18"/>
              </w:rPr>
            </w:pPr>
          </w:p>
        </w:tc>
        <w:tc>
          <w:tcPr>
            <w:tcW w:w="999" w:type="dxa"/>
            <w:shd w:val="clear" w:color="auto" w:fill="auto"/>
          </w:tcPr>
          <w:p w14:paraId="48A86E0F" w14:textId="77777777" w:rsidR="00286956" w:rsidRPr="0013732F" w:rsidRDefault="00286956" w:rsidP="0013732F">
            <w:pPr>
              <w:suppressAutoHyphens w:val="0"/>
              <w:spacing w:before="40" w:after="40" w:line="220" w:lineRule="exact"/>
              <w:jc w:val="right"/>
              <w:rPr>
                <w:sz w:val="18"/>
              </w:rPr>
            </w:pPr>
          </w:p>
        </w:tc>
        <w:tc>
          <w:tcPr>
            <w:tcW w:w="830" w:type="dxa"/>
            <w:shd w:val="clear" w:color="auto" w:fill="auto"/>
          </w:tcPr>
          <w:p w14:paraId="009301E1" w14:textId="77777777" w:rsidR="00286956" w:rsidRPr="0013732F" w:rsidRDefault="00286956" w:rsidP="0013732F">
            <w:pPr>
              <w:suppressAutoHyphens w:val="0"/>
              <w:spacing w:before="40" w:after="40" w:line="220" w:lineRule="exact"/>
              <w:jc w:val="right"/>
              <w:rPr>
                <w:sz w:val="18"/>
              </w:rPr>
            </w:pPr>
          </w:p>
        </w:tc>
        <w:tc>
          <w:tcPr>
            <w:tcW w:w="920" w:type="dxa"/>
            <w:shd w:val="clear" w:color="auto" w:fill="auto"/>
          </w:tcPr>
          <w:p w14:paraId="22BBD2B5" w14:textId="77777777" w:rsidR="00286956" w:rsidRPr="0013732F" w:rsidRDefault="00286956" w:rsidP="0013732F">
            <w:pPr>
              <w:suppressAutoHyphens w:val="0"/>
              <w:spacing w:before="40" w:after="40" w:line="220" w:lineRule="exact"/>
              <w:jc w:val="right"/>
              <w:rPr>
                <w:sz w:val="18"/>
              </w:rPr>
            </w:pPr>
          </w:p>
        </w:tc>
        <w:tc>
          <w:tcPr>
            <w:tcW w:w="999" w:type="dxa"/>
            <w:shd w:val="clear" w:color="auto" w:fill="auto"/>
          </w:tcPr>
          <w:p w14:paraId="1A8F258D" w14:textId="77777777" w:rsidR="00286956" w:rsidRPr="0013732F" w:rsidRDefault="00286956" w:rsidP="0013732F">
            <w:pPr>
              <w:suppressAutoHyphens w:val="0"/>
              <w:spacing w:before="40" w:after="40" w:line="220" w:lineRule="exact"/>
              <w:jc w:val="right"/>
              <w:rPr>
                <w:sz w:val="18"/>
              </w:rPr>
            </w:pPr>
          </w:p>
        </w:tc>
        <w:tc>
          <w:tcPr>
            <w:tcW w:w="1498" w:type="dxa"/>
            <w:shd w:val="clear" w:color="auto" w:fill="auto"/>
          </w:tcPr>
          <w:p w14:paraId="00A04F42" w14:textId="77777777" w:rsidR="00286956" w:rsidRPr="0013732F" w:rsidRDefault="00286956" w:rsidP="0013732F">
            <w:pPr>
              <w:suppressAutoHyphens w:val="0"/>
              <w:spacing w:before="40" w:after="40" w:line="220" w:lineRule="exact"/>
              <w:jc w:val="right"/>
              <w:rPr>
                <w:sz w:val="18"/>
              </w:rPr>
            </w:pPr>
          </w:p>
        </w:tc>
      </w:tr>
      <w:tr w:rsidR="00286956" w:rsidRPr="0013732F" w14:paraId="2E9D338E" w14:textId="77777777" w:rsidTr="0013732F">
        <w:tc>
          <w:tcPr>
            <w:tcW w:w="626" w:type="dxa"/>
            <w:shd w:val="clear" w:color="auto" w:fill="auto"/>
          </w:tcPr>
          <w:p w14:paraId="12BF2A7B" w14:textId="77777777" w:rsidR="00286956" w:rsidRPr="0013732F" w:rsidRDefault="00286956" w:rsidP="0013732F">
            <w:pPr>
              <w:suppressAutoHyphens w:val="0"/>
              <w:spacing w:before="40" w:after="40" w:line="220" w:lineRule="exact"/>
              <w:rPr>
                <w:b/>
                <w:bCs/>
                <w:sz w:val="18"/>
              </w:rPr>
            </w:pPr>
            <w:r w:rsidRPr="0013732F">
              <w:rPr>
                <w:b/>
                <w:bCs/>
                <w:sz w:val="18"/>
              </w:rPr>
              <w:t>2017</w:t>
            </w:r>
          </w:p>
        </w:tc>
        <w:tc>
          <w:tcPr>
            <w:tcW w:w="1498" w:type="dxa"/>
            <w:shd w:val="clear" w:color="auto" w:fill="auto"/>
          </w:tcPr>
          <w:p w14:paraId="4ACD6D73" w14:textId="77777777" w:rsidR="00286956" w:rsidRPr="0013732F" w:rsidRDefault="00286956" w:rsidP="0013732F">
            <w:pPr>
              <w:suppressAutoHyphens w:val="0"/>
              <w:spacing w:before="40" w:after="40" w:line="220" w:lineRule="exact"/>
              <w:jc w:val="right"/>
              <w:rPr>
                <w:sz w:val="18"/>
              </w:rPr>
            </w:pPr>
            <w:r w:rsidRPr="0013732F">
              <w:rPr>
                <w:sz w:val="18"/>
              </w:rPr>
              <w:t>793</w:t>
            </w:r>
          </w:p>
        </w:tc>
        <w:tc>
          <w:tcPr>
            <w:tcW w:w="999" w:type="dxa"/>
            <w:shd w:val="clear" w:color="auto" w:fill="auto"/>
          </w:tcPr>
          <w:p w14:paraId="45ECBA88" w14:textId="77777777" w:rsidR="00286956" w:rsidRPr="0013732F" w:rsidRDefault="00286956" w:rsidP="0013732F">
            <w:pPr>
              <w:suppressAutoHyphens w:val="0"/>
              <w:spacing w:before="40" w:after="40" w:line="220" w:lineRule="exact"/>
              <w:jc w:val="right"/>
              <w:rPr>
                <w:sz w:val="18"/>
              </w:rPr>
            </w:pPr>
            <w:r w:rsidRPr="0013732F">
              <w:rPr>
                <w:sz w:val="18"/>
              </w:rPr>
              <w:t>483</w:t>
            </w:r>
          </w:p>
        </w:tc>
        <w:tc>
          <w:tcPr>
            <w:tcW w:w="830" w:type="dxa"/>
            <w:shd w:val="clear" w:color="auto" w:fill="auto"/>
          </w:tcPr>
          <w:p w14:paraId="25BCC082" w14:textId="77777777" w:rsidR="00286956" w:rsidRPr="0013732F" w:rsidRDefault="00286956" w:rsidP="0013732F">
            <w:pPr>
              <w:suppressAutoHyphens w:val="0"/>
              <w:spacing w:before="40" w:after="40" w:line="220" w:lineRule="exact"/>
              <w:jc w:val="right"/>
              <w:rPr>
                <w:sz w:val="18"/>
              </w:rPr>
            </w:pPr>
            <w:r w:rsidRPr="0013732F">
              <w:rPr>
                <w:sz w:val="18"/>
              </w:rPr>
              <w:t>310</w:t>
            </w:r>
          </w:p>
        </w:tc>
        <w:tc>
          <w:tcPr>
            <w:tcW w:w="920" w:type="dxa"/>
            <w:shd w:val="clear" w:color="auto" w:fill="auto"/>
          </w:tcPr>
          <w:p w14:paraId="5532118B"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999" w:type="dxa"/>
            <w:shd w:val="clear" w:color="auto" w:fill="auto"/>
          </w:tcPr>
          <w:p w14:paraId="7CD7E4EC"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1498" w:type="dxa"/>
            <w:shd w:val="clear" w:color="auto" w:fill="auto"/>
          </w:tcPr>
          <w:p w14:paraId="0176335D" w14:textId="77777777" w:rsidR="00286956" w:rsidRPr="0013732F" w:rsidRDefault="00286956" w:rsidP="0013732F">
            <w:pPr>
              <w:suppressAutoHyphens w:val="0"/>
              <w:spacing w:before="40" w:after="40" w:line="220" w:lineRule="exact"/>
              <w:jc w:val="right"/>
              <w:rPr>
                <w:sz w:val="18"/>
              </w:rPr>
            </w:pPr>
            <w:r w:rsidRPr="0013732F">
              <w:rPr>
                <w:sz w:val="18"/>
              </w:rPr>
              <w:t>N/D</w:t>
            </w:r>
          </w:p>
        </w:tc>
      </w:tr>
      <w:tr w:rsidR="00286956" w:rsidRPr="0013732F" w14:paraId="43865C70" w14:textId="77777777" w:rsidTr="0013732F">
        <w:tc>
          <w:tcPr>
            <w:tcW w:w="626" w:type="dxa"/>
            <w:shd w:val="clear" w:color="auto" w:fill="auto"/>
          </w:tcPr>
          <w:p w14:paraId="5FCF8DFA" w14:textId="77777777" w:rsidR="00286956" w:rsidRPr="0013732F" w:rsidRDefault="00286956" w:rsidP="0013732F">
            <w:pPr>
              <w:suppressAutoHyphens w:val="0"/>
              <w:spacing w:before="40" w:after="40" w:line="220" w:lineRule="exact"/>
              <w:rPr>
                <w:b/>
                <w:bCs/>
                <w:sz w:val="18"/>
              </w:rPr>
            </w:pPr>
            <w:r w:rsidRPr="0013732F">
              <w:rPr>
                <w:b/>
                <w:bCs/>
                <w:sz w:val="18"/>
              </w:rPr>
              <w:t>2018</w:t>
            </w:r>
          </w:p>
        </w:tc>
        <w:tc>
          <w:tcPr>
            <w:tcW w:w="1498" w:type="dxa"/>
            <w:shd w:val="clear" w:color="auto" w:fill="auto"/>
          </w:tcPr>
          <w:p w14:paraId="3886886C" w14:textId="77777777" w:rsidR="00286956" w:rsidRPr="0013732F" w:rsidRDefault="00286956" w:rsidP="0013732F">
            <w:pPr>
              <w:suppressAutoHyphens w:val="0"/>
              <w:spacing w:before="40" w:after="40" w:line="220" w:lineRule="exact"/>
              <w:jc w:val="right"/>
              <w:rPr>
                <w:sz w:val="18"/>
              </w:rPr>
            </w:pPr>
            <w:r w:rsidRPr="0013732F">
              <w:rPr>
                <w:sz w:val="18"/>
              </w:rPr>
              <w:t>1 207</w:t>
            </w:r>
          </w:p>
        </w:tc>
        <w:tc>
          <w:tcPr>
            <w:tcW w:w="999" w:type="dxa"/>
            <w:shd w:val="clear" w:color="auto" w:fill="auto"/>
          </w:tcPr>
          <w:p w14:paraId="1C2C7C3D" w14:textId="77777777" w:rsidR="00286956" w:rsidRPr="0013732F" w:rsidRDefault="00286956" w:rsidP="0013732F">
            <w:pPr>
              <w:suppressAutoHyphens w:val="0"/>
              <w:spacing w:before="40" w:after="40" w:line="220" w:lineRule="exact"/>
              <w:jc w:val="right"/>
              <w:rPr>
                <w:sz w:val="18"/>
              </w:rPr>
            </w:pPr>
            <w:r w:rsidRPr="0013732F">
              <w:rPr>
                <w:sz w:val="18"/>
              </w:rPr>
              <w:t>772</w:t>
            </w:r>
          </w:p>
        </w:tc>
        <w:tc>
          <w:tcPr>
            <w:tcW w:w="830" w:type="dxa"/>
            <w:shd w:val="clear" w:color="auto" w:fill="auto"/>
          </w:tcPr>
          <w:p w14:paraId="71A7044D" w14:textId="77777777" w:rsidR="00286956" w:rsidRPr="0013732F" w:rsidRDefault="00286956" w:rsidP="0013732F">
            <w:pPr>
              <w:suppressAutoHyphens w:val="0"/>
              <w:spacing w:before="40" w:after="40" w:line="220" w:lineRule="exact"/>
              <w:jc w:val="right"/>
              <w:rPr>
                <w:sz w:val="18"/>
              </w:rPr>
            </w:pPr>
            <w:r w:rsidRPr="0013732F">
              <w:rPr>
                <w:sz w:val="18"/>
              </w:rPr>
              <w:t>435</w:t>
            </w:r>
          </w:p>
        </w:tc>
        <w:tc>
          <w:tcPr>
            <w:tcW w:w="920" w:type="dxa"/>
            <w:shd w:val="clear" w:color="auto" w:fill="auto"/>
          </w:tcPr>
          <w:p w14:paraId="2F5CFD81"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999" w:type="dxa"/>
            <w:shd w:val="clear" w:color="auto" w:fill="auto"/>
          </w:tcPr>
          <w:p w14:paraId="1D75F756" w14:textId="77777777" w:rsidR="00286956" w:rsidRPr="0013732F" w:rsidRDefault="00286956" w:rsidP="0013732F">
            <w:pPr>
              <w:suppressAutoHyphens w:val="0"/>
              <w:spacing w:before="40" w:after="40" w:line="220" w:lineRule="exact"/>
              <w:jc w:val="right"/>
              <w:rPr>
                <w:sz w:val="18"/>
              </w:rPr>
            </w:pPr>
            <w:r w:rsidRPr="0013732F">
              <w:rPr>
                <w:sz w:val="18"/>
              </w:rPr>
              <w:t>N/D</w:t>
            </w:r>
          </w:p>
        </w:tc>
        <w:tc>
          <w:tcPr>
            <w:tcW w:w="1498" w:type="dxa"/>
            <w:shd w:val="clear" w:color="auto" w:fill="auto"/>
          </w:tcPr>
          <w:p w14:paraId="519E5DEE" w14:textId="77777777" w:rsidR="00286956" w:rsidRPr="0013732F" w:rsidRDefault="00286956" w:rsidP="0013732F">
            <w:pPr>
              <w:suppressAutoHyphens w:val="0"/>
              <w:spacing w:before="40" w:after="40" w:line="220" w:lineRule="exact"/>
              <w:jc w:val="right"/>
              <w:rPr>
                <w:sz w:val="18"/>
              </w:rPr>
            </w:pPr>
            <w:r w:rsidRPr="0013732F">
              <w:rPr>
                <w:sz w:val="18"/>
              </w:rPr>
              <w:t>N/D</w:t>
            </w:r>
          </w:p>
        </w:tc>
      </w:tr>
      <w:tr w:rsidR="00286956" w:rsidRPr="0013732F" w14:paraId="42069B2A" w14:textId="77777777" w:rsidTr="0013732F">
        <w:tc>
          <w:tcPr>
            <w:tcW w:w="626" w:type="dxa"/>
            <w:shd w:val="clear" w:color="auto" w:fill="auto"/>
          </w:tcPr>
          <w:p w14:paraId="1494FA86" w14:textId="77777777" w:rsidR="00286956" w:rsidRPr="0013732F" w:rsidRDefault="00286956" w:rsidP="0013732F">
            <w:pPr>
              <w:suppressAutoHyphens w:val="0"/>
              <w:spacing w:before="40" w:after="40" w:line="220" w:lineRule="exact"/>
              <w:rPr>
                <w:b/>
                <w:bCs/>
                <w:sz w:val="18"/>
              </w:rPr>
            </w:pPr>
            <w:r w:rsidRPr="0013732F">
              <w:rPr>
                <w:b/>
                <w:bCs/>
                <w:sz w:val="18"/>
              </w:rPr>
              <w:t>2019</w:t>
            </w:r>
          </w:p>
        </w:tc>
        <w:tc>
          <w:tcPr>
            <w:tcW w:w="1498" w:type="dxa"/>
            <w:shd w:val="clear" w:color="auto" w:fill="auto"/>
          </w:tcPr>
          <w:p w14:paraId="325BA53F" w14:textId="77777777" w:rsidR="00286956" w:rsidRPr="0013732F" w:rsidRDefault="00286956" w:rsidP="0013732F">
            <w:pPr>
              <w:suppressAutoHyphens w:val="0"/>
              <w:spacing w:before="40" w:after="40" w:line="220" w:lineRule="exact"/>
              <w:jc w:val="right"/>
              <w:rPr>
                <w:sz w:val="18"/>
              </w:rPr>
            </w:pPr>
            <w:r w:rsidRPr="0013732F">
              <w:rPr>
                <w:sz w:val="18"/>
              </w:rPr>
              <w:t>1 547</w:t>
            </w:r>
          </w:p>
        </w:tc>
        <w:tc>
          <w:tcPr>
            <w:tcW w:w="999" w:type="dxa"/>
            <w:shd w:val="clear" w:color="auto" w:fill="auto"/>
          </w:tcPr>
          <w:p w14:paraId="00DF2F11" w14:textId="77777777" w:rsidR="00286956" w:rsidRPr="0013732F" w:rsidRDefault="00286956" w:rsidP="0013732F">
            <w:pPr>
              <w:suppressAutoHyphens w:val="0"/>
              <w:spacing w:before="40" w:after="40" w:line="220" w:lineRule="exact"/>
              <w:jc w:val="right"/>
              <w:rPr>
                <w:sz w:val="18"/>
              </w:rPr>
            </w:pPr>
            <w:r w:rsidRPr="0013732F">
              <w:rPr>
                <w:sz w:val="18"/>
              </w:rPr>
              <w:t>787</w:t>
            </w:r>
          </w:p>
        </w:tc>
        <w:tc>
          <w:tcPr>
            <w:tcW w:w="830" w:type="dxa"/>
            <w:shd w:val="clear" w:color="auto" w:fill="auto"/>
          </w:tcPr>
          <w:p w14:paraId="0D1D561A" w14:textId="77777777" w:rsidR="00286956" w:rsidRPr="0013732F" w:rsidRDefault="00286956" w:rsidP="0013732F">
            <w:pPr>
              <w:suppressAutoHyphens w:val="0"/>
              <w:spacing w:before="40" w:after="40" w:line="220" w:lineRule="exact"/>
              <w:jc w:val="right"/>
              <w:rPr>
                <w:sz w:val="18"/>
              </w:rPr>
            </w:pPr>
            <w:r w:rsidRPr="0013732F">
              <w:rPr>
                <w:sz w:val="18"/>
              </w:rPr>
              <w:t>760</w:t>
            </w:r>
          </w:p>
        </w:tc>
        <w:tc>
          <w:tcPr>
            <w:tcW w:w="920" w:type="dxa"/>
            <w:shd w:val="clear" w:color="auto" w:fill="auto"/>
          </w:tcPr>
          <w:p w14:paraId="397CDC65" w14:textId="77777777" w:rsidR="00286956" w:rsidRPr="0013732F" w:rsidRDefault="00286956" w:rsidP="0013732F">
            <w:pPr>
              <w:suppressAutoHyphens w:val="0"/>
              <w:spacing w:before="40" w:after="40" w:line="220" w:lineRule="exact"/>
              <w:jc w:val="right"/>
              <w:rPr>
                <w:sz w:val="18"/>
              </w:rPr>
            </w:pPr>
            <w:r w:rsidRPr="0013732F">
              <w:rPr>
                <w:sz w:val="18"/>
              </w:rPr>
              <w:t>1 098</w:t>
            </w:r>
          </w:p>
        </w:tc>
        <w:tc>
          <w:tcPr>
            <w:tcW w:w="999" w:type="dxa"/>
            <w:shd w:val="clear" w:color="auto" w:fill="auto"/>
          </w:tcPr>
          <w:p w14:paraId="061FCF79" w14:textId="77777777" w:rsidR="00286956" w:rsidRPr="0013732F" w:rsidRDefault="00286956" w:rsidP="0013732F">
            <w:pPr>
              <w:suppressAutoHyphens w:val="0"/>
              <w:spacing w:before="40" w:after="40" w:line="220" w:lineRule="exact"/>
              <w:jc w:val="right"/>
              <w:rPr>
                <w:sz w:val="18"/>
              </w:rPr>
            </w:pPr>
            <w:r w:rsidRPr="0013732F">
              <w:rPr>
                <w:sz w:val="18"/>
              </w:rPr>
              <w:t>32</w:t>
            </w:r>
          </w:p>
        </w:tc>
        <w:tc>
          <w:tcPr>
            <w:tcW w:w="1498" w:type="dxa"/>
            <w:shd w:val="clear" w:color="auto" w:fill="auto"/>
          </w:tcPr>
          <w:p w14:paraId="0D66F661" w14:textId="77777777" w:rsidR="00286956" w:rsidRPr="0013732F" w:rsidRDefault="00286956" w:rsidP="0013732F">
            <w:pPr>
              <w:suppressAutoHyphens w:val="0"/>
              <w:spacing w:before="40" w:after="40" w:line="220" w:lineRule="exact"/>
              <w:jc w:val="right"/>
              <w:rPr>
                <w:sz w:val="18"/>
              </w:rPr>
            </w:pPr>
            <w:r w:rsidRPr="0013732F">
              <w:rPr>
                <w:sz w:val="18"/>
              </w:rPr>
              <w:t>417</w:t>
            </w:r>
          </w:p>
        </w:tc>
      </w:tr>
      <w:tr w:rsidR="00286956" w:rsidRPr="0013732F" w14:paraId="0ED52C82" w14:textId="77777777" w:rsidTr="0013732F">
        <w:tc>
          <w:tcPr>
            <w:tcW w:w="626" w:type="dxa"/>
            <w:shd w:val="clear" w:color="auto" w:fill="auto"/>
          </w:tcPr>
          <w:p w14:paraId="127B6F61" w14:textId="77777777" w:rsidR="00286956" w:rsidRPr="0013732F" w:rsidRDefault="00286956" w:rsidP="0013732F">
            <w:pPr>
              <w:suppressAutoHyphens w:val="0"/>
              <w:spacing w:before="40" w:after="40" w:line="220" w:lineRule="exact"/>
              <w:rPr>
                <w:b/>
                <w:bCs/>
                <w:sz w:val="18"/>
              </w:rPr>
            </w:pPr>
            <w:r w:rsidRPr="0013732F">
              <w:rPr>
                <w:b/>
                <w:bCs/>
                <w:sz w:val="18"/>
              </w:rPr>
              <w:t>2020</w:t>
            </w:r>
          </w:p>
        </w:tc>
        <w:tc>
          <w:tcPr>
            <w:tcW w:w="1498" w:type="dxa"/>
            <w:shd w:val="clear" w:color="auto" w:fill="auto"/>
          </w:tcPr>
          <w:p w14:paraId="246C9CE7" w14:textId="77777777" w:rsidR="00286956" w:rsidRPr="0013732F" w:rsidRDefault="00286956" w:rsidP="0013732F">
            <w:pPr>
              <w:suppressAutoHyphens w:val="0"/>
              <w:spacing w:before="40" w:after="40" w:line="220" w:lineRule="exact"/>
              <w:jc w:val="right"/>
              <w:rPr>
                <w:sz w:val="18"/>
              </w:rPr>
            </w:pPr>
            <w:r w:rsidRPr="0013732F">
              <w:rPr>
                <w:sz w:val="18"/>
              </w:rPr>
              <w:t>798</w:t>
            </w:r>
          </w:p>
        </w:tc>
        <w:tc>
          <w:tcPr>
            <w:tcW w:w="999" w:type="dxa"/>
            <w:shd w:val="clear" w:color="auto" w:fill="auto"/>
          </w:tcPr>
          <w:p w14:paraId="75CC1A63" w14:textId="77777777" w:rsidR="00286956" w:rsidRPr="0013732F" w:rsidRDefault="00286956" w:rsidP="0013732F">
            <w:pPr>
              <w:suppressAutoHyphens w:val="0"/>
              <w:spacing w:before="40" w:after="40" w:line="220" w:lineRule="exact"/>
              <w:jc w:val="right"/>
              <w:rPr>
                <w:sz w:val="18"/>
              </w:rPr>
            </w:pPr>
            <w:r w:rsidRPr="0013732F">
              <w:rPr>
                <w:sz w:val="18"/>
              </w:rPr>
              <w:t>453</w:t>
            </w:r>
          </w:p>
        </w:tc>
        <w:tc>
          <w:tcPr>
            <w:tcW w:w="830" w:type="dxa"/>
            <w:shd w:val="clear" w:color="auto" w:fill="auto"/>
          </w:tcPr>
          <w:p w14:paraId="321D4B51" w14:textId="77777777" w:rsidR="00286956" w:rsidRPr="0013732F" w:rsidRDefault="00286956" w:rsidP="0013732F">
            <w:pPr>
              <w:suppressAutoHyphens w:val="0"/>
              <w:spacing w:before="40" w:after="40" w:line="220" w:lineRule="exact"/>
              <w:jc w:val="right"/>
              <w:rPr>
                <w:sz w:val="18"/>
              </w:rPr>
            </w:pPr>
            <w:r w:rsidRPr="0013732F">
              <w:rPr>
                <w:sz w:val="18"/>
              </w:rPr>
              <w:t>345</w:t>
            </w:r>
          </w:p>
        </w:tc>
        <w:tc>
          <w:tcPr>
            <w:tcW w:w="920" w:type="dxa"/>
            <w:shd w:val="clear" w:color="auto" w:fill="auto"/>
          </w:tcPr>
          <w:p w14:paraId="28DF25F0" w14:textId="77777777" w:rsidR="00286956" w:rsidRPr="0013732F" w:rsidRDefault="00286956" w:rsidP="0013732F">
            <w:pPr>
              <w:suppressAutoHyphens w:val="0"/>
              <w:spacing w:before="40" w:after="40" w:line="220" w:lineRule="exact"/>
              <w:jc w:val="right"/>
              <w:rPr>
                <w:sz w:val="18"/>
              </w:rPr>
            </w:pPr>
            <w:r w:rsidRPr="0013732F">
              <w:rPr>
                <w:sz w:val="18"/>
              </w:rPr>
              <w:t>448</w:t>
            </w:r>
          </w:p>
        </w:tc>
        <w:tc>
          <w:tcPr>
            <w:tcW w:w="999" w:type="dxa"/>
            <w:shd w:val="clear" w:color="auto" w:fill="auto"/>
          </w:tcPr>
          <w:p w14:paraId="13BF34EB" w14:textId="77777777" w:rsidR="00286956" w:rsidRPr="0013732F" w:rsidRDefault="00286956" w:rsidP="0013732F">
            <w:pPr>
              <w:suppressAutoHyphens w:val="0"/>
              <w:spacing w:before="40" w:after="40" w:line="220" w:lineRule="exact"/>
              <w:jc w:val="right"/>
              <w:rPr>
                <w:sz w:val="18"/>
              </w:rPr>
            </w:pPr>
            <w:r w:rsidRPr="0013732F">
              <w:rPr>
                <w:sz w:val="18"/>
              </w:rPr>
              <w:t>21</w:t>
            </w:r>
          </w:p>
        </w:tc>
        <w:tc>
          <w:tcPr>
            <w:tcW w:w="1498" w:type="dxa"/>
            <w:shd w:val="clear" w:color="auto" w:fill="auto"/>
          </w:tcPr>
          <w:p w14:paraId="295DCED9" w14:textId="77777777" w:rsidR="00286956" w:rsidRPr="0013732F" w:rsidRDefault="00286956" w:rsidP="0013732F">
            <w:pPr>
              <w:suppressAutoHyphens w:val="0"/>
              <w:spacing w:before="40" w:after="40" w:line="220" w:lineRule="exact"/>
              <w:jc w:val="right"/>
              <w:rPr>
                <w:sz w:val="18"/>
              </w:rPr>
            </w:pPr>
            <w:r w:rsidRPr="0013732F">
              <w:rPr>
                <w:sz w:val="18"/>
              </w:rPr>
              <w:t>329</w:t>
            </w:r>
          </w:p>
        </w:tc>
      </w:tr>
      <w:tr w:rsidR="00286956" w:rsidRPr="0013732F" w14:paraId="6AD02CA1" w14:textId="77777777" w:rsidTr="0013732F">
        <w:tc>
          <w:tcPr>
            <w:tcW w:w="626" w:type="dxa"/>
            <w:tcBorders>
              <w:bottom w:val="single" w:sz="12" w:space="0" w:color="auto"/>
            </w:tcBorders>
            <w:shd w:val="clear" w:color="auto" w:fill="auto"/>
          </w:tcPr>
          <w:p w14:paraId="23192A41" w14:textId="77777777" w:rsidR="00286956" w:rsidRPr="0013732F" w:rsidRDefault="00286956" w:rsidP="00A74554">
            <w:pPr>
              <w:keepNext/>
              <w:suppressAutoHyphens w:val="0"/>
              <w:spacing w:before="40" w:after="40" w:line="220" w:lineRule="exact"/>
              <w:rPr>
                <w:b/>
                <w:bCs/>
                <w:sz w:val="18"/>
              </w:rPr>
            </w:pPr>
            <w:r w:rsidRPr="0013732F">
              <w:rPr>
                <w:b/>
                <w:bCs/>
                <w:sz w:val="18"/>
              </w:rPr>
              <w:lastRenderedPageBreak/>
              <w:t>2021</w:t>
            </w:r>
          </w:p>
        </w:tc>
        <w:tc>
          <w:tcPr>
            <w:tcW w:w="1498" w:type="dxa"/>
            <w:tcBorders>
              <w:bottom w:val="single" w:sz="12" w:space="0" w:color="auto"/>
            </w:tcBorders>
            <w:shd w:val="clear" w:color="auto" w:fill="auto"/>
          </w:tcPr>
          <w:p w14:paraId="1776CDD7" w14:textId="77777777" w:rsidR="00286956" w:rsidRPr="0013732F" w:rsidRDefault="00286956" w:rsidP="00A74554">
            <w:pPr>
              <w:keepNext/>
              <w:suppressAutoHyphens w:val="0"/>
              <w:spacing w:before="40" w:after="40" w:line="220" w:lineRule="exact"/>
              <w:jc w:val="right"/>
              <w:rPr>
                <w:sz w:val="18"/>
              </w:rPr>
            </w:pPr>
            <w:r w:rsidRPr="0013732F">
              <w:rPr>
                <w:sz w:val="18"/>
              </w:rPr>
              <w:t>133</w:t>
            </w:r>
          </w:p>
        </w:tc>
        <w:tc>
          <w:tcPr>
            <w:tcW w:w="999" w:type="dxa"/>
            <w:tcBorders>
              <w:bottom w:val="single" w:sz="12" w:space="0" w:color="auto"/>
            </w:tcBorders>
            <w:shd w:val="clear" w:color="auto" w:fill="auto"/>
          </w:tcPr>
          <w:p w14:paraId="43C37CDC" w14:textId="77777777" w:rsidR="00286956" w:rsidRPr="0013732F" w:rsidRDefault="00286956" w:rsidP="00A74554">
            <w:pPr>
              <w:keepNext/>
              <w:suppressAutoHyphens w:val="0"/>
              <w:spacing w:before="40" w:after="40" w:line="220" w:lineRule="exact"/>
              <w:jc w:val="right"/>
              <w:rPr>
                <w:sz w:val="18"/>
              </w:rPr>
            </w:pPr>
            <w:r w:rsidRPr="0013732F">
              <w:rPr>
                <w:sz w:val="18"/>
              </w:rPr>
              <w:t>60</w:t>
            </w:r>
          </w:p>
        </w:tc>
        <w:tc>
          <w:tcPr>
            <w:tcW w:w="830" w:type="dxa"/>
            <w:tcBorders>
              <w:bottom w:val="single" w:sz="12" w:space="0" w:color="auto"/>
            </w:tcBorders>
            <w:shd w:val="clear" w:color="auto" w:fill="auto"/>
          </w:tcPr>
          <w:p w14:paraId="3D99CFE6" w14:textId="77777777" w:rsidR="00286956" w:rsidRPr="0013732F" w:rsidRDefault="00286956" w:rsidP="00A74554">
            <w:pPr>
              <w:keepNext/>
              <w:suppressAutoHyphens w:val="0"/>
              <w:spacing w:before="40" w:after="40" w:line="220" w:lineRule="exact"/>
              <w:jc w:val="right"/>
              <w:rPr>
                <w:sz w:val="18"/>
              </w:rPr>
            </w:pPr>
            <w:r w:rsidRPr="0013732F">
              <w:rPr>
                <w:sz w:val="18"/>
              </w:rPr>
              <w:t>73</w:t>
            </w:r>
          </w:p>
        </w:tc>
        <w:tc>
          <w:tcPr>
            <w:tcW w:w="920" w:type="dxa"/>
            <w:tcBorders>
              <w:bottom w:val="single" w:sz="12" w:space="0" w:color="auto"/>
            </w:tcBorders>
            <w:shd w:val="clear" w:color="auto" w:fill="auto"/>
          </w:tcPr>
          <w:p w14:paraId="50C98B70" w14:textId="77777777" w:rsidR="00286956" w:rsidRPr="0013732F" w:rsidRDefault="00286956" w:rsidP="00A74554">
            <w:pPr>
              <w:keepNext/>
              <w:suppressAutoHyphens w:val="0"/>
              <w:spacing w:before="40" w:after="40" w:line="220" w:lineRule="exact"/>
              <w:jc w:val="right"/>
              <w:rPr>
                <w:sz w:val="18"/>
              </w:rPr>
            </w:pPr>
            <w:r w:rsidRPr="0013732F">
              <w:rPr>
                <w:sz w:val="18"/>
              </w:rPr>
              <w:t>86</w:t>
            </w:r>
          </w:p>
        </w:tc>
        <w:tc>
          <w:tcPr>
            <w:tcW w:w="999" w:type="dxa"/>
            <w:tcBorders>
              <w:bottom w:val="single" w:sz="12" w:space="0" w:color="auto"/>
            </w:tcBorders>
            <w:shd w:val="clear" w:color="auto" w:fill="auto"/>
          </w:tcPr>
          <w:p w14:paraId="5EF71C34" w14:textId="77777777" w:rsidR="00286956" w:rsidRPr="0013732F" w:rsidRDefault="00286956" w:rsidP="00A74554">
            <w:pPr>
              <w:keepNext/>
              <w:suppressAutoHyphens w:val="0"/>
              <w:spacing w:before="40" w:after="40" w:line="220" w:lineRule="exact"/>
              <w:jc w:val="right"/>
              <w:rPr>
                <w:sz w:val="18"/>
              </w:rPr>
            </w:pPr>
            <w:r w:rsidRPr="0013732F">
              <w:rPr>
                <w:sz w:val="18"/>
              </w:rPr>
              <w:t>7</w:t>
            </w:r>
          </w:p>
        </w:tc>
        <w:tc>
          <w:tcPr>
            <w:tcW w:w="1498" w:type="dxa"/>
            <w:tcBorders>
              <w:bottom w:val="single" w:sz="12" w:space="0" w:color="auto"/>
            </w:tcBorders>
            <w:shd w:val="clear" w:color="auto" w:fill="auto"/>
          </w:tcPr>
          <w:p w14:paraId="4901F2E6" w14:textId="77777777" w:rsidR="00286956" w:rsidRPr="0013732F" w:rsidRDefault="00286956" w:rsidP="00A74554">
            <w:pPr>
              <w:keepNext/>
              <w:suppressAutoHyphens w:val="0"/>
              <w:spacing w:before="40" w:after="40" w:line="220" w:lineRule="exact"/>
              <w:jc w:val="right"/>
              <w:rPr>
                <w:sz w:val="18"/>
              </w:rPr>
            </w:pPr>
            <w:r w:rsidRPr="0013732F">
              <w:rPr>
                <w:sz w:val="18"/>
              </w:rPr>
              <w:t>40</w:t>
            </w:r>
          </w:p>
        </w:tc>
      </w:tr>
    </w:tbl>
    <w:p w14:paraId="4FAF727F" w14:textId="5638DF17" w:rsidR="0013732F" w:rsidRPr="0013732F" w:rsidRDefault="00286956" w:rsidP="0013732F">
      <w:pPr>
        <w:pStyle w:val="SingleTxtG"/>
        <w:spacing w:before="120" w:after="0" w:line="220" w:lineRule="atLeast"/>
        <w:ind w:firstLine="170"/>
        <w:jc w:val="left"/>
        <w:rPr>
          <w:sz w:val="18"/>
          <w:szCs w:val="18"/>
        </w:rPr>
      </w:pPr>
      <w:r w:rsidRPr="0013732F">
        <w:rPr>
          <w:i/>
          <w:iCs/>
          <w:sz w:val="18"/>
          <w:szCs w:val="18"/>
        </w:rPr>
        <w:t>Source</w:t>
      </w:r>
      <w:r w:rsidRPr="0013732F">
        <w:rPr>
          <w:sz w:val="18"/>
          <w:szCs w:val="18"/>
        </w:rPr>
        <w:t> : Unité chargée du suivi des signalements de personnes disparues-Direction de la police judiciaire</w:t>
      </w:r>
      <w:r w:rsidR="0013732F">
        <w:rPr>
          <w:sz w:val="18"/>
          <w:szCs w:val="18"/>
        </w:rPr>
        <w:t>.</w:t>
      </w:r>
    </w:p>
    <w:p w14:paraId="4F4D1CD7" w14:textId="5ED35CF1" w:rsidR="00286956" w:rsidRPr="0013732F" w:rsidRDefault="00286956" w:rsidP="0013732F">
      <w:pPr>
        <w:pStyle w:val="SingleTxtG"/>
        <w:spacing w:after="240" w:line="220" w:lineRule="atLeast"/>
        <w:ind w:firstLine="170"/>
        <w:jc w:val="left"/>
        <w:rPr>
          <w:sz w:val="18"/>
          <w:szCs w:val="18"/>
        </w:rPr>
      </w:pPr>
      <w:r w:rsidRPr="0013732F">
        <w:rPr>
          <w:i/>
          <w:iCs/>
          <w:sz w:val="18"/>
          <w:szCs w:val="18"/>
        </w:rPr>
        <w:t>*N/D</w:t>
      </w:r>
      <w:r w:rsidRPr="0013732F">
        <w:rPr>
          <w:sz w:val="18"/>
          <w:szCs w:val="18"/>
        </w:rPr>
        <w:t> : Aucune information n’est disponible</w:t>
      </w:r>
      <w:r w:rsidR="0013732F">
        <w:rPr>
          <w:sz w:val="18"/>
          <w:szCs w:val="18"/>
        </w:rPr>
        <w:t>.</w:t>
      </w:r>
    </w:p>
    <w:p w14:paraId="5C5843CA" w14:textId="7CD1F285" w:rsidR="00286956" w:rsidRPr="008516D1" w:rsidRDefault="00286956" w:rsidP="0013732F">
      <w:pPr>
        <w:pStyle w:val="SingleTxtG"/>
      </w:pPr>
      <w:r w:rsidRPr="008516D1">
        <w:t>41.</w:t>
      </w:r>
      <w:r w:rsidRPr="008516D1">
        <w:tab/>
        <w:t>D</w:t>
      </w:r>
      <w:r>
        <w:t>’</w:t>
      </w:r>
      <w:r w:rsidRPr="008516D1">
        <w:t>après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d</w:t>
      </w:r>
      <w:r>
        <w:t>’</w:t>
      </w:r>
      <w:r w:rsidRPr="008516D1">
        <w:t>Interpol,</w:t>
      </w:r>
      <w:r>
        <w:t xml:space="preserve"> </w:t>
      </w:r>
      <w:r w:rsidRPr="008516D1">
        <w:t>892</w:t>
      </w:r>
      <w:r w:rsidR="00A74554">
        <w:t> </w:t>
      </w:r>
      <w:r w:rsidRPr="008516D1">
        <w:t>notices</w:t>
      </w:r>
      <w:r>
        <w:t xml:space="preserve"> </w:t>
      </w:r>
      <w:r w:rsidRPr="008516D1">
        <w:t>jaunes</w:t>
      </w:r>
      <w:r>
        <w:t xml:space="preserve"> </w:t>
      </w:r>
      <w:r w:rsidRPr="008516D1">
        <w:t>ont</w:t>
      </w:r>
      <w:r>
        <w:t xml:space="preserve"> </w:t>
      </w:r>
      <w:r w:rsidRPr="008516D1">
        <w:t>été</w:t>
      </w:r>
      <w:r>
        <w:t xml:space="preserve"> </w:t>
      </w:r>
      <w:r w:rsidRPr="008516D1">
        <w:t>enregistrées</w:t>
      </w:r>
      <w:r>
        <w:t xml:space="preserve"> </w:t>
      </w:r>
      <w:r w:rsidRPr="008516D1">
        <w:t>en</w:t>
      </w:r>
      <w:r>
        <w:t xml:space="preserve"> </w:t>
      </w:r>
      <w:r w:rsidRPr="008516D1">
        <w:t>mai</w:t>
      </w:r>
      <w:r>
        <w:t xml:space="preserve"> </w:t>
      </w:r>
      <w:r w:rsidRPr="008516D1">
        <w:t>2021</w:t>
      </w:r>
      <w:r>
        <w:t xml:space="preserve"> </w:t>
      </w:r>
      <w:r w:rsidRPr="008516D1">
        <w:t>concernant</w:t>
      </w:r>
      <w:r>
        <w:t xml:space="preserve"> </w:t>
      </w:r>
      <w:r w:rsidRPr="008516D1">
        <w:t>des</w:t>
      </w:r>
      <w:r>
        <w:t xml:space="preserve"> </w:t>
      </w:r>
      <w:r w:rsidRPr="008516D1">
        <w:t>ressortissants</w:t>
      </w:r>
      <w:r>
        <w:t xml:space="preserve"> </w:t>
      </w:r>
      <w:r w:rsidRPr="008516D1">
        <w:t>honduriens</w:t>
      </w:r>
      <w:r>
        <w:t xml:space="preserve"> </w:t>
      </w:r>
      <w:r w:rsidRPr="008516D1">
        <w:t>disparus,</w:t>
      </w:r>
      <w:r>
        <w:t xml:space="preserve"> </w:t>
      </w:r>
      <w:r w:rsidRPr="008516D1">
        <w:t>dont</w:t>
      </w:r>
      <w:r>
        <w:t xml:space="preserve"> </w:t>
      </w:r>
      <w:r w:rsidRPr="008516D1">
        <w:t>772</w:t>
      </w:r>
      <w:r w:rsidR="00A74554">
        <w:t> </w:t>
      </w:r>
      <w:r w:rsidRPr="008516D1">
        <w:t>enfants</w:t>
      </w:r>
      <w:r>
        <w:t xml:space="preserve"> </w:t>
      </w:r>
      <w:r w:rsidRPr="008516D1">
        <w:t>et</w:t>
      </w:r>
      <w:r>
        <w:t xml:space="preserve"> </w:t>
      </w:r>
      <w:r w:rsidRPr="008516D1">
        <w:t>adolescents</w:t>
      </w:r>
      <w:r>
        <w:t xml:space="preserve"> </w:t>
      </w:r>
      <w:r w:rsidRPr="008516D1">
        <w:t>âgés</w:t>
      </w:r>
      <w:r>
        <w:t xml:space="preserve"> </w:t>
      </w:r>
      <w:r w:rsidRPr="008516D1">
        <w:t>de</w:t>
      </w:r>
      <w:r>
        <w:t xml:space="preserve"> </w:t>
      </w:r>
      <w:r w:rsidRPr="008516D1">
        <w:t>0</w:t>
      </w:r>
      <w:r>
        <w:t xml:space="preserve"> </w:t>
      </w:r>
      <w:r w:rsidRPr="008516D1">
        <w:t>à</w:t>
      </w:r>
      <w:r>
        <w:t xml:space="preserve"> </w:t>
      </w:r>
      <w:r w:rsidRPr="008516D1">
        <w:t>18</w:t>
      </w:r>
      <w:r w:rsidR="00A74554">
        <w:t> </w:t>
      </w:r>
      <w:r w:rsidRPr="008516D1">
        <w:t>ans</w:t>
      </w:r>
      <w:r w:rsidRPr="008516D1">
        <w:rPr>
          <w:rStyle w:val="Appelnotedebasdep"/>
        </w:rPr>
        <w:footnoteReference w:id="59"/>
      </w:r>
      <w:r w:rsidRPr="008516D1">
        <w:t>.</w:t>
      </w:r>
      <w:r>
        <w:t xml:space="preserve"> </w:t>
      </w:r>
      <w:r w:rsidRPr="008516D1">
        <w:t>Le</w:t>
      </w:r>
      <w:r>
        <w:t xml:space="preserve"> </w:t>
      </w:r>
      <w:r w:rsidRPr="008516D1">
        <w:t>nombre</w:t>
      </w:r>
      <w:r>
        <w:t xml:space="preserve"> </w:t>
      </w:r>
      <w:r w:rsidRPr="008516D1">
        <w:t>de</w:t>
      </w:r>
      <w:r>
        <w:t xml:space="preserve"> </w:t>
      </w:r>
      <w:r w:rsidRPr="008516D1">
        <w:t>notices,</w:t>
      </w:r>
      <w:r>
        <w:t xml:space="preserve"> </w:t>
      </w:r>
      <w:r w:rsidRPr="008516D1">
        <w:t>ventilées</w:t>
      </w:r>
      <w:r>
        <w:t xml:space="preserve"> </w:t>
      </w:r>
      <w:r w:rsidRPr="008516D1">
        <w:t>par</w:t>
      </w:r>
      <w:r>
        <w:t xml:space="preserve"> </w:t>
      </w:r>
      <w:r w:rsidRPr="008516D1">
        <w:t>sexe</w:t>
      </w:r>
      <w:r>
        <w:t xml:space="preserve"> </w:t>
      </w:r>
      <w:r w:rsidRPr="008516D1">
        <w:t>et</w:t>
      </w:r>
      <w:r>
        <w:t xml:space="preserve"> </w:t>
      </w:r>
      <w:r w:rsidRPr="008516D1">
        <w:t>par</w:t>
      </w:r>
      <w:r>
        <w:t xml:space="preserve"> </w:t>
      </w:r>
      <w:r w:rsidRPr="008516D1">
        <w:t>âge,</w:t>
      </w:r>
      <w:r>
        <w:t xml:space="preserve"> </w:t>
      </w:r>
      <w:r w:rsidRPr="008516D1">
        <w:t>figure</w:t>
      </w:r>
      <w:r>
        <w:t xml:space="preserve"> </w:t>
      </w:r>
      <w:r w:rsidRPr="008516D1">
        <w:t>ci-après.</w:t>
      </w:r>
    </w:p>
    <w:tbl>
      <w:tblPr>
        <w:tblW w:w="7370" w:type="dxa"/>
        <w:tblInd w:w="1134" w:type="dxa"/>
        <w:tblLayout w:type="fixed"/>
        <w:tblCellMar>
          <w:left w:w="0" w:type="dxa"/>
          <w:right w:w="0" w:type="dxa"/>
        </w:tblCellMar>
        <w:tblLook w:val="04A0" w:firstRow="1" w:lastRow="0" w:firstColumn="1" w:lastColumn="0" w:noHBand="0" w:noVBand="1"/>
      </w:tblPr>
      <w:tblGrid>
        <w:gridCol w:w="2301"/>
        <w:gridCol w:w="1721"/>
        <w:gridCol w:w="1684"/>
        <w:gridCol w:w="1664"/>
      </w:tblGrid>
      <w:tr w:rsidR="00286956" w:rsidRPr="0013732F" w14:paraId="07DB1D5B" w14:textId="77777777" w:rsidTr="0013732F">
        <w:trPr>
          <w:tblHeader/>
        </w:trPr>
        <w:tc>
          <w:tcPr>
            <w:tcW w:w="7370" w:type="dxa"/>
            <w:gridSpan w:val="4"/>
            <w:tcBorders>
              <w:top w:val="single" w:sz="4" w:space="0" w:color="auto"/>
              <w:bottom w:val="single" w:sz="12" w:space="0" w:color="auto"/>
            </w:tcBorders>
            <w:shd w:val="clear" w:color="auto" w:fill="auto"/>
            <w:vAlign w:val="bottom"/>
          </w:tcPr>
          <w:p w14:paraId="412D7480" w14:textId="77777777" w:rsidR="00286956" w:rsidRPr="0013732F" w:rsidRDefault="00286956" w:rsidP="0013732F">
            <w:pPr>
              <w:suppressAutoHyphens w:val="0"/>
              <w:spacing w:before="80" w:after="80" w:line="200" w:lineRule="exact"/>
              <w:rPr>
                <w:bCs/>
                <w:i/>
                <w:sz w:val="16"/>
              </w:rPr>
            </w:pPr>
            <w:r w:rsidRPr="0013732F">
              <w:rPr>
                <w:i/>
                <w:sz w:val="16"/>
              </w:rPr>
              <w:t>Notices jaunes concernant des ressortissants honduriens disparus, par sexe et par âge.</w:t>
            </w:r>
          </w:p>
        </w:tc>
      </w:tr>
      <w:tr w:rsidR="00286956" w:rsidRPr="0013732F" w14:paraId="305AEA06" w14:textId="77777777" w:rsidTr="0013732F">
        <w:tc>
          <w:tcPr>
            <w:tcW w:w="2301" w:type="dxa"/>
            <w:tcBorders>
              <w:top w:val="single" w:sz="12" w:space="0" w:color="auto"/>
            </w:tcBorders>
            <w:shd w:val="clear" w:color="auto" w:fill="auto"/>
          </w:tcPr>
          <w:p w14:paraId="7C01F124" w14:textId="77777777" w:rsidR="00286956" w:rsidRPr="0013732F" w:rsidRDefault="00286956" w:rsidP="0013732F">
            <w:pPr>
              <w:suppressAutoHyphens w:val="0"/>
              <w:spacing w:before="40" w:after="40" w:line="220" w:lineRule="exact"/>
              <w:rPr>
                <w:b/>
                <w:bCs/>
                <w:sz w:val="18"/>
              </w:rPr>
            </w:pPr>
            <w:r w:rsidRPr="0013732F">
              <w:rPr>
                <w:b/>
                <w:bCs/>
                <w:sz w:val="18"/>
              </w:rPr>
              <w:t>Âge</w:t>
            </w:r>
          </w:p>
        </w:tc>
        <w:tc>
          <w:tcPr>
            <w:tcW w:w="1721" w:type="dxa"/>
            <w:tcBorders>
              <w:top w:val="single" w:sz="12" w:space="0" w:color="auto"/>
            </w:tcBorders>
            <w:shd w:val="clear" w:color="auto" w:fill="auto"/>
          </w:tcPr>
          <w:p w14:paraId="718CDE0C" w14:textId="77777777" w:rsidR="00286956" w:rsidRPr="0013732F" w:rsidRDefault="00286956" w:rsidP="0013732F">
            <w:pPr>
              <w:suppressAutoHyphens w:val="0"/>
              <w:spacing w:before="40" w:after="40" w:line="220" w:lineRule="exact"/>
              <w:jc w:val="right"/>
              <w:rPr>
                <w:b/>
                <w:bCs/>
                <w:sz w:val="18"/>
              </w:rPr>
            </w:pPr>
            <w:r w:rsidRPr="0013732F">
              <w:rPr>
                <w:b/>
                <w:bCs/>
                <w:sz w:val="18"/>
              </w:rPr>
              <w:t>Hommes</w:t>
            </w:r>
          </w:p>
        </w:tc>
        <w:tc>
          <w:tcPr>
            <w:tcW w:w="1684" w:type="dxa"/>
            <w:tcBorders>
              <w:top w:val="single" w:sz="12" w:space="0" w:color="auto"/>
            </w:tcBorders>
            <w:shd w:val="clear" w:color="auto" w:fill="auto"/>
          </w:tcPr>
          <w:p w14:paraId="442F68D2" w14:textId="77777777" w:rsidR="00286956" w:rsidRPr="0013732F" w:rsidRDefault="00286956" w:rsidP="0013732F">
            <w:pPr>
              <w:suppressAutoHyphens w:val="0"/>
              <w:spacing w:before="40" w:after="40" w:line="220" w:lineRule="exact"/>
              <w:jc w:val="right"/>
              <w:rPr>
                <w:b/>
                <w:bCs/>
                <w:sz w:val="18"/>
              </w:rPr>
            </w:pPr>
            <w:r w:rsidRPr="0013732F">
              <w:rPr>
                <w:b/>
                <w:bCs/>
                <w:sz w:val="18"/>
              </w:rPr>
              <w:t>Femmes</w:t>
            </w:r>
          </w:p>
        </w:tc>
        <w:tc>
          <w:tcPr>
            <w:tcW w:w="1664" w:type="dxa"/>
            <w:tcBorders>
              <w:top w:val="single" w:sz="12" w:space="0" w:color="auto"/>
            </w:tcBorders>
            <w:shd w:val="clear" w:color="auto" w:fill="auto"/>
          </w:tcPr>
          <w:p w14:paraId="69D520DF" w14:textId="77777777" w:rsidR="00286956" w:rsidRPr="0013732F" w:rsidRDefault="00286956" w:rsidP="0013732F">
            <w:pPr>
              <w:suppressAutoHyphens w:val="0"/>
              <w:spacing w:before="40" w:after="40" w:line="220" w:lineRule="exact"/>
              <w:jc w:val="right"/>
              <w:rPr>
                <w:b/>
                <w:bCs/>
                <w:sz w:val="18"/>
              </w:rPr>
            </w:pPr>
            <w:r w:rsidRPr="0013732F">
              <w:rPr>
                <w:b/>
                <w:bCs/>
                <w:sz w:val="18"/>
              </w:rPr>
              <w:t>Total</w:t>
            </w:r>
          </w:p>
        </w:tc>
      </w:tr>
      <w:tr w:rsidR="00286956" w:rsidRPr="0013732F" w14:paraId="4B4DF35E" w14:textId="77777777" w:rsidTr="0013732F">
        <w:tc>
          <w:tcPr>
            <w:tcW w:w="2301" w:type="dxa"/>
            <w:shd w:val="clear" w:color="auto" w:fill="auto"/>
          </w:tcPr>
          <w:p w14:paraId="2AD0A7F2" w14:textId="77777777" w:rsidR="00286956" w:rsidRPr="0013732F" w:rsidRDefault="00286956" w:rsidP="0013732F">
            <w:pPr>
              <w:suppressAutoHyphens w:val="0"/>
              <w:spacing w:before="40" w:after="40" w:line="220" w:lineRule="exact"/>
              <w:rPr>
                <w:b/>
                <w:bCs/>
                <w:sz w:val="18"/>
              </w:rPr>
            </w:pPr>
            <w:r w:rsidRPr="0013732F">
              <w:rPr>
                <w:b/>
                <w:bCs/>
                <w:sz w:val="18"/>
              </w:rPr>
              <w:t>0 à 18 ans</w:t>
            </w:r>
          </w:p>
        </w:tc>
        <w:tc>
          <w:tcPr>
            <w:tcW w:w="1721" w:type="dxa"/>
            <w:shd w:val="clear" w:color="auto" w:fill="auto"/>
          </w:tcPr>
          <w:p w14:paraId="21C7B87F" w14:textId="77777777" w:rsidR="00286956" w:rsidRPr="0013732F" w:rsidRDefault="00286956" w:rsidP="0013732F">
            <w:pPr>
              <w:suppressAutoHyphens w:val="0"/>
              <w:spacing w:before="40" w:after="40" w:line="220" w:lineRule="exact"/>
              <w:jc w:val="right"/>
              <w:rPr>
                <w:sz w:val="18"/>
              </w:rPr>
            </w:pPr>
            <w:r w:rsidRPr="0013732F">
              <w:rPr>
                <w:sz w:val="18"/>
              </w:rPr>
              <w:t>367</w:t>
            </w:r>
          </w:p>
        </w:tc>
        <w:tc>
          <w:tcPr>
            <w:tcW w:w="1684" w:type="dxa"/>
            <w:shd w:val="clear" w:color="auto" w:fill="auto"/>
          </w:tcPr>
          <w:p w14:paraId="05FDA1DA" w14:textId="77777777" w:rsidR="00286956" w:rsidRPr="0013732F" w:rsidRDefault="00286956" w:rsidP="0013732F">
            <w:pPr>
              <w:suppressAutoHyphens w:val="0"/>
              <w:spacing w:before="40" w:after="40" w:line="220" w:lineRule="exact"/>
              <w:jc w:val="right"/>
              <w:rPr>
                <w:sz w:val="18"/>
              </w:rPr>
            </w:pPr>
            <w:r w:rsidRPr="0013732F">
              <w:rPr>
                <w:sz w:val="18"/>
              </w:rPr>
              <w:t>405</w:t>
            </w:r>
          </w:p>
        </w:tc>
        <w:tc>
          <w:tcPr>
            <w:tcW w:w="1664" w:type="dxa"/>
            <w:shd w:val="clear" w:color="auto" w:fill="auto"/>
          </w:tcPr>
          <w:p w14:paraId="6E36E722" w14:textId="77777777" w:rsidR="00286956" w:rsidRPr="0013732F" w:rsidRDefault="00286956" w:rsidP="0013732F">
            <w:pPr>
              <w:suppressAutoHyphens w:val="0"/>
              <w:spacing w:before="40" w:after="40" w:line="220" w:lineRule="exact"/>
              <w:jc w:val="right"/>
              <w:rPr>
                <w:sz w:val="18"/>
              </w:rPr>
            </w:pPr>
            <w:r w:rsidRPr="0013732F">
              <w:rPr>
                <w:sz w:val="18"/>
              </w:rPr>
              <w:t>772</w:t>
            </w:r>
          </w:p>
        </w:tc>
      </w:tr>
      <w:tr w:rsidR="00286956" w:rsidRPr="0013732F" w14:paraId="4810CAFD" w14:textId="77777777" w:rsidTr="0013732F">
        <w:tc>
          <w:tcPr>
            <w:tcW w:w="2301" w:type="dxa"/>
            <w:shd w:val="clear" w:color="auto" w:fill="auto"/>
          </w:tcPr>
          <w:p w14:paraId="087E4C45" w14:textId="77777777" w:rsidR="00286956" w:rsidRPr="0013732F" w:rsidRDefault="00286956" w:rsidP="0013732F">
            <w:pPr>
              <w:suppressAutoHyphens w:val="0"/>
              <w:spacing w:before="40" w:after="40" w:line="220" w:lineRule="exact"/>
              <w:rPr>
                <w:b/>
                <w:bCs/>
                <w:sz w:val="18"/>
              </w:rPr>
            </w:pPr>
            <w:r w:rsidRPr="0013732F">
              <w:rPr>
                <w:b/>
                <w:bCs/>
                <w:sz w:val="18"/>
              </w:rPr>
              <w:t>19 à 30 ans</w:t>
            </w:r>
          </w:p>
        </w:tc>
        <w:tc>
          <w:tcPr>
            <w:tcW w:w="1721" w:type="dxa"/>
            <w:shd w:val="clear" w:color="auto" w:fill="auto"/>
          </w:tcPr>
          <w:p w14:paraId="7040B4DA" w14:textId="77777777" w:rsidR="00286956" w:rsidRPr="0013732F" w:rsidRDefault="00286956" w:rsidP="0013732F">
            <w:pPr>
              <w:suppressAutoHyphens w:val="0"/>
              <w:spacing w:before="40" w:after="40" w:line="220" w:lineRule="exact"/>
              <w:jc w:val="right"/>
              <w:rPr>
                <w:sz w:val="18"/>
              </w:rPr>
            </w:pPr>
            <w:r w:rsidRPr="0013732F">
              <w:rPr>
                <w:sz w:val="18"/>
              </w:rPr>
              <w:t>38</w:t>
            </w:r>
          </w:p>
        </w:tc>
        <w:tc>
          <w:tcPr>
            <w:tcW w:w="1684" w:type="dxa"/>
            <w:shd w:val="clear" w:color="auto" w:fill="auto"/>
          </w:tcPr>
          <w:p w14:paraId="7D66FB77" w14:textId="77777777" w:rsidR="00286956" w:rsidRPr="0013732F" w:rsidRDefault="00286956" w:rsidP="0013732F">
            <w:pPr>
              <w:suppressAutoHyphens w:val="0"/>
              <w:spacing w:before="40" w:after="40" w:line="220" w:lineRule="exact"/>
              <w:jc w:val="right"/>
              <w:rPr>
                <w:sz w:val="18"/>
              </w:rPr>
            </w:pPr>
            <w:r w:rsidRPr="0013732F">
              <w:rPr>
                <w:sz w:val="18"/>
              </w:rPr>
              <w:t>34</w:t>
            </w:r>
          </w:p>
        </w:tc>
        <w:tc>
          <w:tcPr>
            <w:tcW w:w="1664" w:type="dxa"/>
            <w:shd w:val="clear" w:color="auto" w:fill="auto"/>
          </w:tcPr>
          <w:p w14:paraId="72C9F033" w14:textId="77777777" w:rsidR="00286956" w:rsidRPr="0013732F" w:rsidRDefault="00286956" w:rsidP="0013732F">
            <w:pPr>
              <w:suppressAutoHyphens w:val="0"/>
              <w:spacing w:before="40" w:after="40" w:line="220" w:lineRule="exact"/>
              <w:jc w:val="right"/>
              <w:rPr>
                <w:sz w:val="18"/>
              </w:rPr>
            </w:pPr>
            <w:r w:rsidRPr="0013732F">
              <w:rPr>
                <w:sz w:val="18"/>
              </w:rPr>
              <w:t>72</w:t>
            </w:r>
          </w:p>
        </w:tc>
      </w:tr>
      <w:tr w:rsidR="00286956" w:rsidRPr="0013732F" w14:paraId="45F717A8" w14:textId="77777777" w:rsidTr="0013732F">
        <w:tc>
          <w:tcPr>
            <w:tcW w:w="2301" w:type="dxa"/>
            <w:shd w:val="clear" w:color="auto" w:fill="auto"/>
          </w:tcPr>
          <w:p w14:paraId="47482C7E" w14:textId="77777777" w:rsidR="00286956" w:rsidRPr="0013732F" w:rsidRDefault="00286956" w:rsidP="0013732F">
            <w:pPr>
              <w:suppressAutoHyphens w:val="0"/>
              <w:spacing w:before="40" w:after="40" w:line="220" w:lineRule="exact"/>
              <w:rPr>
                <w:b/>
                <w:bCs/>
                <w:sz w:val="18"/>
              </w:rPr>
            </w:pPr>
            <w:r w:rsidRPr="0013732F">
              <w:rPr>
                <w:b/>
                <w:bCs/>
                <w:sz w:val="18"/>
              </w:rPr>
              <w:t>31 à 59 ans</w:t>
            </w:r>
          </w:p>
        </w:tc>
        <w:tc>
          <w:tcPr>
            <w:tcW w:w="1721" w:type="dxa"/>
            <w:shd w:val="clear" w:color="auto" w:fill="auto"/>
          </w:tcPr>
          <w:p w14:paraId="36DFBCC9" w14:textId="77777777" w:rsidR="00286956" w:rsidRPr="0013732F" w:rsidRDefault="00286956" w:rsidP="0013732F">
            <w:pPr>
              <w:suppressAutoHyphens w:val="0"/>
              <w:spacing w:before="40" w:after="40" w:line="220" w:lineRule="exact"/>
              <w:jc w:val="right"/>
              <w:rPr>
                <w:sz w:val="18"/>
              </w:rPr>
            </w:pPr>
            <w:r w:rsidRPr="0013732F">
              <w:rPr>
                <w:sz w:val="18"/>
              </w:rPr>
              <w:t>35</w:t>
            </w:r>
          </w:p>
        </w:tc>
        <w:tc>
          <w:tcPr>
            <w:tcW w:w="1684" w:type="dxa"/>
            <w:shd w:val="clear" w:color="auto" w:fill="auto"/>
          </w:tcPr>
          <w:p w14:paraId="405A2AC9" w14:textId="77777777" w:rsidR="00286956" w:rsidRPr="0013732F" w:rsidRDefault="00286956" w:rsidP="0013732F">
            <w:pPr>
              <w:suppressAutoHyphens w:val="0"/>
              <w:spacing w:before="40" w:after="40" w:line="220" w:lineRule="exact"/>
              <w:jc w:val="right"/>
              <w:rPr>
                <w:sz w:val="18"/>
              </w:rPr>
            </w:pPr>
            <w:r w:rsidRPr="0013732F">
              <w:rPr>
                <w:sz w:val="18"/>
              </w:rPr>
              <w:t>8</w:t>
            </w:r>
          </w:p>
        </w:tc>
        <w:tc>
          <w:tcPr>
            <w:tcW w:w="1664" w:type="dxa"/>
            <w:shd w:val="clear" w:color="auto" w:fill="auto"/>
          </w:tcPr>
          <w:p w14:paraId="5E282A99" w14:textId="77777777" w:rsidR="00286956" w:rsidRPr="0013732F" w:rsidRDefault="00286956" w:rsidP="0013732F">
            <w:pPr>
              <w:suppressAutoHyphens w:val="0"/>
              <w:spacing w:before="40" w:after="40" w:line="220" w:lineRule="exact"/>
              <w:jc w:val="right"/>
              <w:rPr>
                <w:sz w:val="18"/>
              </w:rPr>
            </w:pPr>
            <w:r w:rsidRPr="0013732F">
              <w:rPr>
                <w:sz w:val="18"/>
              </w:rPr>
              <w:t>43</w:t>
            </w:r>
          </w:p>
        </w:tc>
      </w:tr>
      <w:tr w:rsidR="00286956" w:rsidRPr="0013732F" w14:paraId="1D48A64A" w14:textId="77777777" w:rsidTr="0013732F">
        <w:tc>
          <w:tcPr>
            <w:tcW w:w="2301" w:type="dxa"/>
            <w:tcBorders>
              <w:bottom w:val="single" w:sz="4" w:space="0" w:color="auto"/>
            </w:tcBorders>
            <w:shd w:val="clear" w:color="auto" w:fill="auto"/>
          </w:tcPr>
          <w:p w14:paraId="33536D56" w14:textId="77777777" w:rsidR="00286956" w:rsidRPr="0013732F" w:rsidRDefault="00286956" w:rsidP="0013732F">
            <w:pPr>
              <w:suppressAutoHyphens w:val="0"/>
              <w:spacing w:before="40" w:after="40" w:line="220" w:lineRule="exact"/>
              <w:rPr>
                <w:b/>
                <w:bCs/>
                <w:sz w:val="18"/>
              </w:rPr>
            </w:pPr>
            <w:r w:rsidRPr="0013732F">
              <w:rPr>
                <w:b/>
                <w:bCs/>
                <w:sz w:val="18"/>
              </w:rPr>
              <w:t>60 ou plus</w:t>
            </w:r>
          </w:p>
        </w:tc>
        <w:tc>
          <w:tcPr>
            <w:tcW w:w="1721" w:type="dxa"/>
            <w:tcBorders>
              <w:bottom w:val="single" w:sz="4" w:space="0" w:color="auto"/>
            </w:tcBorders>
            <w:shd w:val="clear" w:color="auto" w:fill="auto"/>
          </w:tcPr>
          <w:p w14:paraId="229645E6" w14:textId="77777777" w:rsidR="00286956" w:rsidRPr="0013732F" w:rsidRDefault="00286956" w:rsidP="0013732F">
            <w:pPr>
              <w:suppressAutoHyphens w:val="0"/>
              <w:spacing w:before="40" w:after="40" w:line="220" w:lineRule="exact"/>
              <w:jc w:val="right"/>
              <w:rPr>
                <w:sz w:val="18"/>
              </w:rPr>
            </w:pPr>
            <w:r w:rsidRPr="0013732F">
              <w:rPr>
                <w:sz w:val="18"/>
              </w:rPr>
              <w:t>4</w:t>
            </w:r>
          </w:p>
        </w:tc>
        <w:tc>
          <w:tcPr>
            <w:tcW w:w="1684" w:type="dxa"/>
            <w:tcBorders>
              <w:bottom w:val="single" w:sz="4" w:space="0" w:color="auto"/>
            </w:tcBorders>
            <w:shd w:val="clear" w:color="auto" w:fill="auto"/>
          </w:tcPr>
          <w:p w14:paraId="7A04513B" w14:textId="77777777" w:rsidR="00286956" w:rsidRPr="0013732F" w:rsidRDefault="00286956" w:rsidP="0013732F">
            <w:pPr>
              <w:suppressAutoHyphens w:val="0"/>
              <w:spacing w:before="40" w:after="40" w:line="220" w:lineRule="exact"/>
              <w:jc w:val="right"/>
              <w:rPr>
                <w:sz w:val="18"/>
              </w:rPr>
            </w:pPr>
            <w:r w:rsidRPr="0013732F">
              <w:rPr>
                <w:sz w:val="18"/>
              </w:rPr>
              <w:t>1</w:t>
            </w:r>
          </w:p>
        </w:tc>
        <w:tc>
          <w:tcPr>
            <w:tcW w:w="1664" w:type="dxa"/>
            <w:tcBorders>
              <w:bottom w:val="single" w:sz="4" w:space="0" w:color="auto"/>
            </w:tcBorders>
            <w:shd w:val="clear" w:color="auto" w:fill="auto"/>
          </w:tcPr>
          <w:p w14:paraId="12AD4BFB" w14:textId="77777777" w:rsidR="00286956" w:rsidRPr="0013732F" w:rsidRDefault="00286956" w:rsidP="0013732F">
            <w:pPr>
              <w:suppressAutoHyphens w:val="0"/>
              <w:spacing w:before="40" w:after="40" w:line="220" w:lineRule="exact"/>
              <w:jc w:val="right"/>
              <w:rPr>
                <w:sz w:val="18"/>
              </w:rPr>
            </w:pPr>
            <w:r w:rsidRPr="0013732F">
              <w:rPr>
                <w:sz w:val="18"/>
              </w:rPr>
              <w:t>5</w:t>
            </w:r>
          </w:p>
        </w:tc>
      </w:tr>
      <w:tr w:rsidR="00286956" w:rsidRPr="0013732F" w14:paraId="398FBDF3" w14:textId="77777777" w:rsidTr="0013732F">
        <w:tc>
          <w:tcPr>
            <w:tcW w:w="2301" w:type="dxa"/>
            <w:tcBorders>
              <w:top w:val="single" w:sz="4" w:space="0" w:color="auto"/>
              <w:bottom w:val="single" w:sz="12" w:space="0" w:color="auto"/>
            </w:tcBorders>
            <w:shd w:val="clear" w:color="auto" w:fill="auto"/>
          </w:tcPr>
          <w:p w14:paraId="07203104" w14:textId="77777777" w:rsidR="00286956" w:rsidRPr="0013732F" w:rsidRDefault="00286956" w:rsidP="0013732F">
            <w:pPr>
              <w:suppressAutoHyphens w:val="0"/>
              <w:spacing w:before="80" w:after="80" w:line="220" w:lineRule="exact"/>
              <w:ind w:left="283"/>
              <w:rPr>
                <w:b/>
                <w:bCs/>
                <w:sz w:val="18"/>
              </w:rPr>
            </w:pPr>
            <w:r w:rsidRPr="0013732F">
              <w:rPr>
                <w:b/>
                <w:sz w:val="18"/>
              </w:rPr>
              <w:t>Total</w:t>
            </w:r>
          </w:p>
        </w:tc>
        <w:tc>
          <w:tcPr>
            <w:tcW w:w="1721" w:type="dxa"/>
            <w:tcBorders>
              <w:top w:val="single" w:sz="4" w:space="0" w:color="auto"/>
              <w:bottom w:val="single" w:sz="12" w:space="0" w:color="auto"/>
            </w:tcBorders>
            <w:shd w:val="clear" w:color="auto" w:fill="auto"/>
          </w:tcPr>
          <w:p w14:paraId="7905088B" w14:textId="77777777" w:rsidR="00286956" w:rsidRPr="0013732F" w:rsidRDefault="00286956" w:rsidP="0013732F">
            <w:pPr>
              <w:suppressAutoHyphens w:val="0"/>
              <w:spacing w:before="80" w:after="80" w:line="220" w:lineRule="exact"/>
              <w:jc w:val="right"/>
              <w:rPr>
                <w:b/>
                <w:sz w:val="18"/>
              </w:rPr>
            </w:pPr>
            <w:r w:rsidRPr="0013732F">
              <w:rPr>
                <w:b/>
                <w:sz w:val="18"/>
              </w:rPr>
              <w:t>444</w:t>
            </w:r>
          </w:p>
        </w:tc>
        <w:tc>
          <w:tcPr>
            <w:tcW w:w="1684" w:type="dxa"/>
            <w:tcBorders>
              <w:top w:val="single" w:sz="4" w:space="0" w:color="auto"/>
              <w:bottom w:val="single" w:sz="12" w:space="0" w:color="auto"/>
            </w:tcBorders>
            <w:shd w:val="clear" w:color="auto" w:fill="auto"/>
          </w:tcPr>
          <w:p w14:paraId="5125AF23" w14:textId="77777777" w:rsidR="00286956" w:rsidRPr="0013732F" w:rsidRDefault="00286956" w:rsidP="0013732F">
            <w:pPr>
              <w:suppressAutoHyphens w:val="0"/>
              <w:spacing w:before="80" w:after="80" w:line="220" w:lineRule="exact"/>
              <w:jc w:val="right"/>
              <w:rPr>
                <w:b/>
                <w:sz w:val="18"/>
              </w:rPr>
            </w:pPr>
            <w:r w:rsidRPr="0013732F">
              <w:rPr>
                <w:b/>
                <w:sz w:val="18"/>
              </w:rPr>
              <w:t>448</w:t>
            </w:r>
          </w:p>
        </w:tc>
        <w:tc>
          <w:tcPr>
            <w:tcW w:w="1664" w:type="dxa"/>
            <w:tcBorders>
              <w:top w:val="single" w:sz="4" w:space="0" w:color="auto"/>
              <w:bottom w:val="single" w:sz="12" w:space="0" w:color="auto"/>
            </w:tcBorders>
            <w:shd w:val="clear" w:color="auto" w:fill="auto"/>
          </w:tcPr>
          <w:p w14:paraId="2DBCA842" w14:textId="77777777" w:rsidR="00286956" w:rsidRPr="0013732F" w:rsidRDefault="00286956" w:rsidP="0013732F">
            <w:pPr>
              <w:suppressAutoHyphens w:val="0"/>
              <w:spacing w:before="80" w:after="80" w:line="220" w:lineRule="exact"/>
              <w:jc w:val="right"/>
              <w:rPr>
                <w:b/>
                <w:sz w:val="18"/>
              </w:rPr>
            </w:pPr>
            <w:r w:rsidRPr="0013732F">
              <w:rPr>
                <w:b/>
                <w:sz w:val="18"/>
              </w:rPr>
              <w:t>892</w:t>
            </w:r>
          </w:p>
        </w:tc>
      </w:tr>
    </w:tbl>
    <w:p w14:paraId="5A76E22D" w14:textId="3216EB98" w:rsidR="00286956" w:rsidRPr="0013732F" w:rsidRDefault="00286956" w:rsidP="0013732F">
      <w:pPr>
        <w:pStyle w:val="SingleTxtG"/>
        <w:spacing w:before="120" w:after="240" w:line="220" w:lineRule="atLeast"/>
        <w:ind w:firstLine="170"/>
        <w:jc w:val="left"/>
        <w:rPr>
          <w:sz w:val="18"/>
          <w:szCs w:val="18"/>
        </w:rPr>
      </w:pPr>
      <w:r w:rsidRPr="0013732F">
        <w:rPr>
          <w:i/>
          <w:iCs/>
          <w:sz w:val="18"/>
          <w:szCs w:val="18"/>
        </w:rPr>
        <w:t>Source</w:t>
      </w:r>
      <w:r w:rsidRPr="0013732F">
        <w:rPr>
          <w:sz w:val="18"/>
          <w:szCs w:val="18"/>
        </w:rPr>
        <w:t> : Interpol</w:t>
      </w:r>
      <w:r w:rsidR="0013732F">
        <w:rPr>
          <w:sz w:val="18"/>
          <w:szCs w:val="18"/>
        </w:rPr>
        <w:t>.</w:t>
      </w:r>
    </w:p>
    <w:p w14:paraId="1DCFBC74" w14:textId="254FA7EA" w:rsidR="00286956" w:rsidRPr="008516D1" w:rsidRDefault="00286956" w:rsidP="0013732F">
      <w:pPr>
        <w:pStyle w:val="SingleTxtG"/>
      </w:pPr>
      <w:r w:rsidRPr="008516D1">
        <w:t>42.</w:t>
      </w:r>
      <w:r w:rsidRPr="008516D1">
        <w:tab/>
        <w:t>Sans</w:t>
      </w:r>
      <w:r>
        <w:t xml:space="preserve"> </w:t>
      </w:r>
      <w:r w:rsidRPr="008516D1">
        <w:t>préjudice</w:t>
      </w:r>
      <w:r>
        <w:t xml:space="preserve"> </w:t>
      </w:r>
      <w:r w:rsidRPr="008516D1">
        <w:t>de</w:t>
      </w:r>
      <w:r>
        <w:t xml:space="preserve"> </w:t>
      </w:r>
      <w:r w:rsidRPr="008516D1">
        <w:t>l</w:t>
      </w:r>
      <w:r>
        <w:t>’</w:t>
      </w:r>
      <w:r w:rsidRPr="008516D1">
        <w:t>action</w:t>
      </w:r>
      <w:r>
        <w:t xml:space="preserve"> </w:t>
      </w:r>
      <w:r w:rsidRPr="008516D1">
        <w:t>pénale</w:t>
      </w:r>
      <w:r>
        <w:t xml:space="preserve"> </w:t>
      </w:r>
      <w:r w:rsidRPr="008516D1">
        <w:t>correspondante,</w:t>
      </w:r>
      <w:r>
        <w:t xml:space="preserve"> </w:t>
      </w:r>
      <w:r w:rsidRPr="008516D1">
        <w:t>la</w:t>
      </w:r>
      <w:r>
        <w:t xml:space="preserve"> </w:t>
      </w:r>
      <w:r w:rsidRPr="008516D1">
        <w:t>loi</w:t>
      </w:r>
      <w:r>
        <w:t xml:space="preserve"> </w:t>
      </w:r>
      <w:r w:rsidRPr="008516D1">
        <w:t>organique</w:t>
      </w:r>
      <w:r>
        <w:t xml:space="preserve"> </w:t>
      </w:r>
      <w:r w:rsidRPr="008516D1">
        <w:t>relative</w:t>
      </w:r>
      <w:r>
        <w:t xml:space="preserve"> </w:t>
      </w:r>
      <w:r w:rsidRPr="008516D1">
        <w:t>au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habilite</w:t>
      </w:r>
      <w:r>
        <w:t xml:space="preserve"> </w:t>
      </w:r>
      <w:r w:rsidRPr="008516D1">
        <w:t>la</w:t>
      </w:r>
      <w:r>
        <w:t xml:space="preserve"> </w:t>
      </w:r>
      <w:r w:rsidRPr="008516D1">
        <w:t>Direction</w:t>
      </w:r>
      <w:r>
        <w:t xml:space="preserve"> </w:t>
      </w:r>
      <w:r w:rsidRPr="008516D1">
        <w:t>des</w:t>
      </w:r>
      <w:r>
        <w:t xml:space="preserve"> </w:t>
      </w:r>
      <w:r w:rsidRPr="008516D1">
        <w:t>affaires</w:t>
      </w:r>
      <w:r>
        <w:t xml:space="preserve"> </w:t>
      </w:r>
      <w:r w:rsidRPr="008516D1">
        <w:t>disciplinaires</w:t>
      </w:r>
      <w:r>
        <w:t xml:space="preserve"> </w:t>
      </w:r>
      <w:r w:rsidRPr="008516D1">
        <w:t>de</w:t>
      </w:r>
      <w:r>
        <w:t xml:space="preserve"> </w:t>
      </w:r>
      <w:r w:rsidRPr="008516D1">
        <w:t>la</w:t>
      </w:r>
      <w:r>
        <w:t xml:space="preserve"> </w:t>
      </w:r>
      <w:r w:rsidRPr="008516D1">
        <w:t>police</w:t>
      </w:r>
      <w:r>
        <w:t xml:space="preserve"> </w:t>
      </w:r>
      <w:r w:rsidRPr="008516D1">
        <w:t>à</w:t>
      </w:r>
      <w:r>
        <w:t xml:space="preserve"> </w:t>
      </w:r>
      <w:r w:rsidRPr="008516D1">
        <w:t>enquêter</w:t>
      </w:r>
      <w:r>
        <w:t xml:space="preserve"> </w:t>
      </w:r>
      <w:r w:rsidRPr="008516D1">
        <w:t>sur</w:t>
      </w:r>
      <w:r>
        <w:t xml:space="preserve"> </w:t>
      </w:r>
      <w:r w:rsidRPr="008516D1">
        <w:t>les</w:t>
      </w:r>
      <w:r>
        <w:t xml:space="preserve"> </w:t>
      </w:r>
      <w:r w:rsidRPr="008516D1">
        <w:t>infractions</w:t>
      </w:r>
      <w:r>
        <w:t xml:space="preserve"> </w:t>
      </w:r>
      <w:r w:rsidRPr="008516D1">
        <w:t>graves</w:t>
      </w:r>
      <w:r>
        <w:t xml:space="preserve"> </w:t>
      </w:r>
      <w:r w:rsidRPr="008516D1">
        <w:t>et</w:t>
      </w:r>
      <w:r>
        <w:t xml:space="preserve"> </w:t>
      </w:r>
      <w:r w:rsidRPr="008516D1">
        <w:t>très</w:t>
      </w:r>
      <w:r>
        <w:t xml:space="preserve"> </w:t>
      </w:r>
      <w:r w:rsidRPr="008516D1">
        <w:t>graves</w:t>
      </w:r>
      <w:r>
        <w:t xml:space="preserve"> </w:t>
      </w:r>
      <w:r w:rsidRPr="008516D1">
        <w:t>dans</w:t>
      </w:r>
      <w:r>
        <w:t xml:space="preserve"> </w:t>
      </w:r>
      <w:r w:rsidRPr="008516D1">
        <w:t>lesquelles</w:t>
      </w:r>
      <w:r>
        <w:t xml:space="preserve"> </w:t>
      </w:r>
      <w:r w:rsidRPr="008516D1">
        <w:t>sont</w:t>
      </w:r>
      <w:r>
        <w:t xml:space="preserve"> </w:t>
      </w:r>
      <w:r w:rsidRPr="008516D1">
        <w:t>impliqués</w:t>
      </w:r>
      <w:r>
        <w:t xml:space="preserve"> </w:t>
      </w:r>
      <w:r w:rsidRPr="008516D1">
        <w:t>des</w:t>
      </w:r>
      <w:r>
        <w:t xml:space="preserve"> </w:t>
      </w:r>
      <w:r w:rsidRPr="008516D1">
        <w:t>policiers.</w:t>
      </w:r>
      <w:r>
        <w:t xml:space="preserve"> </w:t>
      </w:r>
      <w:r w:rsidRPr="008516D1">
        <w:t>Entre</w:t>
      </w:r>
      <w:r>
        <w:t xml:space="preserve"> </w:t>
      </w:r>
      <w:r w:rsidRPr="008516D1">
        <w:t>2018</w:t>
      </w:r>
      <w:r>
        <w:t xml:space="preserve"> </w:t>
      </w:r>
      <w:r w:rsidRPr="008516D1">
        <w:t>et</w:t>
      </w:r>
      <w:r>
        <w:t xml:space="preserve"> </w:t>
      </w:r>
      <w:r w:rsidRPr="008516D1">
        <w:t>avril</w:t>
      </w:r>
      <w:r>
        <w:t xml:space="preserve"> </w:t>
      </w:r>
      <w:r w:rsidRPr="008516D1">
        <w:t>2021,</w:t>
      </w:r>
      <w:r>
        <w:t xml:space="preserve"> </w:t>
      </w:r>
      <w:r w:rsidRPr="008516D1">
        <w:t>cette</w:t>
      </w:r>
      <w:r>
        <w:t xml:space="preserve"> </w:t>
      </w:r>
      <w:r w:rsidRPr="008516D1">
        <w:t>direction</w:t>
      </w:r>
      <w:r>
        <w:t xml:space="preserve"> </w:t>
      </w:r>
      <w:r w:rsidRPr="008516D1">
        <w:t>a</w:t>
      </w:r>
      <w:r>
        <w:t xml:space="preserve"> </w:t>
      </w:r>
      <w:r w:rsidRPr="008516D1">
        <w:t>eu</w:t>
      </w:r>
      <w:r>
        <w:t xml:space="preserve"> </w:t>
      </w:r>
      <w:r w:rsidRPr="008516D1">
        <w:t>connaissance</w:t>
      </w:r>
      <w:r>
        <w:t xml:space="preserve"> </w:t>
      </w:r>
      <w:r w:rsidRPr="008516D1">
        <w:t>de</w:t>
      </w:r>
      <w:r>
        <w:t xml:space="preserve"> </w:t>
      </w:r>
      <w:r w:rsidRPr="008516D1">
        <w:t>17</w:t>
      </w:r>
      <w:r w:rsidR="00A74554">
        <w:t> </w:t>
      </w:r>
      <w:r w:rsidRPr="008516D1">
        <w:t>plaintes</w:t>
      </w:r>
      <w:r>
        <w:t xml:space="preserve"> </w:t>
      </w:r>
      <w:r w:rsidRPr="008516D1">
        <w:t>pour</w:t>
      </w:r>
      <w:r>
        <w:t xml:space="preserve"> </w:t>
      </w:r>
      <w:r w:rsidRPr="008516D1">
        <w:t>disparition</w:t>
      </w:r>
      <w:r>
        <w:t xml:space="preserve"> </w:t>
      </w:r>
      <w:r w:rsidRPr="008516D1">
        <w:t>forcée</w:t>
      </w:r>
      <w:r>
        <w:t xml:space="preserve"> </w:t>
      </w:r>
      <w:r w:rsidRPr="008516D1">
        <w:t>et</w:t>
      </w:r>
      <w:r>
        <w:t xml:space="preserve"> </w:t>
      </w:r>
      <w:r w:rsidRPr="008516D1">
        <w:t>28</w:t>
      </w:r>
      <w:r w:rsidR="00A74554">
        <w:t> </w:t>
      </w:r>
      <w:r w:rsidRPr="008516D1">
        <w:t>plaintes</w:t>
      </w:r>
      <w:r>
        <w:t xml:space="preserve"> </w:t>
      </w:r>
      <w:r w:rsidRPr="008516D1">
        <w:t>pour</w:t>
      </w:r>
      <w:r>
        <w:t xml:space="preserve"> </w:t>
      </w:r>
      <w:r w:rsidRPr="008516D1">
        <w:t>détention</w:t>
      </w:r>
      <w:r>
        <w:t xml:space="preserve"> </w:t>
      </w:r>
      <w:r w:rsidRPr="008516D1">
        <w:t>illégale,</w:t>
      </w:r>
      <w:r>
        <w:t xml:space="preserve"> </w:t>
      </w:r>
      <w:r w:rsidRPr="008516D1">
        <w:t>qui</w:t>
      </w:r>
      <w:r>
        <w:t xml:space="preserve"> </w:t>
      </w:r>
      <w:r w:rsidRPr="008516D1">
        <w:t>font</w:t>
      </w:r>
      <w:r>
        <w:t xml:space="preserve"> </w:t>
      </w:r>
      <w:r w:rsidRPr="008516D1">
        <w:t>l</w:t>
      </w:r>
      <w:r>
        <w:t>’</w:t>
      </w:r>
      <w:r w:rsidRPr="008516D1">
        <w:t>objet</w:t>
      </w:r>
      <w:r>
        <w:t xml:space="preserve"> </w:t>
      </w:r>
      <w:r w:rsidRPr="008516D1">
        <w:t>d</w:t>
      </w:r>
      <w:r>
        <w:t>’</w:t>
      </w:r>
      <w:r w:rsidRPr="008516D1">
        <w:t>une</w:t>
      </w:r>
      <w:r>
        <w:t xml:space="preserve"> </w:t>
      </w:r>
      <w:r w:rsidRPr="008516D1">
        <w:t>enquête</w:t>
      </w:r>
      <w:r>
        <w:t xml:space="preserve"> </w:t>
      </w:r>
      <w:r w:rsidRPr="008516D1">
        <w:t>avant</w:t>
      </w:r>
      <w:r>
        <w:t xml:space="preserve"> </w:t>
      </w:r>
      <w:r w:rsidRPr="008516D1">
        <w:t>d</w:t>
      </w:r>
      <w:r>
        <w:t>’</w:t>
      </w:r>
      <w:r w:rsidRPr="008516D1">
        <w:t>être</w:t>
      </w:r>
      <w:r>
        <w:t xml:space="preserve"> </w:t>
      </w:r>
      <w:r w:rsidRPr="008516D1">
        <w:t>transmises</w:t>
      </w:r>
      <w:r>
        <w:t xml:space="preserve"> </w:t>
      </w:r>
      <w:r w:rsidRPr="008516D1">
        <w:t>au</w:t>
      </w:r>
      <w:r>
        <w:t xml:space="preserve"> </w:t>
      </w:r>
      <w:r w:rsidRPr="008516D1">
        <w:t>ministère</w:t>
      </w:r>
      <w:r>
        <w:t xml:space="preserve"> </w:t>
      </w:r>
      <w:r w:rsidRPr="008516D1">
        <w:t>public.</w:t>
      </w:r>
    </w:p>
    <w:p w14:paraId="457D7B64" w14:textId="06C2DBB5" w:rsidR="00286956" w:rsidRPr="008516D1" w:rsidRDefault="00286956" w:rsidP="0013732F">
      <w:pPr>
        <w:pStyle w:val="SingleTxtG"/>
      </w:pPr>
      <w:r w:rsidRPr="008516D1">
        <w:t>43.</w:t>
      </w:r>
      <w:r w:rsidRPr="008516D1">
        <w:tab/>
        <w:t>Sur</w:t>
      </w:r>
      <w:r>
        <w:t xml:space="preserve"> </w:t>
      </w:r>
      <w:r w:rsidRPr="008516D1">
        <w:t>les</w:t>
      </w:r>
      <w:r>
        <w:t xml:space="preserve"> </w:t>
      </w:r>
      <w:r w:rsidRPr="008516D1">
        <w:t>17</w:t>
      </w:r>
      <w:r w:rsidR="00A74554">
        <w:t> </w:t>
      </w:r>
      <w:r w:rsidRPr="008516D1">
        <w:t>dossiers</w:t>
      </w:r>
      <w:r>
        <w:t xml:space="preserve"> </w:t>
      </w:r>
      <w:r w:rsidRPr="008516D1">
        <w:t>de</w:t>
      </w:r>
      <w:r>
        <w:t xml:space="preserve"> </w:t>
      </w:r>
      <w:r w:rsidRPr="008516D1">
        <w:t>disparition</w:t>
      </w:r>
      <w:r>
        <w:t xml:space="preserve"> </w:t>
      </w:r>
      <w:r w:rsidRPr="008516D1">
        <w:t>forcée,</w:t>
      </w:r>
      <w:r>
        <w:t xml:space="preserve"> </w:t>
      </w:r>
      <w:r w:rsidR="00A647FA">
        <w:t>1</w:t>
      </w:r>
      <w:r>
        <w:t xml:space="preserve"> </w:t>
      </w:r>
      <w:r w:rsidRPr="008516D1">
        <w:t>est</w:t>
      </w:r>
      <w:r>
        <w:t xml:space="preserve"> </w:t>
      </w:r>
      <w:r w:rsidRPr="008516D1">
        <w:t>en</w:t>
      </w:r>
      <w:r>
        <w:t xml:space="preserve"> </w:t>
      </w:r>
      <w:r w:rsidRPr="008516D1">
        <w:t>attente</w:t>
      </w:r>
      <w:r>
        <w:t xml:space="preserve"> </w:t>
      </w:r>
      <w:r w:rsidRPr="008516D1">
        <w:t>de</w:t>
      </w:r>
      <w:r>
        <w:t xml:space="preserve"> </w:t>
      </w:r>
      <w:r w:rsidRPr="008516D1">
        <w:t>renvoi</w:t>
      </w:r>
      <w:r>
        <w:t xml:space="preserve"> </w:t>
      </w:r>
      <w:r w:rsidRPr="008516D1">
        <w:t>devant</w:t>
      </w:r>
      <w:r>
        <w:t xml:space="preserve"> </w:t>
      </w:r>
      <w:r w:rsidRPr="008516D1">
        <w:t>la</w:t>
      </w:r>
      <w:r>
        <w:t xml:space="preserve"> </w:t>
      </w:r>
      <w:r w:rsidRPr="008516D1">
        <w:t>juridiction</w:t>
      </w:r>
      <w:r>
        <w:t xml:space="preserve"> </w:t>
      </w:r>
      <w:r w:rsidRPr="008516D1">
        <w:t>pénale,</w:t>
      </w:r>
      <w:r>
        <w:t xml:space="preserve"> </w:t>
      </w:r>
      <w:r w:rsidR="00A647FA">
        <w:t>1</w:t>
      </w:r>
      <w:r>
        <w:t xml:space="preserve"> </w:t>
      </w:r>
      <w:r w:rsidRPr="008516D1">
        <w:t>fait</w:t>
      </w:r>
      <w:r>
        <w:t xml:space="preserve"> </w:t>
      </w:r>
      <w:r w:rsidRPr="008516D1">
        <w:t>l</w:t>
      </w:r>
      <w:r>
        <w:t>’</w:t>
      </w:r>
      <w:r w:rsidRPr="008516D1">
        <w:t>objet</w:t>
      </w:r>
      <w:r>
        <w:t xml:space="preserve"> </w:t>
      </w:r>
      <w:r w:rsidRPr="008516D1">
        <w:t>d</w:t>
      </w:r>
      <w:r>
        <w:t>’</w:t>
      </w:r>
      <w:r w:rsidRPr="008516D1">
        <w:t>une</w:t>
      </w:r>
      <w:r>
        <w:t xml:space="preserve"> </w:t>
      </w:r>
      <w:r w:rsidRPr="008516D1">
        <w:t>enquête</w:t>
      </w:r>
      <w:r>
        <w:t xml:space="preserve"> </w:t>
      </w:r>
      <w:r w:rsidRPr="008516D1">
        <w:t>et</w:t>
      </w:r>
      <w:r>
        <w:t xml:space="preserve"> </w:t>
      </w:r>
      <w:r w:rsidRPr="008516D1">
        <w:t>15</w:t>
      </w:r>
      <w:r>
        <w:t xml:space="preserve"> </w:t>
      </w:r>
      <w:r w:rsidRPr="008516D1">
        <w:t>ont</w:t>
      </w:r>
      <w:r>
        <w:t xml:space="preserve"> </w:t>
      </w:r>
      <w:r w:rsidRPr="008516D1">
        <w:t>donné</w:t>
      </w:r>
      <w:r>
        <w:t xml:space="preserve"> </w:t>
      </w:r>
      <w:r w:rsidRPr="008516D1">
        <w:t>lieu</w:t>
      </w:r>
      <w:r>
        <w:t xml:space="preserve"> </w:t>
      </w:r>
      <w:r w:rsidRPr="008516D1">
        <w:t>à</w:t>
      </w:r>
      <w:r>
        <w:t xml:space="preserve"> </w:t>
      </w:r>
      <w:r w:rsidRPr="008516D1">
        <w:t>des</w:t>
      </w:r>
      <w:r>
        <w:t xml:space="preserve"> </w:t>
      </w:r>
      <w:r w:rsidRPr="008516D1">
        <w:t>recommandations.</w:t>
      </w:r>
    </w:p>
    <w:p w14:paraId="79F38F94" w14:textId="77777777" w:rsidR="00286956" w:rsidRPr="008516D1" w:rsidRDefault="00286956" w:rsidP="0013732F">
      <w:pPr>
        <w:pStyle w:val="SingleTxtG"/>
      </w:pPr>
      <w:r w:rsidRPr="008516D1">
        <w:t>44.</w:t>
      </w:r>
      <w:r w:rsidRPr="008516D1">
        <w:tab/>
        <w:t>Il</w:t>
      </w:r>
      <w:r>
        <w:t xml:space="preserve"> </w:t>
      </w:r>
      <w:r w:rsidRPr="008516D1">
        <w:t>convient</w:t>
      </w:r>
      <w:r>
        <w:t xml:space="preserve"> </w:t>
      </w:r>
      <w:r w:rsidRPr="008516D1">
        <w:t>de</w:t>
      </w:r>
      <w:r>
        <w:t xml:space="preserve"> </w:t>
      </w:r>
      <w:r w:rsidRPr="008516D1">
        <w:t>souligner</w:t>
      </w:r>
      <w:r>
        <w:t xml:space="preserve"> </w:t>
      </w:r>
      <w:r w:rsidRPr="008516D1">
        <w:t>que</w:t>
      </w:r>
      <w:r>
        <w:t xml:space="preserve"> </w:t>
      </w:r>
      <w:r w:rsidRPr="008516D1">
        <w:t>la</w:t>
      </w:r>
      <w:r>
        <w:t xml:space="preserve"> </w:t>
      </w:r>
      <w:r w:rsidRPr="008516D1">
        <w:t>Direction</w:t>
      </w:r>
      <w:r>
        <w:t xml:space="preserve"> </w:t>
      </w:r>
      <w:r w:rsidRPr="008516D1">
        <w:t>des</w:t>
      </w:r>
      <w:r>
        <w:t xml:space="preserve"> </w:t>
      </w:r>
      <w:r w:rsidRPr="008516D1">
        <w:t>affaires</w:t>
      </w:r>
      <w:r>
        <w:t xml:space="preserve"> </w:t>
      </w:r>
      <w:r w:rsidRPr="008516D1">
        <w:t>disciplinaires</w:t>
      </w:r>
      <w:r>
        <w:t xml:space="preserve"> </w:t>
      </w:r>
      <w:r w:rsidRPr="008516D1">
        <w:t>de</w:t>
      </w:r>
      <w:r>
        <w:t xml:space="preserve"> </w:t>
      </w:r>
      <w:r w:rsidRPr="008516D1">
        <w:t>la</w:t>
      </w:r>
      <w:r>
        <w:t xml:space="preserve"> </w:t>
      </w:r>
      <w:r w:rsidRPr="008516D1">
        <w:t>police</w:t>
      </w:r>
      <w:r>
        <w:t xml:space="preserve"> </w:t>
      </w:r>
      <w:r w:rsidRPr="008516D1">
        <w:t>et</w:t>
      </w:r>
      <w:r>
        <w:t xml:space="preserve"> </w:t>
      </w:r>
      <w:r w:rsidRPr="008516D1">
        <w:t>le</w:t>
      </w:r>
      <w:r>
        <w:t xml:space="preserve"> </w:t>
      </w:r>
      <w:r w:rsidRPr="008516D1">
        <w:t>Système</w:t>
      </w:r>
      <w:r>
        <w:t xml:space="preserve"> </w:t>
      </w:r>
      <w:r w:rsidRPr="008516D1">
        <w:t>national</w:t>
      </w:r>
      <w:r>
        <w:t xml:space="preserve"> </w:t>
      </w:r>
      <w:r w:rsidRPr="008516D1">
        <w:t>d</w:t>
      </w:r>
      <w:r>
        <w:t>’</w:t>
      </w:r>
      <w:r w:rsidRPr="008516D1">
        <w:t>urgence</w:t>
      </w:r>
      <w:r>
        <w:t xml:space="preserve"> </w:t>
      </w:r>
      <w:r w:rsidRPr="008516D1">
        <w:t>911</w:t>
      </w:r>
      <w:r>
        <w:t xml:space="preserve"> </w:t>
      </w:r>
      <w:r w:rsidRPr="008516D1">
        <w:t>ont</w:t>
      </w:r>
      <w:r>
        <w:t xml:space="preserve"> </w:t>
      </w:r>
      <w:r w:rsidRPr="008516D1">
        <w:t>signé</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institutionnelle</w:t>
      </w:r>
      <w:r>
        <w:t xml:space="preserve"> </w:t>
      </w:r>
      <w:r w:rsidRPr="008516D1">
        <w:t>visant</w:t>
      </w:r>
      <w:r>
        <w:t xml:space="preserve"> </w:t>
      </w:r>
      <w:r w:rsidRPr="008516D1">
        <w:t>à</w:t>
      </w:r>
      <w:r>
        <w:t xml:space="preserve"> </w:t>
      </w:r>
      <w:r w:rsidRPr="008516D1">
        <w:t>partager</w:t>
      </w:r>
      <w:r>
        <w:t xml:space="preserve"> </w:t>
      </w:r>
      <w:r w:rsidRPr="008516D1">
        <w:t>les</w:t>
      </w:r>
      <w:r>
        <w:t xml:space="preserve"> </w:t>
      </w:r>
      <w:r w:rsidRPr="008516D1">
        <w:t>informations</w:t>
      </w:r>
      <w:r>
        <w:t xml:space="preserve"> </w:t>
      </w:r>
      <w:r w:rsidRPr="008516D1">
        <w:t>et</w:t>
      </w:r>
      <w:r>
        <w:t xml:space="preserve"> </w:t>
      </w:r>
      <w:r w:rsidRPr="008516D1">
        <w:t>les</w:t>
      </w:r>
      <w:r>
        <w:t xml:space="preserve"> </w:t>
      </w:r>
      <w:r w:rsidRPr="008516D1">
        <w:t>plaintes</w:t>
      </w:r>
      <w:r>
        <w:t xml:space="preserve"> </w:t>
      </w:r>
      <w:r w:rsidRPr="008516D1">
        <w:t>impliquant</w:t>
      </w:r>
      <w:r>
        <w:t xml:space="preserve"> </w:t>
      </w:r>
      <w:r w:rsidRPr="008516D1">
        <w:t>des</w:t>
      </w:r>
      <w:r>
        <w:t xml:space="preserve"> </w:t>
      </w:r>
      <w:r w:rsidRPr="008516D1">
        <w:t>policiers.</w:t>
      </w:r>
      <w:r>
        <w:t xml:space="preserve"> </w:t>
      </w:r>
      <w:r w:rsidRPr="008516D1">
        <w:t>Cet</w:t>
      </w:r>
      <w:r>
        <w:t xml:space="preserve"> </w:t>
      </w:r>
      <w:r w:rsidRPr="008516D1">
        <w:t>accord</w:t>
      </w:r>
      <w:r>
        <w:t xml:space="preserve"> </w:t>
      </w:r>
      <w:r w:rsidRPr="008516D1">
        <w:t>permettra</w:t>
      </w:r>
      <w:r>
        <w:t xml:space="preserve"> </w:t>
      </w:r>
      <w:r w:rsidRPr="008516D1">
        <w:t>de</w:t>
      </w:r>
      <w:r>
        <w:t xml:space="preserve"> </w:t>
      </w:r>
      <w:r w:rsidRPr="008516D1">
        <w:t>transmettre</w:t>
      </w:r>
      <w:r>
        <w:t xml:space="preserve"> </w:t>
      </w:r>
      <w:r w:rsidRPr="008516D1">
        <w:t>les</w:t>
      </w:r>
      <w:r>
        <w:t xml:space="preserve"> </w:t>
      </w:r>
      <w:r w:rsidRPr="008516D1">
        <w:t>plaintes,</w:t>
      </w:r>
      <w:r>
        <w:t xml:space="preserve"> </w:t>
      </w:r>
      <w:r w:rsidRPr="008516D1">
        <w:t>ainsi</w:t>
      </w:r>
      <w:r>
        <w:t xml:space="preserve"> </w:t>
      </w:r>
      <w:r w:rsidRPr="008516D1">
        <w:t>que</w:t>
      </w:r>
      <w:r>
        <w:t xml:space="preserve"> </w:t>
      </w:r>
      <w:r w:rsidRPr="008516D1">
        <w:t>des</w:t>
      </w:r>
      <w:r>
        <w:t xml:space="preserve"> </w:t>
      </w:r>
      <w:r w:rsidRPr="008516D1">
        <w:t>enregistrements</w:t>
      </w:r>
      <w:r>
        <w:t xml:space="preserve"> </w:t>
      </w:r>
      <w:r w:rsidRPr="008516D1">
        <w:t>vidéo,</w:t>
      </w:r>
      <w:r>
        <w:t xml:space="preserve"> </w:t>
      </w:r>
      <w:r w:rsidRPr="008516D1">
        <w:t>audios</w:t>
      </w:r>
      <w:r>
        <w:t xml:space="preserve"> </w:t>
      </w:r>
      <w:r w:rsidRPr="008516D1">
        <w:t>et</w:t>
      </w:r>
      <w:r>
        <w:t xml:space="preserve"> </w:t>
      </w:r>
      <w:r w:rsidRPr="008516D1">
        <w:t>autres</w:t>
      </w:r>
      <w:r>
        <w:t xml:space="preserve"> </w:t>
      </w:r>
      <w:r w:rsidRPr="008516D1">
        <w:t>types</w:t>
      </w:r>
      <w:r>
        <w:t xml:space="preserve"> </w:t>
      </w:r>
      <w:r w:rsidRPr="008516D1">
        <w:t>d</w:t>
      </w:r>
      <w:r>
        <w:t>’</w:t>
      </w:r>
      <w:r w:rsidRPr="008516D1">
        <w:t>éléments</w:t>
      </w:r>
      <w:r>
        <w:t xml:space="preserve"> </w:t>
      </w:r>
      <w:r w:rsidRPr="008516D1">
        <w:t>de</w:t>
      </w:r>
      <w:r>
        <w:t xml:space="preserve"> </w:t>
      </w:r>
      <w:r w:rsidRPr="008516D1">
        <w:t>preuve,</w:t>
      </w:r>
      <w:r>
        <w:t xml:space="preserve"> </w:t>
      </w:r>
      <w:r w:rsidRPr="008516D1">
        <w:t>concernant</w:t>
      </w:r>
      <w:r>
        <w:t xml:space="preserve"> </w:t>
      </w:r>
      <w:r w:rsidRPr="008516D1">
        <w:t>des</w:t>
      </w:r>
      <w:r>
        <w:t xml:space="preserve"> </w:t>
      </w:r>
      <w:r w:rsidRPr="008516D1">
        <w:t>infractions</w:t>
      </w:r>
      <w:r>
        <w:t xml:space="preserve"> </w:t>
      </w:r>
      <w:r w:rsidRPr="008516D1">
        <w:t>commises</w:t>
      </w:r>
      <w:r>
        <w:t xml:space="preserve"> </w:t>
      </w:r>
      <w:r w:rsidRPr="008516D1">
        <w:t>par</w:t>
      </w:r>
      <w:r>
        <w:t xml:space="preserve"> </w:t>
      </w:r>
      <w:r w:rsidRPr="008516D1">
        <w:t>des</w:t>
      </w:r>
      <w:r>
        <w:t xml:space="preserve"> </w:t>
      </w:r>
      <w:r w:rsidRPr="008516D1">
        <w:t>policiers</w:t>
      </w:r>
      <w:r>
        <w:t xml:space="preserve"> </w:t>
      </w:r>
      <w:r w:rsidRPr="008516D1">
        <w:t>dans</w:t>
      </w:r>
      <w:r>
        <w:t xml:space="preserve"> </w:t>
      </w:r>
      <w:r w:rsidRPr="008516D1">
        <w:t>l</w:t>
      </w:r>
      <w:r>
        <w:t>’</w:t>
      </w:r>
      <w:r w:rsidRPr="008516D1">
        <w:t>exercice</w:t>
      </w:r>
      <w:r>
        <w:t xml:space="preserve"> </w:t>
      </w:r>
      <w:r w:rsidRPr="008516D1">
        <w:t>de</w:t>
      </w:r>
      <w:r>
        <w:t xml:space="preserve"> </w:t>
      </w:r>
      <w:r w:rsidRPr="008516D1">
        <w:t>leurs</w:t>
      </w:r>
      <w:r>
        <w:t xml:space="preserve"> </w:t>
      </w:r>
      <w:r w:rsidRPr="008516D1">
        <w:t>fonctions,</w:t>
      </w:r>
      <w:r>
        <w:t xml:space="preserve"> </w:t>
      </w:r>
      <w:r w:rsidRPr="008516D1">
        <w:t>afin</w:t>
      </w:r>
      <w:r>
        <w:t xml:space="preserve"> </w:t>
      </w:r>
      <w:r w:rsidRPr="008516D1">
        <w:t>de</w:t>
      </w:r>
      <w:r>
        <w:t xml:space="preserve"> </w:t>
      </w:r>
      <w:r w:rsidRPr="008516D1">
        <w:t>déclencher</w:t>
      </w:r>
      <w:r>
        <w:t xml:space="preserve"> </w:t>
      </w:r>
      <w:r w:rsidRPr="008516D1">
        <w:t>l</w:t>
      </w:r>
      <w:r>
        <w:t>’</w:t>
      </w:r>
      <w:r w:rsidRPr="008516D1">
        <w:t>enquête</w:t>
      </w:r>
      <w:r>
        <w:t xml:space="preserve"> </w:t>
      </w:r>
      <w:r w:rsidRPr="008516D1">
        <w:t>prévue</w:t>
      </w:r>
      <w:r>
        <w:t xml:space="preserve"> </w:t>
      </w:r>
      <w:r w:rsidRPr="008516D1">
        <w:t>par</w:t>
      </w:r>
      <w:r>
        <w:t xml:space="preserve"> </w:t>
      </w:r>
      <w:r w:rsidRPr="008516D1">
        <w:t>la</w:t>
      </w:r>
      <w:r>
        <w:t xml:space="preserve"> </w:t>
      </w:r>
      <w:r w:rsidRPr="008516D1">
        <w:t>loi</w:t>
      </w:r>
      <w:r w:rsidRPr="008516D1">
        <w:rPr>
          <w:rStyle w:val="Appelnotedebasdep"/>
        </w:rPr>
        <w:footnoteReference w:id="60"/>
      </w:r>
      <w:r w:rsidRPr="008516D1">
        <w:t>.</w:t>
      </w:r>
    </w:p>
    <w:p w14:paraId="0FD82252" w14:textId="4977BE3A" w:rsidR="00286956" w:rsidRPr="008516D1" w:rsidRDefault="00286956" w:rsidP="0013732F">
      <w:pPr>
        <w:pStyle w:val="SingleTxtG"/>
      </w:pPr>
      <w:r w:rsidRPr="008516D1">
        <w:t>45.</w:t>
      </w:r>
      <w:r w:rsidRPr="008516D1">
        <w:tab/>
        <w:t>D</w:t>
      </w:r>
      <w:r>
        <w:t>’</w:t>
      </w:r>
      <w:r w:rsidRPr="008516D1">
        <w:t>autre</w:t>
      </w:r>
      <w:r>
        <w:t xml:space="preserve"> </w:t>
      </w:r>
      <w:r w:rsidRPr="008516D1">
        <w:t>part,</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reçu</w:t>
      </w:r>
      <w:r>
        <w:t xml:space="preserve"> </w:t>
      </w:r>
      <w:r w:rsidRPr="008516D1">
        <w:t>23</w:t>
      </w:r>
      <w:r w:rsidR="00A74554">
        <w:t> </w:t>
      </w:r>
      <w:r w:rsidRPr="008516D1">
        <w:t>plaintes</w:t>
      </w:r>
      <w:r>
        <w:t xml:space="preserve"> </w:t>
      </w:r>
      <w:r w:rsidRPr="008516D1">
        <w:t>pour</w:t>
      </w:r>
      <w:r>
        <w:t xml:space="preserve"> </w:t>
      </w:r>
      <w:r w:rsidRPr="008516D1">
        <w:t>disparition</w:t>
      </w:r>
      <w:r>
        <w:t xml:space="preserve"> </w:t>
      </w:r>
      <w:r w:rsidRPr="008516D1">
        <w:t>forcée</w:t>
      </w:r>
      <w:r>
        <w:t xml:space="preserve"> </w:t>
      </w:r>
      <w:r w:rsidRPr="008516D1">
        <w:t>en</w:t>
      </w:r>
      <w:r>
        <w:t xml:space="preserve"> </w:t>
      </w:r>
      <w:r w:rsidRPr="008516D1">
        <w:t>2016,</w:t>
      </w:r>
      <w:r>
        <w:t xml:space="preserve"> </w:t>
      </w:r>
      <w:r w:rsidRPr="008516D1">
        <w:t>28</w:t>
      </w:r>
      <w:r>
        <w:t xml:space="preserve"> </w:t>
      </w:r>
      <w:r w:rsidRPr="008516D1">
        <w:t>en</w:t>
      </w:r>
      <w:r>
        <w:t xml:space="preserve"> </w:t>
      </w:r>
      <w:r w:rsidRPr="008516D1">
        <w:t>2018,</w:t>
      </w:r>
      <w:r>
        <w:t xml:space="preserve"> </w:t>
      </w:r>
      <w:r w:rsidRPr="008516D1">
        <w:t>9</w:t>
      </w:r>
      <w:r>
        <w:t xml:space="preserve"> </w:t>
      </w:r>
      <w:r w:rsidRPr="008516D1">
        <w:t>en</w:t>
      </w:r>
      <w:r>
        <w:t xml:space="preserve"> </w:t>
      </w:r>
      <w:r w:rsidRPr="008516D1">
        <w:t>2019</w:t>
      </w:r>
      <w:r>
        <w:t xml:space="preserve"> </w:t>
      </w:r>
      <w:r w:rsidRPr="008516D1">
        <w:t>et</w:t>
      </w:r>
      <w:r>
        <w:t xml:space="preserve"> </w:t>
      </w:r>
      <w:r w:rsidRPr="008516D1">
        <w:t>30</w:t>
      </w:r>
      <w:r>
        <w:t xml:space="preserve"> </w:t>
      </w:r>
      <w:r w:rsidRPr="008516D1">
        <w:t>en</w:t>
      </w:r>
      <w:r>
        <w:t xml:space="preserve"> </w:t>
      </w:r>
      <w:r w:rsidRPr="008516D1">
        <w:t>2020</w:t>
      </w:r>
      <w:r w:rsidRPr="008516D1">
        <w:rPr>
          <w:rStyle w:val="Appelnotedebasdep"/>
        </w:rPr>
        <w:footnoteReference w:id="61"/>
      </w:r>
      <w:r w:rsidRPr="008516D1">
        <w:t>.</w:t>
      </w:r>
    </w:p>
    <w:p w14:paraId="71A95983" w14:textId="7D1F486F" w:rsidR="00286956" w:rsidRPr="008516D1" w:rsidRDefault="00286956" w:rsidP="0013732F">
      <w:pPr>
        <w:pStyle w:val="SingleTxtG"/>
      </w:pPr>
      <w:r w:rsidRPr="008516D1">
        <w:t>46.</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25</w:t>
      </w:r>
      <w:r w:rsidR="00A74554">
        <w:t> b)</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accélérer</w:t>
      </w:r>
      <w:r>
        <w:t xml:space="preserve"> </w:t>
      </w:r>
      <w:r w:rsidRPr="008516D1">
        <w:t>les</w:t>
      </w:r>
      <w:r>
        <w:t xml:space="preserve"> </w:t>
      </w:r>
      <w:r w:rsidRPr="008516D1">
        <w:t>enquêtes</w:t>
      </w:r>
      <w:r>
        <w:t xml:space="preserve"> </w:t>
      </w:r>
      <w:r w:rsidRPr="008516D1">
        <w:t>pour</w:t>
      </w:r>
      <w:r>
        <w:t xml:space="preserve"> </w:t>
      </w:r>
      <w:r w:rsidRPr="008516D1">
        <w:t>disparition</w:t>
      </w:r>
      <w:r>
        <w:t xml:space="preserve"> </w:t>
      </w:r>
      <w:r w:rsidRPr="008516D1">
        <w:t>forcée</w:t>
      </w:r>
      <w:r>
        <w:t xml:space="preserve"> </w:t>
      </w:r>
      <w:r w:rsidRPr="008516D1">
        <w:t>en</w:t>
      </w:r>
      <w:r>
        <w:t xml:space="preserve"> </w:t>
      </w:r>
      <w:r w:rsidRPr="008516D1">
        <w:t>cours</w:t>
      </w:r>
      <w:r>
        <w:t xml:space="preserve"> </w:t>
      </w:r>
      <w:r w:rsidRPr="008516D1">
        <w:t>et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tous</w:t>
      </w:r>
      <w:r>
        <w:t xml:space="preserve"> </w:t>
      </w:r>
      <w:r w:rsidRPr="008516D1">
        <w:t>les</w:t>
      </w:r>
      <w:r>
        <w:t xml:space="preserve"> </w:t>
      </w:r>
      <w:r w:rsidRPr="008516D1">
        <w:t>cas</w:t>
      </w:r>
      <w:r>
        <w:t xml:space="preserve"> </w:t>
      </w:r>
      <w:r w:rsidRPr="008516D1">
        <w:t>de</w:t>
      </w:r>
      <w:r>
        <w:t xml:space="preserve"> </w:t>
      </w:r>
      <w:r w:rsidRPr="008516D1">
        <w:t>disparition</w:t>
      </w:r>
      <w:r>
        <w:t xml:space="preserve"> </w:t>
      </w:r>
      <w:r w:rsidRPr="008516D1">
        <w:t>forcée</w:t>
      </w:r>
      <w:r>
        <w:t xml:space="preserve"> </w:t>
      </w:r>
      <w:r w:rsidRPr="008516D1">
        <w:t>fassent</w:t>
      </w:r>
      <w:r>
        <w:t xml:space="preserve"> </w:t>
      </w:r>
      <w:r w:rsidRPr="008516D1">
        <w:t>rapidement</w:t>
      </w:r>
      <w:r>
        <w:t xml:space="preserve"> </w:t>
      </w:r>
      <w:r w:rsidRPr="008516D1">
        <w:t>l</w:t>
      </w:r>
      <w:r>
        <w:t>’</w:t>
      </w:r>
      <w:r w:rsidRPr="008516D1">
        <w:t>objet</w:t>
      </w:r>
      <w:r>
        <w:t xml:space="preserve"> </w:t>
      </w:r>
      <w:r w:rsidRPr="008516D1">
        <w:t>d</w:t>
      </w:r>
      <w:r>
        <w:t>’</w:t>
      </w:r>
      <w:r w:rsidRPr="008516D1">
        <w:t>enquêtes,</w:t>
      </w:r>
      <w:r>
        <w:t xml:space="preserve"> </w:t>
      </w:r>
      <w:r w:rsidRPr="008516D1">
        <w:t>de</w:t>
      </w:r>
      <w:r>
        <w:t xml:space="preserve"> </w:t>
      </w:r>
      <w:r w:rsidRPr="008516D1">
        <w:t>sorte</w:t>
      </w:r>
      <w:r>
        <w:t xml:space="preserve"> </w:t>
      </w:r>
      <w:r w:rsidRPr="008516D1">
        <w:t>que</w:t>
      </w:r>
      <w:r>
        <w:t xml:space="preserve"> </w:t>
      </w:r>
      <w:r w:rsidRPr="008516D1">
        <w:t>les</w:t>
      </w:r>
      <w:r>
        <w:t xml:space="preserve"> </w:t>
      </w:r>
      <w:r w:rsidRPr="008516D1">
        <w:t>auteurs</w:t>
      </w:r>
      <w:r>
        <w:t xml:space="preserve"> </w:t>
      </w:r>
      <w:r w:rsidRPr="008516D1">
        <w:t>présumés</w:t>
      </w:r>
      <w:r>
        <w:t xml:space="preserve"> </w:t>
      </w:r>
      <w:r w:rsidRPr="008516D1">
        <w:t>soient</w:t>
      </w:r>
      <w:r>
        <w:t xml:space="preserve"> </w:t>
      </w:r>
      <w:r w:rsidRPr="008516D1">
        <w:t>poursuivis</w:t>
      </w:r>
      <w:r>
        <w:t xml:space="preserve"> </w:t>
      </w:r>
      <w:r w:rsidRPr="008516D1">
        <w:t>et</w:t>
      </w:r>
      <w:r>
        <w:t xml:space="preserve"> </w:t>
      </w:r>
      <w:r w:rsidRPr="008516D1">
        <w:t>sanctionnés</w:t>
      </w:r>
      <w:r>
        <w:t xml:space="preserve"> </w:t>
      </w:r>
      <w:r w:rsidRPr="008516D1">
        <w:t>à</w:t>
      </w:r>
      <w:r>
        <w:t xml:space="preserve"> </w:t>
      </w:r>
      <w:r w:rsidRPr="008516D1">
        <w:t>la</w:t>
      </w:r>
      <w:r>
        <w:t xml:space="preserve"> </w:t>
      </w:r>
      <w:r w:rsidRPr="008516D1">
        <w:t>hauteur</w:t>
      </w:r>
      <w:r>
        <w:t xml:space="preserve"> </w:t>
      </w:r>
      <w:r w:rsidRPr="008516D1">
        <w:t>de</w:t>
      </w:r>
      <w:r>
        <w:t xml:space="preserve"> </w:t>
      </w:r>
      <w:r w:rsidRPr="008516D1">
        <w:t>l</w:t>
      </w:r>
      <w:r>
        <w:t>’</w:t>
      </w:r>
      <w:r w:rsidRPr="008516D1">
        <w:t>extrême</w:t>
      </w:r>
      <w:r>
        <w:t xml:space="preserve"> </w:t>
      </w:r>
      <w:r w:rsidRPr="008516D1">
        <w:t>gravité</w:t>
      </w:r>
      <w:r>
        <w:t xml:space="preserve"> </w:t>
      </w:r>
      <w:r w:rsidRPr="008516D1">
        <w:t>de</w:t>
      </w:r>
      <w:r>
        <w:t xml:space="preserve"> </w:t>
      </w:r>
      <w:r w:rsidRPr="008516D1">
        <w:t>leurs</w:t>
      </w:r>
      <w:r>
        <w:t xml:space="preserve"> </w:t>
      </w:r>
      <w:r w:rsidRPr="008516D1">
        <w:t>actes,</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les</w:t>
      </w:r>
      <w:r>
        <w:t xml:space="preserve"> </w:t>
      </w:r>
      <w:r w:rsidRPr="008516D1">
        <w:t>plaintes</w:t>
      </w:r>
      <w:r>
        <w:t xml:space="preserve"> </w:t>
      </w:r>
      <w:r w:rsidRPr="008516D1">
        <w:t>téléphoniques</w:t>
      </w:r>
      <w:r>
        <w:t xml:space="preserve"> </w:t>
      </w:r>
      <w:r w:rsidRPr="008516D1">
        <w:t>reçues</w:t>
      </w:r>
      <w:r>
        <w:t xml:space="preserve"> </w:t>
      </w:r>
      <w:r w:rsidRPr="008516D1">
        <w:t>24</w:t>
      </w:r>
      <w:r w:rsidR="00A74554">
        <w:t> </w:t>
      </w:r>
      <w:r w:rsidRPr="008516D1">
        <w:t>heures</w:t>
      </w:r>
      <w:r>
        <w:t xml:space="preserve"> </w:t>
      </w:r>
      <w:r w:rsidRPr="008516D1">
        <w:t>sur</w:t>
      </w:r>
      <w:r>
        <w:t xml:space="preserve"> </w:t>
      </w:r>
      <w:r w:rsidRPr="008516D1">
        <w:t>24</w:t>
      </w:r>
      <w:r>
        <w:t xml:space="preserve"> </w:t>
      </w:r>
      <w:r w:rsidRPr="008516D1">
        <w:t>par</w:t>
      </w:r>
      <w:r>
        <w:t xml:space="preserve"> </w:t>
      </w:r>
      <w:r w:rsidRPr="008516D1">
        <w:t>le</w:t>
      </w:r>
      <w:r>
        <w:t xml:space="preserve"> </w:t>
      </w:r>
      <w:r w:rsidRPr="008516D1">
        <w:t>Système</w:t>
      </w:r>
      <w:r>
        <w:t xml:space="preserve"> </w:t>
      </w:r>
      <w:r w:rsidRPr="008516D1">
        <w:t>national</w:t>
      </w:r>
      <w:r>
        <w:t xml:space="preserve"> </w:t>
      </w:r>
      <w:r w:rsidRPr="008516D1">
        <w:t>d</w:t>
      </w:r>
      <w:r>
        <w:t>’</w:t>
      </w:r>
      <w:r w:rsidRPr="008516D1">
        <w:t>urgence</w:t>
      </w:r>
      <w:r>
        <w:t xml:space="preserve"> </w:t>
      </w:r>
      <w:r w:rsidRPr="008516D1">
        <w:t>911</w:t>
      </w:r>
      <w:r>
        <w:t xml:space="preserve"> </w:t>
      </w:r>
      <w:r w:rsidRPr="008516D1">
        <w:t>sont</w:t>
      </w:r>
      <w:r>
        <w:t xml:space="preserve"> </w:t>
      </w:r>
      <w:r w:rsidRPr="008516D1">
        <w:t>traitées</w:t>
      </w:r>
      <w:r>
        <w:t xml:space="preserve"> </w:t>
      </w:r>
      <w:r w:rsidRPr="008516D1">
        <w:t>par</w:t>
      </w:r>
      <w:r>
        <w:t xml:space="preserve"> </w:t>
      </w:r>
      <w:r w:rsidRPr="008516D1">
        <w:t>du</w:t>
      </w:r>
      <w:r>
        <w:t xml:space="preserve"> </w:t>
      </w:r>
      <w:r w:rsidRPr="008516D1">
        <w:t>personnel</w:t>
      </w:r>
      <w:r>
        <w:t xml:space="preserve"> </w:t>
      </w:r>
      <w:r w:rsidRPr="008516D1">
        <w:t>qualifié,</w:t>
      </w:r>
      <w:r>
        <w:t xml:space="preserve"> </w:t>
      </w:r>
      <w:r w:rsidRPr="008516D1">
        <w:t>selon</w:t>
      </w:r>
      <w:r>
        <w:t xml:space="preserve"> </w:t>
      </w:r>
      <w:r w:rsidRPr="008516D1">
        <w:t>des</w:t>
      </w:r>
      <w:r>
        <w:t xml:space="preserve"> </w:t>
      </w:r>
      <w:r w:rsidRPr="008516D1">
        <w:t>protocoles</w:t>
      </w:r>
      <w:r>
        <w:t xml:space="preserve"> </w:t>
      </w:r>
      <w:r w:rsidRPr="008516D1">
        <w:t>garantissant</w:t>
      </w:r>
      <w:r>
        <w:t xml:space="preserve"> </w:t>
      </w:r>
      <w:r w:rsidRPr="008516D1">
        <w:t>leur</w:t>
      </w:r>
      <w:r>
        <w:t xml:space="preserve"> </w:t>
      </w:r>
      <w:r w:rsidRPr="008516D1">
        <w:t>confidentialité,</w:t>
      </w:r>
      <w:r>
        <w:t xml:space="preserve"> </w:t>
      </w:r>
      <w:r w:rsidRPr="008516D1">
        <w:t>puis</w:t>
      </w:r>
      <w:r>
        <w:t xml:space="preserve"> </w:t>
      </w:r>
      <w:r w:rsidRPr="008516D1">
        <w:t>transmises</w:t>
      </w:r>
      <w:r>
        <w:t xml:space="preserve"> </w:t>
      </w:r>
      <w:r w:rsidRPr="008516D1">
        <w:t>aux</w:t>
      </w:r>
      <w:r>
        <w:t xml:space="preserve"> </w:t>
      </w:r>
      <w:r w:rsidRPr="008516D1">
        <w:t>autorités</w:t>
      </w:r>
      <w:r>
        <w:t xml:space="preserve"> </w:t>
      </w:r>
      <w:r w:rsidRPr="008516D1">
        <w:t>ou</w:t>
      </w:r>
      <w:r>
        <w:t xml:space="preserve"> </w:t>
      </w:r>
      <w:r w:rsidRPr="008516D1">
        <w:t>unités</w:t>
      </w:r>
      <w:r>
        <w:t xml:space="preserve"> </w:t>
      </w:r>
      <w:r w:rsidRPr="008516D1">
        <w:t>compétentes</w:t>
      </w:r>
      <w:r>
        <w:t xml:space="preserve"> </w:t>
      </w:r>
      <w:r w:rsidRPr="008516D1">
        <w:t>aux</w:t>
      </w:r>
      <w:r>
        <w:t xml:space="preserve"> </w:t>
      </w:r>
      <w:r w:rsidRPr="008516D1">
        <w:t>fins</w:t>
      </w:r>
      <w:r>
        <w:t xml:space="preserve"> </w:t>
      </w:r>
      <w:r w:rsidRPr="008516D1">
        <w:t>de</w:t>
      </w:r>
      <w:r>
        <w:t xml:space="preserve"> </w:t>
      </w:r>
      <w:r w:rsidRPr="008516D1">
        <w:t>suivi</w:t>
      </w:r>
      <w:r>
        <w:t xml:space="preserve"> </w:t>
      </w:r>
      <w:r w:rsidRPr="008516D1">
        <w:t>et</w:t>
      </w:r>
      <w:r>
        <w:t xml:space="preserve"> </w:t>
      </w:r>
      <w:r w:rsidRPr="008516D1">
        <w:t>d</w:t>
      </w:r>
      <w:r>
        <w:t>’</w:t>
      </w:r>
      <w:r w:rsidRPr="008516D1">
        <w:t>enquête.</w:t>
      </w:r>
    </w:p>
    <w:p w14:paraId="08DBD980" w14:textId="4FAC87C4" w:rsidR="00286956" w:rsidRPr="008516D1" w:rsidRDefault="00286956" w:rsidP="00286956">
      <w:pPr>
        <w:pStyle w:val="SingleTxtG"/>
      </w:pPr>
      <w:r w:rsidRPr="008516D1">
        <w:t>47.</w:t>
      </w:r>
      <w:r w:rsidRPr="008516D1">
        <w:tab/>
        <w:t>Interpol</w:t>
      </w:r>
      <w:r>
        <w:t xml:space="preserve"> </w:t>
      </w:r>
      <w:r w:rsidRPr="008516D1">
        <w:t>a</w:t>
      </w:r>
      <w:r>
        <w:t xml:space="preserve"> </w:t>
      </w:r>
      <w:r w:rsidRPr="008516D1">
        <w:t>également</w:t>
      </w:r>
      <w:r>
        <w:t xml:space="preserve"> </w:t>
      </w:r>
      <w:r w:rsidRPr="008516D1">
        <w:t>mis</w:t>
      </w:r>
      <w:r>
        <w:t xml:space="preserve"> </w:t>
      </w:r>
      <w:r w:rsidRPr="008516D1">
        <w:t>en</w:t>
      </w:r>
      <w:r>
        <w:t xml:space="preserve"> </w:t>
      </w:r>
      <w:r w:rsidRPr="008516D1">
        <w:t>place</w:t>
      </w:r>
      <w:r>
        <w:t xml:space="preserve"> </w:t>
      </w:r>
      <w:r w:rsidRPr="008516D1">
        <w:t>un</w:t>
      </w:r>
      <w:r>
        <w:t xml:space="preserve"> </w:t>
      </w:r>
      <w:r w:rsidRPr="008516D1">
        <w:t>système</w:t>
      </w:r>
      <w:r>
        <w:t xml:space="preserve"> </w:t>
      </w:r>
      <w:r w:rsidRPr="008516D1">
        <w:t>de</w:t>
      </w:r>
      <w:r>
        <w:t xml:space="preserve"> </w:t>
      </w:r>
      <w:r w:rsidRPr="008516D1">
        <w:t>dépôt</w:t>
      </w:r>
      <w:r>
        <w:t xml:space="preserve"> </w:t>
      </w:r>
      <w:r w:rsidRPr="008516D1">
        <w:t>de</w:t>
      </w:r>
      <w:r>
        <w:t xml:space="preserve"> </w:t>
      </w:r>
      <w:r w:rsidRPr="008516D1">
        <w:t>plaintes</w:t>
      </w:r>
      <w:r>
        <w:t xml:space="preserve"> </w:t>
      </w:r>
      <w:r w:rsidRPr="008516D1">
        <w:t>via</w:t>
      </w:r>
      <w:r>
        <w:t xml:space="preserve"> </w:t>
      </w:r>
      <w:r w:rsidRPr="008516D1">
        <w:t>l</w:t>
      </w:r>
      <w:r>
        <w:t>’</w:t>
      </w:r>
      <w:r w:rsidRPr="008516D1">
        <w:t>adresse</w:t>
      </w:r>
      <w:r>
        <w:t xml:space="preserve"> </w:t>
      </w:r>
      <w:r w:rsidRPr="008516D1">
        <w:t>électronique</w:t>
      </w:r>
      <w:r>
        <w:t xml:space="preserve"> </w:t>
      </w:r>
      <w:hyperlink r:id="rId8" w:history="1">
        <w:r w:rsidRPr="00A74554">
          <w:rPr>
            <w:rStyle w:val="Lienhypertexte"/>
          </w:rPr>
          <w:t>interpol.dpi@seguridad.gob.hn</w:t>
        </w:r>
      </w:hyperlink>
      <w:r w:rsidRPr="008516D1">
        <w:t>.</w:t>
      </w:r>
    </w:p>
    <w:p w14:paraId="7533ADFB" w14:textId="77777777" w:rsidR="00286956" w:rsidRPr="008516D1" w:rsidRDefault="00286956" w:rsidP="00286956">
      <w:pPr>
        <w:pStyle w:val="SingleTxtG"/>
      </w:pPr>
      <w:r w:rsidRPr="008516D1">
        <w:lastRenderedPageBreak/>
        <w:t>Afin</w:t>
      </w:r>
      <w:r>
        <w:t xml:space="preserve"> </w:t>
      </w:r>
      <w:r w:rsidRPr="008516D1">
        <w:t>d</w:t>
      </w:r>
      <w:r>
        <w:t>’</w:t>
      </w:r>
      <w:r w:rsidRPr="008516D1">
        <w:t>accélérer</w:t>
      </w:r>
      <w:r>
        <w:t xml:space="preserve"> </w:t>
      </w:r>
      <w:r w:rsidRPr="008516D1">
        <w:t>les</w:t>
      </w:r>
      <w:r>
        <w:t xml:space="preserve"> </w:t>
      </w:r>
      <w:r w:rsidRPr="008516D1">
        <w:t>opérations</w:t>
      </w:r>
      <w:r>
        <w:t xml:space="preserve"> </w:t>
      </w:r>
      <w:r w:rsidRPr="008516D1">
        <w:t>de</w:t>
      </w:r>
      <w:r>
        <w:t xml:space="preserve"> </w:t>
      </w:r>
      <w:r w:rsidRPr="008516D1">
        <w:t>recherche</w:t>
      </w:r>
      <w:r>
        <w:t xml:space="preserve"> </w:t>
      </w:r>
      <w:r w:rsidRPr="008516D1">
        <w:t>au</w:t>
      </w:r>
      <w:r>
        <w:t xml:space="preserve"> </w:t>
      </w:r>
      <w:r w:rsidRPr="008516D1">
        <w:t>niveau</w:t>
      </w:r>
      <w:r>
        <w:t xml:space="preserve"> </w:t>
      </w:r>
      <w:r w:rsidRPr="008516D1">
        <w:t>national,</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transmet</w:t>
      </w:r>
      <w:r>
        <w:t xml:space="preserve"> </w:t>
      </w:r>
      <w:r w:rsidRPr="008516D1">
        <w:t>une</w:t>
      </w:r>
      <w:r>
        <w:t xml:space="preserve"> </w:t>
      </w:r>
      <w:r w:rsidRPr="008516D1">
        <w:t>alerte</w:t>
      </w:r>
      <w:r>
        <w:t xml:space="preserve"> </w:t>
      </w:r>
      <w:r w:rsidRPr="008516D1">
        <w:t>nationale,</w:t>
      </w:r>
      <w:r>
        <w:t xml:space="preserve"> </w:t>
      </w:r>
      <w:r w:rsidRPr="008516D1">
        <w:t>ainsi</w:t>
      </w:r>
      <w:r>
        <w:t xml:space="preserve"> </w:t>
      </w:r>
      <w:r w:rsidRPr="008516D1">
        <w:t>qu</w:t>
      </w:r>
      <w:r>
        <w:t>’</w:t>
      </w:r>
      <w:r w:rsidRPr="008516D1">
        <w:t>un</w:t>
      </w:r>
      <w:r>
        <w:t xml:space="preserve"> </w:t>
      </w:r>
      <w:r w:rsidRPr="008516D1">
        <w:t>dossier</w:t>
      </w:r>
      <w:r>
        <w:t xml:space="preserve"> </w:t>
      </w:r>
      <w:r w:rsidRPr="008516D1">
        <w:t>sur</w:t>
      </w:r>
      <w:r>
        <w:t xml:space="preserve"> </w:t>
      </w:r>
      <w:r w:rsidRPr="008516D1">
        <w:t>le</w:t>
      </w:r>
      <w:r>
        <w:t xml:space="preserve"> </w:t>
      </w:r>
      <w:r w:rsidRPr="008516D1">
        <w:t>cas</w:t>
      </w:r>
      <w:r>
        <w:t xml:space="preserve"> </w:t>
      </w:r>
      <w:r w:rsidRPr="008516D1">
        <w:t>de</w:t>
      </w:r>
      <w:r>
        <w:t xml:space="preserve"> </w:t>
      </w:r>
      <w:r w:rsidRPr="008516D1">
        <w:t>la</w:t>
      </w:r>
      <w:r>
        <w:t xml:space="preserve"> </w:t>
      </w:r>
      <w:r w:rsidRPr="008516D1">
        <w:t>personne</w:t>
      </w:r>
      <w:r>
        <w:t xml:space="preserve"> </w:t>
      </w:r>
      <w:r w:rsidRPr="008516D1">
        <w:t>disparue</w:t>
      </w:r>
      <w:r>
        <w:t xml:space="preserve"> </w:t>
      </w:r>
      <w:r w:rsidRPr="008516D1">
        <w:t>à</w:t>
      </w:r>
      <w:r>
        <w:t xml:space="preserve"> </w:t>
      </w:r>
      <w:r w:rsidRPr="008516D1">
        <w:t>tous</w:t>
      </w:r>
      <w:r>
        <w:t xml:space="preserve"> </w:t>
      </w:r>
      <w:r w:rsidRPr="008516D1">
        <w:t>les</w:t>
      </w:r>
      <w:r>
        <w:t xml:space="preserve"> </w:t>
      </w:r>
      <w:r w:rsidRPr="008516D1">
        <w:t>responsables</w:t>
      </w:r>
      <w:r>
        <w:t xml:space="preserve"> </w:t>
      </w:r>
      <w:r w:rsidRPr="008516D1">
        <w:t>d</w:t>
      </w:r>
      <w:r>
        <w:t>’</w:t>
      </w:r>
      <w:r w:rsidRPr="008516D1">
        <w:t>enquêtes</w:t>
      </w:r>
      <w:r>
        <w:t xml:space="preserve"> </w:t>
      </w:r>
      <w:r w:rsidRPr="008516D1">
        <w:t>du</w:t>
      </w:r>
      <w:r>
        <w:t xml:space="preserve"> </w:t>
      </w:r>
      <w:r w:rsidRPr="008516D1">
        <w:t>pays.</w:t>
      </w:r>
    </w:p>
    <w:p w14:paraId="5AA67603" w14:textId="26F8CE9B" w:rsidR="00286956" w:rsidRPr="008516D1" w:rsidRDefault="00286956" w:rsidP="00286956">
      <w:pPr>
        <w:pStyle w:val="SingleTxtG"/>
      </w:pPr>
      <w:r w:rsidRPr="008516D1">
        <w:t>48.</w:t>
      </w:r>
      <w:r w:rsidRPr="008516D1">
        <w:tab/>
        <w:t>D</w:t>
      </w:r>
      <w:r>
        <w:t>’</w:t>
      </w:r>
      <w:r w:rsidRPr="008516D1">
        <w:t>autre</w:t>
      </w:r>
      <w:r>
        <w:t xml:space="preserve"> </w:t>
      </w:r>
      <w:r w:rsidRPr="008516D1">
        <w:t>part,</w:t>
      </w:r>
      <w:r>
        <w:t xml:space="preserve"> </w:t>
      </w:r>
      <w:r w:rsidRPr="008516D1">
        <w:t>en</w:t>
      </w:r>
      <w:r>
        <w:t xml:space="preserve"> </w:t>
      </w:r>
      <w:r w:rsidRPr="008516D1">
        <w:t>2017,</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du</w:t>
      </w:r>
      <w:r>
        <w:t xml:space="preserve"> </w:t>
      </w:r>
      <w:r w:rsidRPr="008516D1">
        <w:t>ministère</w:t>
      </w:r>
      <w:r>
        <w:t xml:space="preserve"> </w:t>
      </w:r>
      <w:r w:rsidRPr="008516D1">
        <w:t>public,</w:t>
      </w:r>
      <w:r>
        <w:t xml:space="preserve"> </w:t>
      </w:r>
      <w:r w:rsidRPr="008516D1">
        <w:t>qui</w:t>
      </w:r>
      <w:r>
        <w:t xml:space="preserve"> </w:t>
      </w:r>
      <w:r w:rsidRPr="008516D1">
        <w:t>est</w:t>
      </w:r>
      <w:r>
        <w:t xml:space="preserve"> </w:t>
      </w:r>
      <w:r w:rsidRPr="008516D1">
        <w:t>chargée</w:t>
      </w:r>
      <w:r>
        <w:t xml:space="preserve"> </w:t>
      </w:r>
      <w:r w:rsidRPr="008516D1">
        <w:t>d</w:t>
      </w:r>
      <w:r>
        <w:t>’</w:t>
      </w:r>
      <w:r w:rsidRPr="008516D1">
        <w:t>identifier</w:t>
      </w:r>
      <w:r>
        <w:t xml:space="preserve"> </w:t>
      </w:r>
      <w:r w:rsidRPr="008516D1">
        <w:t>les</w:t>
      </w:r>
      <w:r>
        <w:t xml:space="preserve"> </w:t>
      </w:r>
      <w:r w:rsidRPr="008516D1">
        <w:t>dépouilles</w:t>
      </w:r>
      <w:r>
        <w:t xml:space="preserve"> </w:t>
      </w:r>
      <w:r w:rsidRPr="008516D1">
        <w:t>non</w:t>
      </w:r>
      <w:r>
        <w:t xml:space="preserve"> </w:t>
      </w:r>
      <w:r w:rsidRPr="008516D1">
        <w:t>identifiées,</w:t>
      </w:r>
      <w:r>
        <w:t xml:space="preserve"> </w:t>
      </w:r>
      <w:r w:rsidRPr="008516D1">
        <w:t>de</w:t>
      </w:r>
      <w:r>
        <w:t xml:space="preserve"> </w:t>
      </w:r>
      <w:r w:rsidRPr="008516D1">
        <w:t>procéder</w:t>
      </w:r>
      <w:r>
        <w:t xml:space="preserve"> </w:t>
      </w:r>
      <w:r w:rsidRPr="008516D1">
        <w:t>à</w:t>
      </w:r>
      <w:r>
        <w:t xml:space="preserve"> </w:t>
      </w:r>
      <w:r w:rsidRPr="008516D1">
        <w:t>l</w:t>
      </w:r>
      <w:r>
        <w:t>’</w:t>
      </w:r>
      <w:r w:rsidRPr="008516D1">
        <w:t>examen</w:t>
      </w:r>
      <w:r>
        <w:t xml:space="preserve"> </w:t>
      </w:r>
      <w:r w:rsidRPr="008516D1">
        <w:t>des</w:t>
      </w:r>
      <w:r>
        <w:t xml:space="preserve"> </w:t>
      </w:r>
      <w:r w:rsidRPr="008516D1">
        <w:t>cadavres</w:t>
      </w:r>
      <w:r>
        <w:t xml:space="preserve"> </w:t>
      </w:r>
      <w:r w:rsidRPr="008516D1">
        <w:t>et</w:t>
      </w:r>
      <w:r>
        <w:t xml:space="preserve"> </w:t>
      </w:r>
      <w:r w:rsidRPr="008516D1">
        <w:t>de</w:t>
      </w:r>
      <w:r>
        <w:t xml:space="preserve"> </w:t>
      </w:r>
      <w:r w:rsidRPr="008516D1">
        <w:t>déterminer</w:t>
      </w:r>
      <w:r>
        <w:t xml:space="preserve"> </w:t>
      </w:r>
      <w:r w:rsidRPr="008516D1">
        <w:t>de</w:t>
      </w:r>
      <w:r>
        <w:t xml:space="preserve"> </w:t>
      </w:r>
      <w:r w:rsidRPr="008516D1">
        <w:t>manière</w:t>
      </w:r>
      <w:r>
        <w:t xml:space="preserve"> </w:t>
      </w:r>
      <w:r w:rsidRPr="008516D1">
        <w:t>scientifique</w:t>
      </w:r>
      <w:r>
        <w:t xml:space="preserve"> </w:t>
      </w:r>
      <w:r w:rsidRPr="008516D1">
        <w:t>les</w:t>
      </w:r>
      <w:r>
        <w:t xml:space="preserve"> </w:t>
      </w:r>
      <w:r w:rsidRPr="008516D1">
        <w:t>causes</w:t>
      </w:r>
      <w:r>
        <w:t xml:space="preserve"> </w:t>
      </w:r>
      <w:r w:rsidRPr="008516D1">
        <w:t>et</w:t>
      </w:r>
      <w:r>
        <w:t xml:space="preserve"> </w:t>
      </w:r>
      <w:r w:rsidRPr="008516D1">
        <w:t>les</w:t>
      </w:r>
      <w:r>
        <w:t xml:space="preserve"> </w:t>
      </w:r>
      <w:r w:rsidRPr="008516D1">
        <w:t>circonstances</w:t>
      </w:r>
      <w:r>
        <w:t xml:space="preserve"> </w:t>
      </w:r>
      <w:r w:rsidRPr="008516D1">
        <w:t>du</w:t>
      </w:r>
      <w:r>
        <w:t xml:space="preserve"> </w:t>
      </w:r>
      <w:r w:rsidRPr="008516D1">
        <w:t>décès,</w:t>
      </w:r>
      <w:r>
        <w:t xml:space="preserve"> </w:t>
      </w:r>
      <w:r w:rsidRPr="008516D1">
        <w:t>a</w:t>
      </w:r>
      <w:r>
        <w:t xml:space="preserve"> </w:t>
      </w:r>
      <w:r w:rsidRPr="008516D1">
        <w:t>été</w:t>
      </w:r>
      <w:r>
        <w:t xml:space="preserve"> </w:t>
      </w:r>
      <w:r w:rsidRPr="008516D1">
        <w:t>renforcée</w:t>
      </w:r>
      <w:r>
        <w:t xml:space="preserve"> </w:t>
      </w:r>
      <w:r w:rsidRPr="008516D1">
        <w:t>grâce</w:t>
      </w:r>
      <w:r>
        <w:t xml:space="preserve"> </w:t>
      </w:r>
      <w:r w:rsidRPr="008516D1">
        <w:t>à</w:t>
      </w:r>
      <w:r>
        <w:t xml:space="preserve"> </w:t>
      </w:r>
      <w:r w:rsidRPr="008516D1">
        <w:t>la</w:t>
      </w:r>
      <w:r>
        <w:t xml:space="preserve"> </w:t>
      </w:r>
      <w:r w:rsidRPr="008516D1">
        <w:t>dotation</w:t>
      </w:r>
      <w:r>
        <w:t xml:space="preserve"> </w:t>
      </w:r>
      <w:r w:rsidRPr="008516D1">
        <w:t>de</w:t>
      </w:r>
      <w:r>
        <w:t xml:space="preserve"> </w:t>
      </w:r>
      <w:r w:rsidRPr="008516D1">
        <w:t>cinq</w:t>
      </w:r>
      <w:r>
        <w:t xml:space="preserve"> </w:t>
      </w:r>
      <w:r w:rsidRPr="008516D1">
        <w:t>morgues</w:t>
      </w:r>
      <w:r>
        <w:t xml:space="preserve"> </w:t>
      </w:r>
      <w:r w:rsidRPr="008516D1">
        <w:t>mobiles,</w:t>
      </w:r>
      <w:r>
        <w:t xml:space="preserve"> </w:t>
      </w:r>
      <w:r w:rsidRPr="008516D1">
        <w:t>d</w:t>
      </w:r>
      <w:r>
        <w:t>’</w:t>
      </w:r>
      <w:r w:rsidRPr="008516D1">
        <w:t>une</w:t>
      </w:r>
      <w:r>
        <w:t xml:space="preserve"> </w:t>
      </w:r>
      <w:r w:rsidRPr="008516D1">
        <w:t>chambre</w:t>
      </w:r>
      <w:r>
        <w:t xml:space="preserve"> </w:t>
      </w:r>
      <w:r w:rsidRPr="008516D1">
        <w:t>froide,</w:t>
      </w:r>
      <w:r>
        <w:t xml:space="preserve"> </w:t>
      </w:r>
      <w:r w:rsidRPr="008516D1">
        <w:t>de</w:t>
      </w:r>
      <w:r>
        <w:t xml:space="preserve"> </w:t>
      </w:r>
      <w:r w:rsidRPr="008516D1">
        <w:t>deux</w:t>
      </w:r>
      <w:r>
        <w:t xml:space="preserve"> </w:t>
      </w:r>
      <w:r w:rsidRPr="008516D1">
        <w:t>établissements</w:t>
      </w:r>
      <w:r>
        <w:t xml:space="preserve"> </w:t>
      </w:r>
      <w:r w:rsidRPr="008516D1">
        <w:t>médico-légaux</w:t>
      </w:r>
      <w:r>
        <w:t xml:space="preserve"> </w:t>
      </w:r>
      <w:r w:rsidRPr="008516D1">
        <w:t>et</w:t>
      </w:r>
      <w:r>
        <w:t xml:space="preserve"> </w:t>
      </w:r>
      <w:r w:rsidRPr="008516D1">
        <w:t>de</w:t>
      </w:r>
      <w:r>
        <w:t xml:space="preserve"> </w:t>
      </w:r>
      <w:r w:rsidRPr="008516D1">
        <w:t>trois</w:t>
      </w:r>
      <w:r>
        <w:t xml:space="preserve"> </w:t>
      </w:r>
      <w:r w:rsidRPr="008516D1">
        <w:t>unités</w:t>
      </w:r>
      <w:r>
        <w:t xml:space="preserve"> </w:t>
      </w:r>
      <w:r w:rsidRPr="008516D1">
        <w:t>de</w:t>
      </w:r>
      <w:r>
        <w:t xml:space="preserve"> </w:t>
      </w:r>
      <w:r w:rsidRPr="008516D1">
        <w:t>criminalistique,</w:t>
      </w:r>
      <w:r>
        <w:t xml:space="preserve"> </w:t>
      </w:r>
      <w:r w:rsidRPr="008516D1">
        <w:t>et</w:t>
      </w:r>
      <w:r>
        <w:t xml:space="preserve"> </w:t>
      </w:r>
      <w:r w:rsidRPr="008516D1">
        <w:t>à</w:t>
      </w:r>
      <w:r>
        <w:t xml:space="preserve"> </w:t>
      </w:r>
      <w:r w:rsidRPr="008516D1">
        <w:t>la</w:t>
      </w:r>
      <w:r>
        <w:t xml:space="preserve"> </w:t>
      </w:r>
      <w:r w:rsidRPr="008516D1">
        <w:t>reconstruction</w:t>
      </w:r>
      <w:r>
        <w:t xml:space="preserve"> </w:t>
      </w:r>
      <w:r w:rsidRPr="008516D1">
        <w:t>du</w:t>
      </w:r>
      <w:r>
        <w:t xml:space="preserve"> </w:t>
      </w:r>
      <w:r w:rsidRPr="008516D1">
        <w:t>siège</w:t>
      </w:r>
      <w:r>
        <w:t xml:space="preserve"> </w:t>
      </w:r>
      <w:r w:rsidRPr="008516D1">
        <w:t>régional</w:t>
      </w:r>
      <w:r>
        <w:t xml:space="preserve"> </w:t>
      </w:r>
      <w:r w:rsidRPr="008516D1">
        <w:t>de</w:t>
      </w:r>
      <w:r>
        <w:t xml:space="preserve"> </w:t>
      </w:r>
      <w:r w:rsidRPr="008516D1">
        <w:t>la</w:t>
      </w:r>
      <w:r>
        <w:t xml:space="preserve"> </w:t>
      </w:r>
      <w:r w:rsidRPr="008516D1">
        <w:t>médecine</w:t>
      </w:r>
      <w:r>
        <w:t xml:space="preserve"> </w:t>
      </w:r>
      <w:r w:rsidRPr="008516D1">
        <w:t>légale</w:t>
      </w:r>
      <w:r>
        <w:t xml:space="preserve"> </w:t>
      </w:r>
      <w:r w:rsidRPr="008516D1">
        <w:t>à</w:t>
      </w:r>
      <w:r>
        <w:t xml:space="preserve"> </w:t>
      </w:r>
      <w:r w:rsidRPr="008516D1">
        <w:t>San</w:t>
      </w:r>
      <w:r>
        <w:t xml:space="preserve"> </w:t>
      </w:r>
      <w:r w:rsidRPr="008516D1">
        <w:t>Pedro</w:t>
      </w:r>
      <w:r>
        <w:t xml:space="preserve"> </w:t>
      </w:r>
      <w:proofErr w:type="spellStart"/>
      <w:r w:rsidRPr="008516D1">
        <w:t>Sula</w:t>
      </w:r>
      <w:proofErr w:type="spellEnd"/>
      <w:r w:rsidRPr="008516D1">
        <w:t>,</w:t>
      </w:r>
      <w:r>
        <w:t xml:space="preserve"> </w:t>
      </w:r>
      <w:r w:rsidRPr="008516D1">
        <w:t>pour</w:t>
      </w:r>
      <w:r>
        <w:t xml:space="preserve"> </w:t>
      </w:r>
      <w:r w:rsidRPr="008516D1">
        <w:t>un</w:t>
      </w:r>
      <w:r>
        <w:t xml:space="preserve"> </w:t>
      </w:r>
      <w:r w:rsidRPr="008516D1">
        <w:t>budget</w:t>
      </w:r>
      <w:r>
        <w:t xml:space="preserve"> </w:t>
      </w:r>
      <w:r w:rsidRPr="008516D1">
        <w:t>de</w:t>
      </w:r>
      <w:r>
        <w:t xml:space="preserve"> </w:t>
      </w:r>
      <w:r w:rsidRPr="008516D1">
        <w:t>33,57</w:t>
      </w:r>
      <w:r w:rsidR="00ED5AA3">
        <w:t> </w:t>
      </w:r>
      <w:r w:rsidRPr="008516D1">
        <w:t>millions</w:t>
      </w:r>
      <w:r>
        <w:t xml:space="preserve"> </w:t>
      </w:r>
      <w:r w:rsidRPr="008516D1">
        <w:t>de</w:t>
      </w:r>
      <w:r>
        <w:t xml:space="preserve"> </w:t>
      </w:r>
      <w:r w:rsidRPr="008516D1">
        <w:t>lempiras</w:t>
      </w:r>
      <w:r>
        <w:t xml:space="preserve"> </w:t>
      </w:r>
      <w:r w:rsidRPr="008516D1">
        <w:t>provenant</w:t>
      </w:r>
      <w:r>
        <w:t xml:space="preserve"> </w:t>
      </w:r>
      <w:r w:rsidRPr="008516D1">
        <w:t>de</w:t>
      </w:r>
      <w:r>
        <w:t xml:space="preserve"> </w:t>
      </w:r>
      <w:r w:rsidRPr="008516D1">
        <w:t>la</w:t>
      </w:r>
      <w:r>
        <w:t xml:space="preserve"> </w:t>
      </w:r>
      <w:r w:rsidRPr="008516D1">
        <w:t>taxe</w:t>
      </w:r>
      <w:r>
        <w:t xml:space="preserve"> </w:t>
      </w:r>
      <w:r w:rsidRPr="008516D1">
        <w:t>sur</w:t>
      </w:r>
      <w:r>
        <w:t xml:space="preserve"> </w:t>
      </w:r>
      <w:r w:rsidRPr="008516D1">
        <w:t>la</w:t>
      </w:r>
      <w:r>
        <w:t xml:space="preserve"> </w:t>
      </w:r>
      <w:r w:rsidRPr="008516D1">
        <w:t>sécurité</w:t>
      </w:r>
      <w:r>
        <w:t xml:space="preserve"> </w:t>
      </w:r>
      <w:r w:rsidRPr="008516D1">
        <w:t>publique</w:t>
      </w:r>
      <w:r w:rsidRPr="008516D1">
        <w:rPr>
          <w:rStyle w:val="Appelnotedebasdep"/>
        </w:rPr>
        <w:footnoteReference w:id="62"/>
      </w:r>
      <w:r w:rsidRPr="008516D1">
        <w:t>.</w:t>
      </w:r>
    </w:p>
    <w:p w14:paraId="3F0A266F" w14:textId="69591F23" w:rsidR="00286956" w:rsidRPr="008516D1" w:rsidRDefault="00286956" w:rsidP="00286956">
      <w:pPr>
        <w:pStyle w:val="SingleTxtG"/>
      </w:pPr>
      <w:r w:rsidRPr="008516D1">
        <w:t>49.</w:t>
      </w:r>
      <w:r w:rsidRPr="008516D1">
        <w:tab/>
        <w:t>Afin</w:t>
      </w:r>
      <w:r>
        <w:t xml:space="preserve"> </w:t>
      </w:r>
      <w:r w:rsidRPr="008516D1">
        <w:t>de</w:t>
      </w:r>
      <w:r>
        <w:t xml:space="preserve"> </w:t>
      </w:r>
      <w:r w:rsidRPr="008516D1">
        <w:t>continuer</w:t>
      </w:r>
      <w:r>
        <w:t xml:space="preserve"> </w:t>
      </w:r>
      <w:r w:rsidRPr="008516D1">
        <w:t>à</w:t>
      </w:r>
      <w:r>
        <w:t xml:space="preserve"> </w:t>
      </w:r>
      <w:r w:rsidRPr="008516D1">
        <w:t>améliorer</w:t>
      </w:r>
      <w:r>
        <w:t xml:space="preserve"> </w:t>
      </w:r>
      <w:r w:rsidRPr="008516D1">
        <w:t>ses</w:t>
      </w:r>
      <w:r>
        <w:t xml:space="preserve"> </w:t>
      </w:r>
      <w:r w:rsidRPr="008516D1">
        <w:t>services</w:t>
      </w:r>
      <w:r>
        <w:t xml:space="preserve"> </w:t>
      </w:r>
      <w:r w:rsidRPr="008516D1">
        <w:t>d</w:t>
      </w:r>
      <w:r>
        <w:t>’</w:t>
      </w:r>
      <w:r w:rsidRPr="008516D1">
        <w:t>enquête,</w:t>
      </w:r>
      <w:r>
        <w:t xml:space="preserve"> </w:t>
      </w:r>
      <w:r w:rsidRPr="008516D1">
        <w:t>en</w:t>
      </w:r>
      <w:r>
        <w:t xml:space="preserve"> </w:t>
      </w:r>
      <w:r w:rsidRPr="008516D1">
        <w:t>2020,</w:t>
      </w:r>
      <w:r>
        <w:t xml:space="preserve"> </w:t>
      </w:r>
      <w:r w:rsidRPr="008516D1">
        <w:t>la</w:t>
      </w:r>
      <w:r>
        <w:t xml:space="preserve"> </w:t>
      </w:r>
      <w:r w:rsidR="00A647FA" w:rsidRPr="008516D1">
        <w:t>Direction</w:t>
      </w:r>
      <w:r w:rsidR="00A647FA">
        <w:t xml:space="preserve"> </w:t>
      </w:r>
      <w:r w:rsidRPr="008516D1">
        <w:t>précitée</w:t>
      </w:r>
      <w:r>
        <w:t xml:space="preserve"> </w:t>
      </w:r>
      <w:r w:rsidRPr="008516D1">
        <w:t>a</w:t>
      </w:r>
      <w:r>
        <w:t xml:space="preserve"> </w:t>
      </w:r>
      <w:r w:rsidRPr="008516D1">
        <w:t>été</w:t>
      </w:r>
      <w:r>
        <w:t xml:space="preserve"> </w:t>
      </w:r>
      <w:r w:rsidRPr="008516D1">
        <w:t>renforcée</w:t>
      </w:r>
      <w:r>
        <w:t xml:space="preserve"> </w:t>
      </w:r>
      <w:r w:rsidRPr="008516D1">
        <w:t>grâce</w:t>
      </w:r>
      <w:r>
        <w:t xml:space="preserve"> </w:t>
      </w:r>
      <w:r w:rsidRPr="008516D1">
        <w:t>au</w:t>
      </w:r>
      <w:r>
        <w:t xml:space="preserve"> </w:t>
      </w:r>
      <w:r w:rsidRPr="008516D1">
        <w:t>recrutement</w:t>
      </w:r>
      <w:r>
        <w:t xml:space="preserve"> </w:t>
      </w:r>
      <w:r w:rsidRPr="008516D1">
        <w:t>de</w:t>
      </w:r>
      <w:r>
        <w:t xml:space="preserve"> </w:t>
      </w:r>
      <w:r w:rsidRPr="008516D1">
        <w:t>47</w:t>
      </w:r>
      <w:r w:rsidR="00ED5AA3">
        <w:t> </w:t>
      </w:r>
      <w:r w:rsidRPr="008516D1">
        <w:t>spécialistes,</w:t>
      </w:r>
      <w:r>
        <w:t xml:space="preserve"> </w:t>
      </w:r>
      <w:r w:rsidRPr="008516D1">
        <w:t>dont</w:t>
      </w:r>
      <w:r>
        <w:t xml:space="preserve"> </w:t>
      </w:r>
      <w:r w:rsidRPr="008516D1">
        <w:t>22</w:t>
      </w:r>
      <w:r w:rsidR="00ED5AA3">
        <w:t> </w:t>
      </w:r>
      <w:r w:rsidRPr="008516D1">
        <w:t>médecins,</w:t>
      </w:r>
      <w:r>
        <w:t xml:space="preserve"> </w:t>
      </w:r>
      <w:r w:rsidR="00ED5AA3">
        <w:t>2 </w:t>
      </w:r>
      <w:r w:rsidRPr="008516D1">
        <w:t>psychologues,</w:t>
      </w:r>
      <w:r>
        <w:t xml:space="preserve"> </w:t>
      </w:r>
      <w:r w:rsidR="00ED5AA3">
        <w:t>6 </w:t>
      </w:r>
      <w:r w:rsidRPr="008516D1">
        <w:t>toxicologues,</w:t>
      </w:r>
      <w:r>
        <w:t xml:space="preserve"> </w:t>
      </w:r>
      <w:r w:rsidR="00ED5AA3">
        <w:t>7 </w:t>
      </w:r>
      <w:r w:rsidRPr="008516D1">
        <w:t>techniciens</w:t>
      </w:r>
      <w:r>
        <w:t xml:space="preserve"> </w:t>
      </w:r>
      <w:r w:rsidRPr="008516D1">
        <w:t>spécialisés</w:t>
      </w:r>
      <w:r>
        <w:t xml:space="preserve"> </w:t>
      </w:r>
      <w:r w:rsidRPr="008516D1">
        <w:t>en</w:t>
      </w:r>
      <w:r>
        <w:t xml:space="preserve"> </w:t>
      </w:r>
      <w:r w:rsidRPr="008516D1">
        <w:t>radiologie,</w:t>
      </w:r>
      <w:r>
        <w:t xml:space="preserve"> </w:t>
      </w:r>
      <w:r w:rsidR="00ED5AA3">
        <w:t>5 </w:t>
      </w:r>
      <w:r w:rsidRPr="008516D1">
        <w:t>techniciens</w:t>
      </w:r>
      <w:r>
        <w:t xml:space="preserve"> </w:t>
      </w:r>
      <w:r w:rsidRPr="008516D1">
        <w:t>en</w:t>
      </w:r>
      <w:r>
        <w:t xml:space="preserve"> </w:t>
      </w:r>
      <w:r w:rsidRPr="008516D1">
        <w:t>recueil</w:t>
      </w:r>
      <w:r>
        <w:t xml:space="preserve"> </w:t>
      </w:r>
      <w:r w:rsidRPr="008516D1">
        <w:t>de</w:t>
      </w:r>
      <w:r>
        <w:t xml:space="preserve"> </w:t>
      </w:r>
      <w:r w:rsidRPr="008516D1">
        <w:t>preuves</w:t>
      </w:r>
      <w:r>
        <w:t xml:space="preserve"> </w:t>
      </w:r>
      <w:r w:rsidRPr="008516D1">
        <w:t>et</w:t>
      </w:r>
      <w:r>
        <w:t xml:space="preserve"> </w:t>
      </w:r>
      <w:r w:rsidR="00ED5AA3">
        <w:t>5 </w:t>
      </w:r>
      <w:r w:rsidRPr="008516D1">
        <w:t>techniciens</w:t>
      </w:r>
      <w:r>
        <w:t xml:space="preserve"> </w:t>
      </w:r>
      <w:r w:rsidRPr="008516D1">
        <w:t>spécialisés</w:t>
      </w:r>
      <w:r>
        <w:t xml:space="preserve"> </w:t>
      </w:r>
      <w:r w:rsidRPr="008516D1">
        <w:t>en</w:t>
      </w:r>
      <w:r>
        <w:t xml:space="preserve"> </w:t>
      </w:r>
      <w:r w:rsidRPr="008516D1">
        <w:t>dissection</w:t>
      </w:r>
      <w:r w:rsidRPr="008516D1">
        <w:rPr>
          <w:rStyle w:val="Appelnotedebasdep"/>
        </w:rPr>
        <w:footnoteReference w:id="63"/>
      </w:r>
      <w:r>
        <w:t xml:space="preserve"> </w:t>
      </w:r>
      <w:r w:rsidRPr="008516D1">
        <w:t>formés</w:t>
      </w:r>
      <w:r>
        <w:t xml:space="preserve"> </w:t>
      </w:r>
      <w:r w:rsidRPr="008516D1">
        <w:t>par</w:t>
      </w:r>
      <w:r>
        <w:t xml:space="preserve"> </w:t>
      </w:r>
      <w:r w:rsidRPr="008516D1">
        <w:t>l</w:t>
      </w:r>
      <w:r>
        <w:t>’</w:t>
      </w:r>
      <w:r w:rsidRPr="008516D1">
        <w:t>École</w:t>
      </w:r>
      <w:r>
        <w:t xml:space="preserve"> </w:t>
      </w:r>
      <w:r w:rsidRPr="008516D1">
        <w:t>Orlan</w:t>
      </w:r>
      <w:r>
        <w:t xml:space="preserve"> </w:t>
      </w:r>
      <w:r w:rsidRPr="008516D1">
        <w:t>Arturo</w:t>
      </w:r>
      <w:r>
        <w:t xml:space="preserve"> </w:t>
      </w:r>
      <w:proofErr w:type="spellStart"/>
      <w:r w:rsidRPr="008516D1">
        <w:t>Chávez</w:t>
      </w:r>
      <w:proofErr w:type="spellEnd"/>
      <w:r w:rsidRPr="008516D1">
        <w:t>,</w:t>
      </w:r>
      <w:r>
        <w:t xml:space="preserve"> </w:t>
      </w:r>
      <w:r w:rsidRPr="008516D1">
        <w:t>qui</w:t>
      </w:r>
      <w:r>
        <w:t xml:space="preserve"> </w:t>
      </w:r>
      <w:r w:rsidRPr="008516D1">
        <w:t>assure</w:t>
      </w:r>
      <w:r>
        <w:t xml:space="preserve"> </w:t>
      </w:r>
      <w:r w:rsidRPr="008516D1">
        <w:t>la</w:t>
      </w:r>
      <w:r>
        <w:t xml:space="preserve"> </w:t>
      </w:r>
      <w:r w:rsidRPr="008516D1">
        <w:t>formation</w:t>
      </w:r>
      <w:r>
        <w:t xml:space="preserve"> </w:t>
      </w:r>
      <w:r w:rsidRPr="008516D1">
        <w:t>du</w:t>
      </w:r>
      <w:r>
        <w:t xml:space="preserve"> </w:t>
      </w:r>
      <w:r w:rsidRPr="008516D1">
        <w:t>ministère</w:t>
      </w:r>
      <w:r>
        <w:t xml:space="preserve"> </w:t>
      </w:r>
      <w:r w:rsidRPr="008516D1">
        <w:t>public.</w:t>
      </w:r>
    </w:p>
    <w:p w14:paraId="037145E5" w14:textId="565CCA2B" w:rsidR="00286956" w:rsidRPr="008516D1" w:rsidRDefault="00286956" w:rsidP="00286956">
      <w:pPr>
        <w:pStyle w:val="SingleTxtG"/>
      </w:pPr>
      <w:r w:rsidRPr="008516D1">
        <w:t>50.</w:t>
      </w:r>
      <w:r w:rsidRPr="008516D1">
        <w:tab/>
        <w:t>Il</w:t>
      </w:r>
      <w:r>
        <w:t xml:space="preserve"> </w:t>
      </w:r>
      <w:r w:rsidRPr="008516D1">
        <w:t>convient</w:t>
      </w:r>
      <w:r>
        <w:t xml:space="preserve"> </w:t>
      </w:r>
      <w:r w:rsidRPr="008516D1">
        <w:t>de</w:t>
      </w:r>
      <w:r>
        <w:t xml:space="preserve"> </w:t>
      </w:r>
      <w:r w:rsidRPr="008516D1">
        <w:t>signaler</w:t>
      </w:r>
      <w:r>
        <w:t xml:space="preserve"> </w:t>
      </w:r>
      <w:r w:rsidRPr="008516D1">
        <w:t>qu</w:t>
      </w:r>
      <w:r>
        <w:t>’</w:t>
      </w:r>
      <w:r w:rsidRPr="008516D1">
        <w:t>afin</w:t>
      </w:r>
      <w:r>
        <w:t xml:space="preserve"> </w:t>
      </w:r>
      <w:r w:rsidRPr="008516D1">
        <w:t>d</w:t>
      </w:r>
      <w:r>
        <w:t>’</w:t>
      </w:r>
      <w:r w:rsidRPr="008516D1">
        <w:t>améliorer</w:t>
      </w:r>
      <w:r>
        <w:t xml:space="preserve"> </w:t>
      </w:r>
      <w:r w:rsidRPr="008516D1">
        <w:t>la</w:t>
      </w:r>
      <w:r>
        <w:t xml:space="preserve"> </w:t>
      </w:r>
      <w:r w:rsidRPr="008516D1">
        <w:t>gestion</w:t>
      </w:r>
      <w:r>
        <w:t xml:space="preserve"> </w:t>
      </w:r>
      <w:r w:rsidRPr="008516D1">
        <w:t>des</w:t>
      </w:r>
      <w:r>
        <w:t xml:space="preserve"> </w:t>
      </w:r>
      <w:r w:rsidRPr="008516D1">
        <w:t>restes</w:t>
      </w:r>
      <w:r>
        <w:t xml:space="preserve"> </w:t>
      </w:r>
      <w:r w:rsidRPr="008516D1">
        <w:t>des</w:t>
      </w:r>
      <w:r>
        <w:t xml:space="preserve"> </w:t>
      </w:r>
      <w:r w:rsidRPr="008516D1">
        <w:t>personnes</w:t>
      </w:r>
      <w:r>
        <w:t xml:space="preserve"> </w:t>
      </w:r>
      <w:r w:rsidRPr="008516D1">
        <w:t>décédées</w:t>
      </w:r>
      <w:r>
        <w:t xml:space="preserve"> </w:t>
      </w:r>
      <w:r w:rsidRPr="008516D1">
        <w:t>non</w:t>
      </w:r>
      <w:r>
        <w:t xml:space="preserve"> </w:t>
      </w:r>
      <w:r w:rsidRPr="008516D1">
        <w:t>identifiées</w:t>
      </w:r>
      <w:r>
        <w:t xml:space="preserve"> </w:t>
      </w:r>
      <w:r w:rsidRPr="008516D1">
        <w:t>et</w:t>
      </w:r>
      <w:r>
        <w:t xml:space="preserve"> </w:t>
      </w:r>
      <w:r w:rsidRPr="008516D1">
        <w:t>des</w:t>
      </w:r>
      <w:r>
        <w:t xml:space="preserve"> </w:t>
      </w:r>
      <w:r w:rsidRPr="008516D1">
        <w:t>corps</w:t>
      </w:r>
      <w:r>
        <w:t xml:space="preserve"> </w:t>
      </w:r>
      <w:r w:rsidRPr="008516D1">
        <w:t>non</w:t>
      </w:r>
      <w:r>
        <w:t xml:space="preserve"> </w:t>
      </w:r>
      <w:r w:rsidRPr="008516D1">
        <w:t>réclamés,</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la</w:t>
      </w:r>
      <w:r>
        <w:t xml:space="preserve"> </w:t>
      </w:r>
      <w:r w:rsidRPr="008516D1">
        <w:t>médecine</w:t>
      </w:r>
      <w:r>
        <w:t xml:space="preserve"> </w:t>
      </w:r>
      <w:r w:rsidRPr="008516D1">
        <w:t>légale</w:t>
      </w:r>
      <w:r>
        <w:t xml:space="preserve"> </w:t>
      </w:r>
      <w:r w:rsidRPr="008516D1">
        <w:t>dispose</w:t>
      </w:r>
      <w:r>
        <w:t xml:space="preserve"> </w:t>
      </w:r>
      <w:r w:rsidRPr="008516D1">
        <w:t>d</w:t>
      </w:r>
      <w:r>
        <w:t>’</w:t>
      </w:r>
      <w:r w:rsidRPr="008516D1">
        <w:t>un</w:t>
      </w:r>
      <w:r>
        <w:t xml:space="preserve"> </w:t>
      </w:r>
      <w:r w:rsidRPr="008516D1">
        <w:t>cimetière</w:t>
      </w:r>
      <w:r>
        <w:t xml:space="preserve"> </w:t>
      </w:r>
      <w:r w:rsidRPr="008516D1">
        <w:t>humanitaire,</w:t>
      </w:r>
      <w:r>
        <w:t xml:space="preserve"> </w:t>
      </w:r>
      <w:r w:rsidRPr="008516D1">
        <w:t>mis</w:t>
      </w:r>
      <w:r>
        <w:t xml:space="preserve"> </w:t>
      </w:r>
      <w:r w:rsidRPr="008516D1">
        <w:t>en</w:t>
      </w:r>
      <w:r>
        <w:t xml:space="preserve"> </w:t>
      </w:r>
      <w:r w:rsidRPr="008516D1">
        <w:t>place</w:t>
      </w:r>
      <w:r>
        <w:t xml:space="preserve"> </w:t>
      </w:r>
      <w:r w:rsidRPr="008516D1">
        <w:t>avec</w:t>
      </w:r>
      <w:r>
        <w:t xml:space="preserve"> </w:t>
      </w:r>
      <w:r w:rsidRPr="008516D1">
        <w:t>le</w:t>
      </w:r>
      <w:r>
        <w:t xml:space="preserve"> </w:t>
      </w:r>
      <w:r w:rsidRPr="008516D1">
        <w:t>soutien</w:t>
      </w:r>
      <w:r>
        <w:t xml:space="preserve"> </w:t>
      </w:r>
      <w:r w:rsidRPr="008516D1">
        <w:t>du</w:t>
      </w:r>
      <w:r>
        <w:t xml:space="preserve"> </w:t>
      </w:r>
      <w:r w:rsidRPr="008516D1">
        <w:t>CICR,</w:t>
      </w:r>
      <w:r>
        <w:t xml:space="preserve"> </w:t>
      </w:r>
      <w:r w:rsidRPr="008516D1">
        <w:t>dont</w:t>
      </w:r>
      <w:r>
        <w:t xml:space="preserve"> </w:t>
      </w:r>
      <w:r w:rsidRPr="008516D1">
        <w:t>la</w:t>
      </w:r>
      <w:r>
        <w:t xml:space="preserve"> </w:t>
      </w:r>
      <w:r w:rsidRPr="008516D1">
        <w:t>capacité</w:t>
      </w:r>
      <w:r>
        <w:t xml:space="preserve"> </w:t>
      </w:r>
      <w:r w:rsidRPr="008516D1">
        <w:t>a</w:t>
      </w:r>
      <w:r>
        <w:t xml:space="preserve"> </w:t>
      </w:r>
      <w:r w:rsidRPr="008516D1">
        <w:t>été</w:t>
      </w:r>
      <w:r>
        <w:t xml:space="preserve"> </w:t>
      </w:r>
      <w:r w:rsidRPr="008516D1">
        <w:t>augmentée</w:t>
      </w:r>
      <w:r>
        <w:t xml:space="preserve"> </w:t>
      </w:r>
      <w:r w:rsidRPr="008516D1">
        <w:t>en</w:t>
      </w:r>
      <w:r>
        <w:t xml:space="preserve"> </w:t>
      </w:r>
      <w:r w:rsidRPr="008516D1">
        <w:t>2020</w:t>
      </w:r>
      <w:r>
        <w:t xml:space="preserve"> </w:t>
      </w:r>
      <w:r w:rsidRPr="008516D1">
        <w:t>avec</w:t>
      </w:r>
      <w:r>
        <w:t xml:space="preserve"> </w:t>
      </w:r>
      <w:r w:rsidRPr="008516D1">
        <w:t>la</w:t>
      </w:r>
      <w:r>
        <w:t xml:space="preserve"> </w:t>
      </w:r>
      <w:r w:rsidRPr="008516D1">
        <w:t>construction</w:t>
      </w:r>
      <w:r>
        <w:t xml:space="preserve"> </w:t>
      </w:r>
      <w:r w:rsidRPr="008516D1">
        <w:t>d</w:t>
      </w:r>
      <w:r>
        <w:t>’</w:t>
      </w:r>
      <w:r w:rsidRPr="008516D1">
        <w:t>un</w:t>
      </w:r>
      <w:r>
        <w:t xml:space="preserve"> </w:t>
      </w:r>
      <w:r w:rsidRPr="008516D1">
        <w:t>nouveau</w:t>
      </w:r>
      <w:r>
        <w:t xml:space="preserve"> </w:t>
      </w:r>
      <w:r w:rsidRPr="008516D1">
        <w:t>module</w:t>
      </w:r>
      <w:r>
        <w:t xml:space="preserve"> </w:t>
      </w:r>
      <w:r w:rsidRPr="008516D1">
        <w:t>de</w:t>
      </w:r>
      <w:r>
        <w:t xml:space="preserve"> </w:t>
      </w:r>
      <w:r w:rsidRPr="008516D1">
        <w:t>96</w:t>
      </w:r>
      <w:r w:rsidR="00ED5AA3">
        <w:t> </w:t>
      </w:r>
      <w:r w:rsidRPr="008516D1">
        <w:t>niches</w:t>
      </w:r>
      <w:r w:rsidRPr="008516D1">
        <w:rPr>
          <w:rStyle w:val="Appelnotedebasdep"/>
        </w:rPr>
        <w:footnoteReference w:id="64"/>
      </w:r>
      <w:r w:rsidRPr="008516D1">
        <w:t>.</w:t>
      </w:r>
      <w:r>
        <w:t xml:space="preserve"> </w:t>
      </w:r>
      <w:r w:rsidRPr="008516D1">
        <w:t>Cela</w:t>
      </w:r>
      <w:r>
        <w:t xml:space="preserve"> </w:t>
      </w:r>
      <w:r w:rsidRPr="008516D1">
        <w:t>a</w:t>
      </w:r>
      <w:r>
        <w:t xml:space="preserve"> </w:t>
      </w:r>
      <w:r w:rsidRPr="008516D1">
        <w:t>permis</w:t>
      </w:r>
      <w:r>
        <w:t xml:space="preserve"> </w:t>
      </w:r>
      <w:r w:rsidRPr="008516D1">
        <w:t>d</w:t>
      </w:r>
      <w:r>
        <w:t>’</w:t>
      </w:r>
      <w:r w:rsidRPr="008516D1">
        <w:t>enterrer</w:t>
      </w:r>
      <w:r>
        <w:t xml:space="preserve"> </w:t>
      </w:r>
      <w:r w:rsidRPr="008516D1">
        <w:t>individuellement</w:t>
      </w:r>
      <w:r>
        <w:t xml:space="preserve"> </w:t>
      </w:r>
      <w:r w:rsidRPr="008516D1">
        <w:t>122</w:t>
      </w:r>
      <w:r w:rsidR="00ED5AA3">
        <w:t> </w:t>
      </w:r>
      <w:r w:rsidRPr="008516D1">
        <w:t>corps</w:t>
      </w:r>
      <w:r>
        <w:t xml:space="preserve"> </w:t>
      </w:r>
      <w:r w:rsidRPr="008516D1">
        <w:t>non</w:t>
      </w:r>
      <w:r>
        <w:t xml:space="preserve"> </w:t>
      </w:r>
      <w:r w:rsidRPr="008516D1">
        <w:t>réclamés</w:t>
      </w:r>
      <w:r>
        <w:t xml:space="preserve"> </w:t>
      </w:r>
      <w:r w:rsidRPr="008516D1">
        <w:t>en</w:t>
      </w:r>
      <w:r>
        <w:t xml:space="preserve"> </w:t>
      </w:r>
      <w:r w:rsidRPr="008516D1">
        <w:t>2020</w:t>
      </w:r>
      <w:r>
        <w:t xml:space="preserve"> </w:t>
      </w:r>
      <w:r w:rsidRPr="008516D1">
        <w:t>et</w:t>
      </w:r>
      <w:r>
        <w:t xml:space="preserve"> </w:t>
      </w:r>
      <w:r w:rsidRPr="008516D1">
        <w:t>67</w:t>
      </w:r>
      <w:r>
        <w:t xml:space="preserve"> </w:t>
      </w:r>
      <w:r w:rsidRPr="008516D1">
        <w:t>entre</w:t>
      </w:r>
      <w:r>
        <w:t xml:space="preserve"> </w:t>
      </w:r>
      <w:r w:rsidRPr="008516D1">
        <w:t>janvier</w:t>
      </w:r>
      <w:r>
        <w:t xml:space="preserve"> </w:t>
      </w:r>
      <w:r w:rsidRPr="008516D1">
        <w:t>et</w:t>
      </w:r>
      <w:r>
        <w:t xml:space="preserve"> </w:t>
      </w:r>
      <w:r w:rsidRPr="008516D1">
        <w:t>mars</w:t>
      </w:r>
      <w:r>
        <w:t xml:space="preserve"> </w:t>
      </w:r>
      <w:r w:rsidRPr="008516D1">
        <w:t>2021</w:t>
      </w:r>
      <w:r>
        <w:t xml:space="preserve"> </w:t>
      </w:r>
      <w:r w:rsidRPr="008516D1">
        <w:t>et</w:t>
      </w:r>
      <w:r>
        <w:t xml:space="preserve"> </w:t>
      </w:r>
      <w:r w:rsidRPr="008516D1">
        <w:t>de</w:t>
      </w:r>
      <w:r>
        <w:t xml:space="preserve"> </w:t>
      </w:r>
      <w:r w:rsidRPr="008516D1">
        <w:t>mettre</w:t>
      </w:r>
      <w:r>
        <w:t xml:space="preserve"> </w:t>
      </w:r>
      <w:r w:rsidRPr="008516D1">
        <w:t>fin</w:t>
      </w:r>
      <w:r>
        <w:t xml:space="preserve"> </w:t>
      </w:r>
      <w:r w:rsidRPr="008516D1">
        <w:t>aux</w:t>
      </w:r>
      <w:r>
        <w:t xml:space="preserve"> </w:t>
      </w:r>
      <w:r w:rsidRPr="008516D1">
        <w:t>enterrements</w:t>
      </w:r>
      <w:r>
        <w:t xml:space="preserve"> </w:t>
      </w:r>
      <w:r w:rsidRPr="008516D1">
        <w:t>collectifs</w:t>
      </w:r>
      <w:r>
        <w:t xml:space="preserve"> </w:t>
      </w:r>
      <w:r w:rsidRPr="008516D1">
        <w:t>dans</w:t>
      </w:r>
      <w:r>
        <w:t xml:space="preserve"> </w:t>
      </w:r>
      <w:r w:rsidRPr="008516D1">
        <w:t>des</w:t>
      </w:r>
      <w:r>
        <w:t xml:space="preserve"> </w:t>
      </w:r>
      <w:r w:rsidRPr="008516D1">
        <w:t>fosses</w:t>
      </w:r>
      <w:r>
        <w:t xml:space="preserve"> </w:t>
      </w:r>
      <w:r w:rsidRPr="008516D1">
        <w:t>communes.</w:t>
      </w:r>
    </w:p>
    <w:p w14:paraId="2B93264E" w14:textId="4D517A81" w:rsidR="00286956" w:rsidRPr="00ED5AA3" w:rsidRDefault="00286956" w:rsidP="00286956">
      <w:pPr>
        <w:pStyle w:val="SingleTxtG"/>
        <w:rPr>
          <w:spacing w:val="-1"/>
        </w:rPr>
      </w:pPr>
      <w:r w:rsidRPr="00ED5AA3">
        <w:rPr>
          <w:spacing w:val="-1"/>
        </w:rPr>
        <w:t>51.</w:t>
      </w:r>
      <w:r w:rsidRPr="00ED5AA3">
        <w:rPr>
          <w:spacing w:val="-1"/>
        </w:rPr>
        <w:tab/>
        <w:t>Avec l’assistance du CICR, la Direction générale de la médecine légale a pu améliorer les procédures d’identification de personnes, disposer en 2019 de 700</w:t>
      </w:r>
      <w:r w:rsidR="00ED5AA3" w:rsidRPr="00ED5AA3">
        <w:rPr>
          <w:spacing w:val="-1"/>
        </w:rPr>
        <w:t> </w:t>
      </w:r>
      <w:r w:rsidRPr="00ED5AA3">
        <w:rPr>
          <w:spacing w:val="-1"/>
        </w:rPr>
        <w:t>dossiers médico-légaux de base concernant des personnes disparues et former des spécialistes en médecine légale sur des thèmes liés à leurs domaines d’expertise (78</w:t>
      </w:r>
      <w:r w:rsidR="00ED5AA3" w:rsidRPr="00ED5AA3">
        <w:rPr>
          <w:spacing w:val="-1"/>
        </w:rPr>
        <w:t> </w:t>
      </w:r>
      <w:r w:rsidRPr="00ED5AA3">
        <w:rPr>
          <w:spacing w:val="-1"/>
        </w:rPr>
        <w:t>personnes), ainsi que sur la santé mentale et le soutien psychosocial (18</w:t>
      </w:r>
      <w:r w:rsidR="00ED5AA3" w:rsidRPr="00ED5AA3">
        <w:rPr>
          <w:spacing w:val="-1"/>
        </w:rPr>
        <w:t> </w:t>
      </w:r>
      <w:r w:rsidRPr="00ED5AA3">
        <w:rPr>
          <w:spacing w:val="-1"/>
        </w:rPr>
        <w:t>personnes). En 2020, le CICR a sensibilisé 61</w:t>
      </w:r>
      <w:r w:rsidR="00ED5AA3" w:rsidRPr="00ED5AA3">
        <w:rPr>
          <w:spacing w:val="-1"/>
        </w:rPr>
        <w:t> </w:t>
      </w:r>
      <w:r w:rsidRPr="00ED5AA3">
        <w:rPr>
          <w:spacing w:val="-1"/>
        </w:rPr>
        <w:t>fonctionnaires de la Direction générale de médecine légale et des forces armées à cette question et formé 44</w:t>
      </w:r>
      <w:r w:rsidR="00ED5AA3" w:rsidRPr="00ED5AA3">
        <w:rPr>
          <w:spacing w:val="-1"/>
        </w:rPr>
        <w:t> </w:t>
      </w:r>
      <w:r w:rsidRPr="00ED5AA3">
        <w:rPr>
          <w:spacing w:val="-1"/>
        </w:rPr>
        <w:t>médecins légistes à la collecte et à l’analyse appropriées des ossements</w:t>
      </w:r>
      <w:r w:rsidRPr="00ED5AA3">
        <w:rPr>
          <w:rStyle w:val="Appelnotedebasdep"/>
          <w:spacing w:val="-1"/>
        </w:rPr>
        <w:footnoteReference w:id="65"/>
      </w:r>
      <w:r w:rsidRPr="00ED5AA3">
        <w:rPr>
          <w:spacing w:val="-1"/>
        </w:rPr>
        <w:t>.</w:t>
      </w:r>
    </w:p>
    <w:p w14:paraId="47313615" w14:textId="77777777" w:rsidR="00286956" w:rsidRPr="008516D1" w:rsidRDefault="00286956" w:rsidP="00286956">
      <w:pPr>
        <w:pStyle w:val="SingleTxtG"/>
      </w:pPr>
      <w:r w:rsidRPr="008516D1">
        <w:t>52.</w:t>
      </w:r>
      <w:r w:rsidRPr="008516D1">
        <w:tab/>
        <w:t>Les</w:t>
      </w:r>
      <w:r>
        <w:t xml:space="preserve"> </w:t>
      </w:r>
      <w:r w:rsidRPr="008516D1">
        <w:t>journées</w:t>
      </w:r>
      <w:r>
        <w:t xml:space="preserve"> </w:t>
      </w:r>
      <w:r w:rsidRPr="008516D1">
        <w:t>de</w:t>
      </w:r>
      <w:r>
        <w:t xml:space="preserve"> </w:t>
      </w:r>
      <w:r w:rsidRPr="008516D1">
        <w:t>formation</w:t>
      </w:r>
      <w:r>
        <w:t xml:space="preserve"> </w:t>
      </w:r>
      <w:r w:rsidRPr="008516D1">
        <w:t>organisées</w:t>
      </w:r>
      <w:r>
        <w:t xml:space="preserve"> </w:t>
      </w:r>
      <w:r w:rsidRPr="008516D1">
        <w:t>par</w:t>
      </w:r>
      <w:r>
        <w:t xml:space="preserve"> </w:t>
      </w:r>
      <w:r w:rsidRPr="008516D1">
        <w:t>le</w:t>
      </w:r>
      <w:r>
        <w:t xml:space="preserve"> </w:t>
      </w:r>
      <w:r w:rsidRPr="008516D1">
        <w:t>CICR</w:t>
      </w:r>
      <w:r>
        <w:t xml:space="preserve"> </w:t>
      </w:r>
      <w:r w:rsidRPr="008516D1">
        <w:t>à</w:t>
      </w:r>
      <w:r>
        <w:t xml:space="preserve"> </w:t>
      </w:r>
      <w:r w:rsidRPr="008516D1">
        <w:t>Tegucigalpa</w:t>
      </w:r>
      <w:r>
        <w:t xml:space="preserve"> </w:t>
      </w:r>
      <w:r w:rsidRPr="008516D1">
        <w:t>et</w:t>
      </w:r>
      <w:r>
        <w:t xml:space="preserve"> </w:t>
      </w:r>
      <w:r w:rsidRPr="008516D1">
        <w:t>à</w:t>
      </w:r>
      <w:r>
        <w:t xml:space="preserve"> </w:t>
      </w:r>
      <w:r w:rsidRPr="008516D1">
        <w:t>San</w:t>
      </w:r>
      <w:r>
        <w:t xml:space="preserve"> </w:t>
      </w:r>
      <w:r w:rsidRPr="008516D1">
        <w:t>Pedro</w:t>
      </w:r>
      <w:r>
        <w:t xml:space="preserve"> </w:t>
      </w:r>
      <w:proofErr w:type="spellStart"/>
      <w:r w:rsidRPr="008516D1">
        <w:t>Sula</w:t>
      </w:r>
      <w:proofErr w:type="spellEnd"/>
      <w:r>
        <w:t xml:space="preserve"> </w:t>
      </w:r>
      <w:r w:rsidRPr="008516D1">
        <w:t>à</w:t>
      </w:r>
      <w:r>
        <w:t xml:space="preserve"> </w:t>
      </w:r>
      <w:r w:rsidRPr="008516D1">
        <w:t>l</w:t>
      </w:r>
      <w:r>
        <w:t>’</w:t>
      </w:r>
      <w:r w:rsidRPr="008516D1">
        <w:t>intention</w:t>
      </w:r>
      <w:r>
        <w:t xml:space="preserve"> </w:t>
      </w:r>
      <w:r w:rsidRPr="008516D1">
        <w:t>des</w:t>
      </w:r>
      <w:r>
        <w:t xml:space="preserve"> </w:t>
      </w:r>
      <w:r w:rsidRPr="008516D1">
        <w:t>médecins</w:t>
      </w:r>
      <w:r>
        <w:t xml:space="preserve"> </w:t>
      </w:r>
      <w:r w:rsidRPr="008516D1">
        <w:t>légistes,</w:t>
      </w:r>
      <w:r>
        <w:t xml:space="preserve"> </w:t>
      </w:r>
      <w:r w:rsidRPr="008516D1">
        <w:t>des</w:t>
      </w:r>
      <w:r>
        <w:t xml:space="preserve"> </w:t>
      </w:r>
      <w:r w:rsidRPr="008516D1">
        <w:t>médecins</w:t>
      </w:r>
      <w:r>
        <w:t xml:space="preserve"> </w:t>
      </w:r>
      <w:r w:rsidRPr="008516D1">
        <w:t>spécialisés</w:t>
      </w:r>
      <w:r>
        <w:t xml:space="preserve"> </w:t>
      </w:r>
      <w:r w:rsidRPr="008516D1">
        <w:t>en</w:t>
      </w:r>
      <w:r>
        <w:t xml:space="preserve"> </w:t>
      </w:r>
      <w:r w:rsidRPr="008516D1">
        <w:t>sérologie</w:t>
      </w:r>
      <w:r>
        <w:t xml:space="preserve"> </w:t>
      </w:r>
      <w:r w:rsidRPr="008516D1">
        <w:t>et</w:t>
      </w:r>
      <w:r>
        <w:t xml:space="preserve"> </w:t>
      </w:r>
      <w:r w:rsidRPr="008516D1">
        <w:t>génétique</w:t>
      </w:r>
      <w:r>
        <w:t xml:space="preserve"> </w:t>
      </w:r>
      <w:r w:rsidRPr="008516D1">
        <w:t>médico-légale,</w:t>
      </w:r>
      <w:r>
        <w:t xml:space="preserve"> </w:t>
      </w:r>
      <w:r w:rsidRPr="008516D1">
        <w:t>des</w:t>
      </w:r>
      <w:r>
        <w:t xml:space="preserve"> </w:t>
      </w:r>
      <w:r w:rsidRPr="008516D1">
        <w:t>odontologues</w:t>
      </w:r>
      <w:r>
        <w:t xml:space="preserve"> </w:t>
      </w:r>
      <w:r w:rsidRPr="008516D1">
        <w:t>médico-légaux,</w:t>
      </w:r>
      <w:r>
        <w:t xml:space="preserve"> </w:t>
      </w:r>
      <w:r w:rsidRPr="008516D1">
        <w:t>des</w:t>
      </w:r>
      <w:r>
        <w:t xml:space="preserve"> </w:t>
      </w:r>
      <w:r w:rsidRPr="008516D1">
        <w:t>techniciens</w:t>
      </w:r>
      <w:r>
        <w:t xml:space="preserve"> </w:t>
      </w:r>
      <w:r w:rsidRPr="008516D1">
        <w:t>spécialisés</w:t>
      </w:r>
      <w:r>
        <w:t xml:space="preserve"> </w:t>
      </w:r>
      <w:r w:rsidRPr="008516D1">
        <w:t>dans</w:t>
      </w:r>
      <w:r>
        <w:t xml:space="preserve"> </w:t>
      </w:r>
      <w:r w:rsidRPr="008516D1">
        <w:t>la</w:t>
      </w:r>
      <w:r>
        <w:t xml:space="preserve"> </w:t>
      </w:r>
      <w:r w:rsidRPr="008516D1">
        <w:t>collecte</w:t>
      </w:r>
      <w:r>
        <w:t xml:space="preserve"> </w:t>
      </w:r>
      <w:r w:rsidRPr="008516D1">
        <w:t>des</w:t>
      </w:r>
      <w:r>
        <w:t xml:space="preserve"> </w:t>
      </w:r>
      <w:r w:rsidRPr="008516D1">
        <w:t>pièces</w:t>
      </w:r>
      <w:r>
        <w:t xml:space="preserve"> </w:t>
      </w:r>
      <w:r w:rsidRPr="008516D1">
        <w:t>à</w:t>
      </w:r>
      <w:r>
        <w:t xml:space="preserve"> </w:t>
      </w:r>
      <w:r w:rsidRPr="008516D1">
        <w:t>conviction,</w:t>
      </w:r>
      <w:r>
        <w:t xml:space="preserve"> </w:t>
      </w:r>
      <w:r w:rsidRPr="008516D1">
        <w:t>la</w:t>
      </w:r>
      <w:r>
        <w:t xml:space="preserve"> </w:t>
      </w:r>
      <w:r w:rsidRPr="008516D1">
        <w:t>dissection,</w:t>
      </w:r>
      <w:r>
        <w:t xml:space="preserve"> </w:t>
      </w:r>
      <w:r w:rsidRPr="008516D1">
        <w:t>les</w:t>
      </w:r>
      <w:r>
        <w:t xml:space="preserve"> </w:t>
      </w:r>
      <w:r w:rsidRPr="008516D1">
        <w:t>empreintes</w:t>
      </w:r>
      <w:r>
        <w:t xml:space="preserve"> </w:t>
      </w:r>
      <w:r w:rsidRPr="008516D1">
        <w:t>digitales,</w:t>
      </w:r>
      <w:r>
        <w:t xml:space="preserve"> </w:t>
      </w:r>
      <w:r w:rsidRPr="008516D1">
        <w:t>ainsi</w:t>
      </w:r>
      <w:r>
        <w:t xml:space="preserve"> </w:t>
      </w:r>
      <w:r w:rsidRPr="008516D1">
        <w:t>que</w:t>
      </w:r>
      <w:r>
        <w:t xml:space="preserve"> </w:t>
      </w:r>
      <w:r w:rsidRPr="008516D1">
        <w:t>des</w:t>
      </w:r>
      <w:r>
        <w:t xml:space="preserve"> </w:t>
      </w:r>
      <w:r w:rsidRPr="008516D1">
        <w:t>assistants</w:t>
      </w:r>
      <w:r>
        <w:t xml:space="preserve"> </w:t>
      </w:r>
      <w:r w:rsidRPr="008516D1">
        <w:t>d</w:t>
      </w:r>
      <w:r>
        <w:t>’</w:t>
      </w:r>
      <w:r w:rsidRPr="008516D1">
        <w:t>information</w:t>
      </w:r>
      <w:r>
        <w:t xml:space="preserve"> </w:t>
      </w:r>
      <w:r w:rsidRPr="008516D1">
        <w:t>ont</w:t>
      </w:r>
      <w:r>
        <w:t xml:space="preserve"> </w:t>
      </w:r>
      <w:r w:rsidRPr="008516D1">
        <w:t>permis</w:t>
      </w:r>
      <w:r>
        <w:t xml:space="preserve"> </w:t>
      </w:r>
      <w:r w:rsidRPr="008516D1">
        <w:t>de</w:t>
      </w:r>
      <w:r>
        <w:t xml:space="preserve"> </w:t>
      </w:r>
      <w:r w:rsidRPr="008516D1">
        <w:t>sensibiliser</w:t>
      </w:r>
      <w:r>
        <w:t xml:space="preserve"> </w:t>
      </w:r>
      <w:r w:rsidRPr="008516D1">
        <w:t>ces</w:t>
      </w:r>
      <w:r>
        <w:t xml:space="preserve"> </w:t>
      </w:r>
      <w:r w:rsidRPr="008516D1">
        <w:t>personnes</w:t>
      </w:r>
      <w:r>
        <w:t xml:space="preserve"> </w:t>
      </w:r>
      <w:r w:rsidRPr="008516D1">
        <w:t>à</w:t>
      </w:r>
      <w:r>
        <w:t xml:space="preserve"> </w:t>
      </w:r>
      <w:r w:rsidRPr="008516D1">
        <w:t>l</w:t>
      </w:r>
      <w:r>
        <w:t>’</w:t>
      </w:r>
      <w:r w:rsidRPr="008516D1">
        <w:t>accueil</w:t>
      </w:r>
      <w:r>
        <w:t xml:space="preserve"> </w:t>
      </w:r>
      <w:r w:rsidRPr="008516D1">
        <w:t>dans</w:t>
      </w:r>
      <w:r>
        <w:t xml:space="preserve"> </w:t>
      </w:r>
      <w:r w:rsidRPr="008516D1">
        <w:t>la</w:t>
      </w:r>
      <w:r>
        <w:t xml:space="preserve"> </w:t>
      </w:r>
      <w:r w:rsidRPr="008516D1">
        <w:t>dignité</w:t>
      </w:r>
      <w:r>
        <w:t xml:space="preserve"> </w:t>
      </w:r>
      <w:r w:rsidRPr="008516D1">
        <w:t>et</w:t>
      </w:r>
      <w:r>
        <w:t xml:space="preserve"> </w:t>
      </w:r>
      <w:r w:rsidRPr="008516D1">
        <w:t>la</w:t>
      </w:r>
      <w:r>
        <w:t xml:space="preserve"> </w:t>
      </w:r>
      <w:r w:rsidRPr="008516D1">
        <w:t>bienveillance</w:t>
      </w:r>
      <w:r>
        <w:t xml:space="preserve"> </w:t>
      </w:r>
      <w:r w:rsidRPr="008516D1">
        <w:t>des</w:t>
      </w:r>
      <w:r>
        <w:t xml:space="preserve"> </w:t>
      </w:r>
      <w:r w:rsidRPr="008516D1">
        <w:t>familles</w:t>
      </w:r>
      <w:r>
        <w:t xml:space="preserve"> </w:t>
      </w:r>
      <w:r w:rsidRPr="008516D1">
        <w:t>de</w:t>
      </w:r>
      <w:r>
        <w:t xml:space="preserve"> </w:t>
      </w:r>
      <w:r w:rsidRPr="008516D1">
        <w:t>personnes</w:t>
      </w:r>
      <w:r>
        <w:t xml:space="preserve"> </w:t>
      </w:r>
      <w:r w:rsidRPr="008516D1">
        <w:t>disparues</w:t>
      </w:r>
      <w:r w:rsidRPr="008516D1">
        <w:rPr>
          <w:rStyle w:val="Appelnotedebasdep"/>
        </w:rPr>
        <w:footnoteReference w:id="66"/>
      </w:r>
      <w:r w:rsidRPr="008516D1">
        <w:t>.</w:t>
      </w:r>
    </w:p>
    <w:p w14:paraId="45F4A2DD" w14:textId="77777777" w:rsidR="00286956" w:rsidRPr="00ED5AA3" w:rsidRDefault="00286956" w:rsidP="00286956">
      <w:pPr>
        <w:pStyle w:val="SingleTxtG"/>
        <w:rPr>
          <w:spacing w:val="-1"/>
        </w:rPr>
      </w:pPr>
      <w:r w:rsidRPr="00ED5AA3">
        <w:rPr>
          <w:spacing w:val="-1"/>
        </w:rPr>
        <w:t>53.</w:t>
      </w:r>
      <w:r w:rsidRPr="00ED5AA3">
        <w:rPr>
          <w:spacing w:val="-1"/>
        </w:rPr>
        <w:tab/>
        <w:t xml:space="preserve">En 2019, avec le soutien du CICR, la Direction générale de médecine légale a organisé une journée de formation en anthropologie médico-légale sur les bonnes pratiques en matière d’exhumation, à l’intention du personnel médical et technique spécialisé en pathologie médico-légale de Tegucigalpa, San Pedro </w:t>
      </w:r>
      <w:proofErr w:type="spellStart"/>
      <w:r w:rsidRPr="00ED5AA3">
        <w:rPr>
          <w:spacing w:val="-1"/>
        </w:rPr>
        <w:t>Sula</w:t>
      </w:r>
      <w:proofErr w:type="spellEnd"/>
      <w:r w:rsidRPr="00ED5AA3">
        <w:rPr>
          <w:spacing w:val="-1"/>
        </w:rPr>
        <w:t xml:space="preserve">, La </w:t>
      </w:r>
      <w:proofErr w:type="spellStart"/>
      <w:r w:rsidRPr="00ED5AA3">
        <w:rPr>
          <w:spacing w:val="-1"/>
        </w:rPr>
        <w:t>Ceiba</w:t>
      </w:r>
      <w:proofErr w:type="spellEnd"/>
      <w:r w:rsidRPr="00ED5AA3">
        <w:rPr>
          <w:spacing w:val="-1"/>
        </w:rPr>
        <w:t>, Yoro et Santa Rosa de Copán. L’objectif était de renforcer et d’améliorer les techniques d’expertise anthropologique et archéologique afin de mieux servir les enquêtes pour homicide, d’exhumer dignement les restes humains en utilisant des techniques scientifiques conformes aux normes internationales, de comprendre et d’appliquer les techniques archéologiques d’exhumation de ces restes dans le cadre des disparitions, des fosses clandestines et des catastrophes naturelles</w:t>
      </w:r>
      <w:r w:rsidRPr="00ED5AA3">
        <w:rPr>
          <w:rStyle w:val="Appelnotedebasdep"/>
          <w:spacing w:val="-1"/>
        </w:rPr>
        <w:footnoteReference w:id="67"/>
      </w:r>
      <w:r w:rsidRPr="00ED5AA3">
        <w:rPr>
          <w:spacing w:val="-1"/>
        </w:rPr>
        <w:t>.</w:t>
      </w:r>
    </w:p>
    <w:p w14:paraId="5518CCF4" w14:textId="2CD8BEB7" w:rsidR="00286956" w:rsidRPr="008516D1" w:rsidRDefault="00286956" w:rsidP="00286956">
      <w:pPr>
        <w:pStyle w:val="SingleTxtG"/>
      </w:pPr>
      <w:r w:rsidRPr="008516D1">
        <w:t>54.</w:t>
      </w:r>
      <w:r w:rsidRPr="008516D1">
        <w:tab/>
        <w:t>En</w:t>
      </w:r>
      <w:r>
        <w:t xml:space="preserve"> </w:t>
      </w:r>
      <w:r w:rsidRPr="008516D1">
        <w:t>outre,</w:t>
      </w:r>
      <w:r>
        <w:t xml:space="preserve"> </w:t>
      </w:r>
      <w:r w:rsidRPr="008516D1">
        <w:t>en</w:t>
      </w:r>
      <w:r>
        <w:t xml:space="preserve"> </w:t>
      </w:r>
      <w:r w:rsidRPr="008516D1">
        <w:t>juin</w:t>
      </w:r>
      <w:r>
        <w:t xml:space="preserve"> </w:t>
      </w:r>
      <w:r w:rsidRPr="008516D1">
        <w:t>2019,</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l</w:t>
      </w:r>
      <w:r>
        <w:t>’</w:t>
      </w:r>
      <w:r w:rsidRPr="008516D1">
        <w:t>École</w:t>
      </w:r>
      <w:r>
        <w:t xml:space="preserve"> </w:t>
      </w:r>
      <w:r w:rsidRPr="008516D1">
        <w:t>d</w:t>
      </w:r>
      <w:r>
        <w:t>’</w:t>
      </w:r>
      <w:r w:rsidRPr="008516D1">
        <w:t>investigation</w:t>
      </w:r>
      <w:r>
        <w:t xml:space="preserve"> </w:t>
      </w:r>
      <w:r w:rsidRPr="008516D1">
        <w:t>criminelle</w:t>
      </w:r>
      <w:r>
        <w:t xml:space="preserve"> </w:t>
      </w:r>
      <w:r w:rsidRPr="008516D1">
        <w:t>de</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et</w:t>
      </w:r>
      <w:r>
        <w:t xml:space="preserve"> </w:t>
      </w:r>
      <w:r w:rsidRPr="008516D1">
        <w:t>l</w:t>
      </w:r>
      <w:r>
        <w:t>’</w:t>
      </w:r>
      <w:r w:rsidRPr="008516D1">
        <w:t>École</w:t>
      </w:r>
      <w:r>
        <w:t xml:space="preserve"> </w:t>
      </w:r>
      <w:r w:rsidRPr="008516D1">
        <w:t>Francisco</w:t>
      </w:r>
      <w:r>
        <w:t xml:space="preserve"> </w:t>
      </w:r>
      <w:proofErr w:type="spellStart"/>
      <w:r w:rsidRPr="008516D1">
        <w:t>Salomón</w:t>
      </w:r>
      <w:proofErr w:type="spellEnd"/>
      <w:r>
        <w:t xml:space="preserve"> </w:t>
      </w:r>
      <w:r w:rsidRPr="008516D1">
        <w:t>Jiménez</w:t>
      </w:r>
      <w:r>
        <w:t xml:space="preserve"> </w:t>
      </w:r>
      <w:r w:rsidRPr="008516D1">
        <w:t>Castro,</w:t>
      </w:r>
      <w:r>
        <w:t xml:space="preserve"> </w:t>
      </w:r>
      <w:r w:rsidRPr="008516D1">
        <w:t>qui</w:t>
      </w:r>
      <w:r>
        <w:t xml:space="preserve"> </w:t>
      </w:r>
      <w:r w:rsidRPr="008516D1">
        <w:t>assure</w:t>
      </w:r>
      <w:r>
        <w:t xml:space="preserve"> </w:t>
      </w:r>
      <w:r w:rsidRPr="008516D1">
        <w:t>la</w:t>
      </w:r>
      <w:r>
        <w:t xml:space="preserve"> </w:t>
      </w:r>
      <w:r w:rsidRPr="008516D1">
        <w:t>formation</w:t>
      </w:r>
      <w:r>
        <w:t xml:space="preserve"> </w:t>
      </w:r>
      <w:r w:rsidRPr="008516D1">
        <w:t>du</w:t>
      </w:r>
      <w:r>
        <w:t xml:space="preserve"> </w:t>
      </w:r>
      <w:r w:rsidRPr="008516D1">
        <w:t>pouvoir</w:t>
      </w:r>
      <w:r>
        <w:t xml:space="preserve"> </w:t>
      </w:r>
      <w:r w:rsidRPr="008516D1">
        <w:t>judiciaire,</w:t>
      </w:r>
      <w:r>
        <w:t xml:space="preserve"> </w:t>
      </w:r>
      <w:r w:rsidRPr="008516D1">
        <w:t>ont</w:t>
      </w:r>
      <w:r>
        <w:t xml:space="preserve"> </w:t>
      </w:r>
      <w:r w:rsidRPr="008516D1">
        <w:t>dispensé</w:t>
      </w:r>
      <w:r>
        <w:t xml:space="preserve"> </w:t>
      </w:r>
      <w:r w:rsidRPr="008516D1">
        <w:t>à</w:t>
      </w:r>
      <w:r>
        <w:t xml:space="preserve"> </w:t>
      </w:r>
      <w:r w:rsidRPr="008516D1">
        <w:t>16</w:t>
      </w:r>
      <w:r w:rsidR="00ED5AA3">
        <w:t> </w:t>
      </w:r>
      <w:r w:rsidRPr="008516D1">
        <w:t>juges</w:t>
      </w:r>
      <w:r>
        <w:t xml:space="preserve"> </w:t>
      </w:r>
      <w:r w:rsidRPr="008516D1">
        <w:t>et</w:t>
      </w:r>
      <w:r>
        <w:t xml:space="preserve"> </w:t>
      </w:r>
      <w:r w:rsidRPr="008516D1">
        <w:t>procureurs</w:t>
      </w:r>
      <w:r>
        <w:t xml:space="preserve"> </w:t>
      </w:r>
      <w:r w:rsidRPr="008516D1">
        <w:t>une</w:t>
      </w:r>
      <w:r>
        <w:t xml:space="preserve"> </w:t>
      </w:r>
      <w:r w:rsidRPr="008516D1">
        <w:t>formation</w:t>
      </w:r>
      <w:r>
        <w:t xml:space="preserve"> </w:t>
      </w:r>
      <w:r w:rsidRPr="008516D1">
        <w:t>sur</w:t>
      </w:r>
      <w:r>
        <w:t xml:space="preserve"> </w:t>
      </w:r>
      <w:r w:rsidRPr="008516D1">
        <w:t>le</w:t>
      </w:r>
      <w:r>
        <w:t xml:space="preserve"> </w:t>
      </w:r>
      <w:r w:rsidRPr="008516D1">
        <w:t>travail</w:t>
      </w:r>
      <w:r>
        <w:t xml:space="preserve"> </w:t>
      </w:r>
      <w:r w:rsidRPr="008516D1">
        <w:t>des</w:t>
      </w:r>
      <w:r>
        <w:t xml:space="preserve"> </w:t>
      </w:r>
      <w:r w:rsidRPr="008516D1">
        <w:t>laboratoires</w:t>
      </w:r>
      <w:r>
        <w:t xml:space="preserve"> </w:t>
      </w:r>
      <w:r w:rsidRPr="008516D1">
        <w:t>de</w:t>
      </w:r>
      <w:r>
        <w:t xml:space="preserve"> </w:t>
      </w:r>
      <w:r w:rsidRPr="008516D1">
        <w:t>criminologie</w:t>
      </w:r>
      <w:r>
        <w:t xml:space="preserve"> </w:t>
      </w:r>
      <w:r w:rsidRPr="008516D1">
        <w:t>du</w:t>
      </w:r>
      <w:r>
        <w:t xml:space="preserve"> </w:t>
      </w:r>
      <w:r w:rsidRPr="008516D1">
        <w:t>Centre</w:t>
      </w:r>
      <w:r>
        <w:t xml:space="preserve"> </w:t>
      </w:r>
      <w:r w:rsidRPr="008516D1">
        <w:t>de</w:t>
      </w:r>
      <w:r>
        <w:t xml:space="preserve"> </w:t>
      </w:r>
      <w:r w:rsidRPr="008516D1">
        <w:t>médecine</w:t>
      </w:r>
      <w:r>
        <w:t xml:space="preserve"> </w:t>
      </w:r>
      <w:r w:rsidRPr="008516D1">
        <w:t>légale</w:t>
      </w:r>
      <w:r>
        <w:t xml:space="preserve"> </w:t>
      </w:r>
      <w:r w:rsidRPr="008516D1">
        <w:t>et</w:t>
      </w:r>
      <w:r>
        <w:t xml:space="preserve"> </w:t>
      </w:r>
      <w:r w:rsidRPr="008516D1">
        <w:t>de</w:t>
      </w:r>
      <w:r>
        <w:t xml:space="preserve"> </w:t>
      </w:r>
      <w:r w:rsidRPr="008516D1">
        <w:t>sciences</w:t>
      </w:r>
      <w:r>
        <w:t xml:space="preserve"> </w:t>
      </w:r>
      <w:r w:rsidRPr="008516D1">
        <w:t>médico-légales,</w:t>
      </w:r>
      <w:r>
        <w:t xml:space="preserve"> </w:t>
      </w:r>
      <w:r w:rsidRPr="008516D1">
        <w:t>les</w:t>
      </w:r>
      <w:r>
        <w:t xml:space="preserve"> </w:t>
      </w:r>
      <w:r w:rsidRPr="008516D1">
        <w:t>méthodes</w:t>
      </w:r>
      <w:r>
        <w:t xml:space="preserve"> </w:t>
      </w:r>
      <w:r w:rsidRPr="008516D1">
        <w:t>utilisées</w:t>
      </w:r>
      <w:r>
        <w:t xml:space="preserve"> </w:t>
      </w:r>
      <w:r w:rsidRPr="008516D1">
        <w:t>dans</w:t>
      </w:r>
      <w:r>
        <w:t xml:space="preserve"> </w:t>
      </w:r>
      <w:r w:rsidRPr="008516D1">
        <w:t>la</w:t>
      </w:r>
      <w:r>
        <w:t xml:space="preserve"> </w:t>
      </w:r>
      <w:r w:rsidRPr="008516D1">
        <w:t>gestion</w:t>
      </w:r>
      <w:r>
        <w:t xml:space="preserve"> </w:t>
      </w:r>
      <w:r w:rsidRPr="008516D1">
        <w:t>des</w:t>
      </w:r>
      <w:r>
        <w:t xml:space="preserve"> </w:t>
      </w:r>
      <w:r w:rsidRPr="008516D1">
        <w:t>scènes</w:t>
      </w:r>
      <w:r>
        <w:t xml:space="preserve"> </w:t>
      </w:r>
      <w:r w:rsidRPr="008516D1">
        <w:t>de</w:t>
      </w:r>
      <w:r>
        <w:t xml:space="preserve"> </w:t>
      </w:r>
      <w:r w:rsidRPr="008516D1">
        <w:t>crime,</w:t>
      </w:r>
      <w:r>
        <w:t xml:space="preserve"> </w:t>
      </w:r>
      <w:r w:rsidRPr="008516D1">
        <w:t>le</w:t>
      </w:r>
      <w:r>
        <w:t xml:space="preserve"> </w:t>
      </w:r>
      <w:r w:rsidRPr="008516D1">
        <w:t>bon</w:t>
      </w:r>
      <w:r>
        <w:t xml:space="preserve"> </w:t>
      </w:r>
      <w:r w:rsidRPr="008516D1">
        <w:t>usage</w:t>
      </w:r>
      <w:r>
        <w:t xml:space="preserve"> </w:t>
      </w:r>
      <w:r w:rsidRPr="008516D1">
        <w:t>de</w:t>
      </w:r>
      <w:r>
        <w:t xml:space="preserve"> </w:t>
      </w:r>
      <w:r w:rsidRPr="008516D1">
        <w:t>la</w:t>
      </w:r>
      <w:r>
        <w:t xml:space="preserve"> </w:t>
      </w:r>
      <w:r w:rsidRPr="008516D1">
        <w:t>garantie</w:t>
      </w:r>
      <w:r>
        <w:t xml:space="preserve"> </w:t>
      </w:r>
      <w:r w:rsidRPr="008516D1">
        <w:t>d</w:t>
      </w:r>
      <w:r>
        <w:t>’</w:t>
      </w:r>
      <w:r w:rsidRPr="008516D1">
        <w:t>authenticité,</w:t>
      </w:r>
      <w:r>
        <w:t xml:space="preserve"> </w:t>
      </w:r>
      <w:r w:rsidRPr="008516D1">
        <w:t>la</w:t>
      </w:r>
      <w:r>
        <w:t xml:space="preserve"> </w:t>
      </w:r>
      <w:r w:rsidRPr="008516D1">
        <w:t>connaissance</w:t>
      </w:r>
      <w:r>
        <w:t xml:space="preserve"> </w:t>
      </w:r>
      <w:r w:rsidRPr="008516D1">
        <w:t>de</w:t>
      </w:r>
      <w:r>
        <w:t xml:space="preserve"> </w:t>
      </w:r>
      <w:r w:rsidRPr="008516D1">
        <w:t>l</w:t>
      </w:r>
      <w:r>
        <w:t>’</w:t>
      </w:r>
      <w:r w:rsidRPr="008516D1">
        <w:t>ensemble</w:t>
      </w:r>
      <w:r>
        <w:t xml:space="preserve"> </w:t>
      </w:r>
      <w:r w:rsidRPr="008516D1">
        <w:t>des</w:t>
      </w:r>
      <w:r>
        <w:t xml:space="preserve"> </w:t>
      </w:r>
      <w:r w:rsidRPr="008516D1">
        <w:lastRenderedPageBreak/>
        <w:t>services</w:t>
      </w:r>
      <w:r>
        <w:t xml:space="preserve"> </w:t>
      </w:r>
      <w:r w:rsidRPr="008516D1">
        <w:t>fournis</w:t>
      </w:r>
      <w:r>
        <w:t xml:space="preserve"> </w:t>
      </w:r>
      <w:r w:rsidRPr="008516D1">
        <w:t>par</w:t>
      </w:r>
      <w:r>
        <w:t xml:space="preserve"> </w:t>
      </w:r>
      <w:r w:rsidRPr="008516D1">
        <w:t>les</w:t>
      </w:r>
      <w:r>
        <w:t xml:space="preserve"> </w:t>
      </w:r>
      <w:r w:rsidRPr="008516D1">
        <w:t>laboratoires</w:t>
      </w:r>
      <w:r>
        <w:t xml:space="preserve"> </w:t>
      </w:r>
      <w:r w:rsidRPr="008516D1">
        <w:t>de</w:t>
      </w:r>
      <w:r>
        <w:t xml:space="preserve"> </w:t>
      </w:r>
      <w:r w:rsidRPr="008516D1">
        <w:t>criminologie</w:t>
      </w:r>
      <w:r>
        <w:t xml:space="preserve"> </w:t>
      </w:r>
      <w:r w:rsidRPr="008516D1">
        <w:t>et</w:t>
      </w:r>
      <w:r>
        <w:t xml:space="preserve"> </w:t>
      </w:r>
      <w:r w:rsidRPr="008516D1">
        <w:t>la</w:t>
      </w:r>
      <w:r>
        <w:t xml:space="preserve"> </w:t>
      </w:r>
      <w:r w:rsidRPr="008516D1">
        <w:t>façon</w:t>
      </w:r>
      <w:r>
        <w:t xml:space="preserve"> </w:t>
      </w:r>
      <w:r w:rsidRPr="008516D1">
        <w:t>dont</w:t>
      </w:r>
      <w:r>
        <w:t xml:space="preserve"> </w:t>
      </w:r>
      <w:r w:rsidRPr="008516D1">
        <w:t>ils</w:t>
      </w:r>
      <w:r>
        <w:t xml:space="preserve"> </w:t>
      </w:r>
      <w:r w:rsidRPr="008516D1">
        <w:t>aident</w:t>
      </w:r>
      <w:r>
        <w:t xml:space="preserve"> </w:t>
      </w:r>
      <w:r w:rsidRPr="008516D1">
        <w:t>à</w:t>
      </w:r>
      <w:r>
        <w:t xml:space="preserve"> </w:t>
      </w:r>
      <w:r w:rsidRPr="008516D1">
        <w:t>élucider</w:t>
      </w:r>
      <w:r>
        <w:t xml:space="preserve"> </w:t>
      </w:r>
      <w:r w:rsidRPr="008516D1">
        <w:t>les</w:t>
      </w:r>
      <w:r>
        <w:t xml:space="preserve"> </w:t>
      </w:r>
      <w:r w:rsidRPr="008516D1">
        <w:t>affaires</w:t>
      </w:r>
      <w:r>
        <w:t xml:space="preserve"> </w:t>
      </w:r>
      <w:r w:rsidRPr="008516D1">
        <w:t>et</w:t>
      </w:r>
      <w:r>
        <w:t xml:space="preserve"> </w:t>
      </w:r>
      <w:r w:rsidRPr="008516D1">
        <w:t>à</w:t>
      </w:r>
      <w:r>
        <w:t xml:space="preserve"> </w:t>
      </w:r>
      <w:r w:rsidRPr="008516D1">
        <w:t>rendre</w:t>
      </w:r>
      <w:r>
        <w:t xml:space="preserve"> </w:t>
      </w:r>
      <w:r w:rsidRPr="008516D1">
        <w:t>la</w:t>
      </w:r>
      <w:r>
        <w:t xml:space="preserve"> </w:t>
      </w:r>
      <w:r w:rsidRPr="008516D1">
        <w:t>justice</w:t>
      </w:r>
      <w:r w:rsidRPr="008516D1">
        <w:rPr>
          <w:rStyle w:val="Appelnotedebasdep"/>
        </w:rPr>
        <w:footnoteReference w:id="68"/>
      </w:r>
      <w:r w:rsidRPr="008516D1">
        <w:t>.</w:t>
      </w:r>
    </w:p>
    <w:p w14:paraId="337B9039" w14:textId="1B417313" w:rsidR="00286956" w:rsidRPr="008516D1" w:rsidRDefault="00286956" w:rsidP="00286956">
      <w:pPr>
        <w:pStyle w:val="SingleTxtG"/>
      </w:pPr>
      <w:r w:rsidRPr="008516D1">
        <w:t>55.</w:t>
      </w:r>
      <w:r w:rsidRPr="008516D1">
        <w:tab/>
        <w:t>En</w:t>
      </w:r>
      <w:r>
        <w:t xml:space="preserve"> </w:t>
      </w:r>
      <w:r w:rsidRPr="008516D1">
        <w:t>mai</w:t>
      </w:r>
      <w:r>
        <w:t xml:space="preserve"> </w:t>
      </w:r>
      <w:r w:rsidRPr="008516D1">
        <w:t>2021,</w:t>
      </w:r>
      <w:r>
        <w:t xml:space="preserve"> </w:t>
      </w:r>
      <w:r w:rsidRPr="008516D1">
        <w:t>le</w:t>
      </w:r>
      <w:r>
        <w:t xml:space="preserve"> </w:t>
      </w:r>
      <w:r w:rsidRPr="008516D1">
        <w:t>ministère</w:t>
      </w:r>
      <w:r>
        <w:t xml:space="preserve"> </w:t>
      </w:r>
      <w:r w:rsidRPr="008516D1">
        <w:t>public</w:t>
      </w:r>
      <w:r>
        <w:t xml:space="preserve"> </w:t>
      </w:r>
      <w:r w:rsidRPr="008516D1">
        <w:t>et</w:t>
      </w:r>
      <w:r>
        <w:t xml:space="preserve"> </w:t>
      </w:r>
      <w:r w:rsidRPr="008516D1">
        <w:t>le</w:t>
      </w:r>
      <w:r>
        <w:t xml:space="preserve"> </w:t>
      </w:r>
      <w:r w:rsidRPr="008516D1">
        <w:t>Haut-Commissariat</w:t>
      </w:r>
      <w:r>
        <w:t xml:space="preserve"> </w:t>
      </w:r>
      <w:r w:rsidRPr="008516D1">
        <w:t>des</w:t>
      </w:r>
      <w:r>
        <w:t xml:space="preserve"> </w:t>
      </w:r>
      <w:r w:rsidR="00A647FA">
        <w:t>Nations Unies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ont</w:t>
      </w:r>
      <w:r>
        <w:t xml:space="preserve"> </w:t>
      </w:r>
      <w:r w:rsidRPr="008516D1">
        <w:t>signé</w:t>
      </w:r>
      <w:r>
        <w:t xml:space="preserve"> </w:t>
      </w:r>
      <w:r w:rsidRPr="008516D1">
        <w:t>un</w:t>
      </w:r>
      <w:r>
        <w:t xml:space="preserve"> </w:t>
      </w:r>
      <w:r w:rsidRPr="008516D1">
        <w:t>mémorandum</w:t>
      </w:r>
      <w:r>
        <w:t xml:space="preserve"> </w:t>
      </w:r>
      <w:r w:rsidRPr="008516D1">
        <w:t>d</w:t>
      </w:r>
      <w:r>
        <w:t>’</w:t>
      </w:r>
      <w:r w:rsidRPr="008516D1">
        <w:t>accord</w:t>
      </w:r>
      <w:r>
        <w:t xml:space="preserve"> </w:t>
      </w:r>
      <w:r w:rsidRPr="008516D1">
        <w:t>visant</w:t>
      </w:r>
      <w:r>
        <w:t xml:space="preserve"> </w:t>
      </w:r>
      <w:r w:rsidRPr="008516D1">
        <w:t>à</w:t>
      </w:r>
      <w:r>
        <w:t xml:space="preserve"> </w:t>
      </w:r>
      <w:r w:rsidRPr="008516D1">
        <w:t>établir</w:t>
      </w:r>
      <w:r>
        <w:t xml:space="preserve"> </w:t>
      </w:r>
      <w:r w:rsidRPr="008516D1">
        <w:t>un</w:t>
      </w:r>
      <w:r>
        <w:t xml:space="preserve"> </w:t>
      </w:r>
      <w:r w:rsidRPr="008516D1">
        <w:t>cadre</w:t>
      </w:r>
      <w:r>
        <w:t xml:space="preserve"> </w:t>
      </w:r>
      <w:r w:rsidRPr="008516D1">
        <w:t>de</w:t>
      </w:r>
      <w:r>
        <w:t xml:space="preserve"> </w:t>
      </w:r>
      <w:r w:rsidRPr="008516D1">
        <w:t>coopération</w:t>
      </w:r>
      <w:r>
        <w:t xml:space="preserve"> </w:t>
      </w:r>
      <w:r w:rsidRPr="008516D1">
        <w:t>technique</w:t>
      </w:r>
      <w:r>
        <w:t xml:space="preserve"> </w:t>
      </w:r>
      <w:r w:rsidRPr="008516D1">
        <w:t>pour</w:t>
      </w:r>
      <w:r>
        <w:t xml:space="preserve"> </w:t>
      </w:r>
      <w:r w:rsidRPr="008516D1">
        <w:t>renforcer</w:t>
      </w:r>
      <w:r>
        <w:t xml:space="preserve"> </w:t>
      </w:r>
      <w:r w:rsidRPr="008516D1">
        <w:t>les</w:t>
      </w:r>
      <w:r>
        <w:t xml:space="preserve"> </w:t>
      </w:r>
      <w:r w:rsidRPr="008516D1">
        <w:t>moyens</w:t>
      </w:r>
      <w:r>
        <w:t xml:space="preserve"> </w:t>
      </w:r>
      <w:r w:rsidRPr="008516D1">
        <w:t>d</w:t>
      </w:r>
      <w:r>
        <w:t>’</w:t>
      </w:r>
      <w:r w:rsidRPr="008516D1">
        <w:t>enquête</w:t>
      </w:r>
      <w:r>
        <w:t xml:space="preserve"> </w:t>
      </w:r>
      <w:r w:rsidRPr="008516D1">
        <w:t>sur</w:t>
      </w:r>
      <w:r>
        <w:t xml:space="preserve"> </w:t>
      </w:r>
      <w:r w:rsidRPr="008516D1">
        <w:t>les</w:t>
      </w:r>
      <w:r>
        <w:t xml:space="preserve"> </w:t>
      </w:r>
      <w:r w:rsidRPr="008516D1">
        <w:t>affaires</w:t>
      </w:r>
      <w:r>
        <w:t xml:space="preserve"> </w:t>
      </w:r>
      <w:r w:rsidRPr="008516D1">
        <w:t>de</w:t>
      </w:r>
      <w:r>
        <w:t xml:space="preserve"> </w:t>
      </w:r>
      <w:r w:rsidRPr="008516D1">
        <w:t>violations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dans</w:t>
      </w:r>
      <w:r>
        <w:t xml:space="preserve"> </w:t>
      </w:r>
      <w:r w:rsidRPr="008516D1">
        <w:t>le</w:t>
      </w:r>
      <w:r>
        <w:t xml:space="preserve"> </w:t>
      </w:r>
      <w:r w:rsidRPr="008516D1">
        <w:t>pays</w:t>
      </w:r>
      <w:r>
        <w:t xml:space="preserve"> </w:t>
      </w:r>
      <w:r w:rsidRPr="008516D1">
        <w:t>et</w:t>
      </w:r>
      <w:r>
        <w:t xml:space="preserve"> </w:t>
      </w:r>
      <w:r w:rsidRPr="008516D1">
        <w:t>établir</w:t>
      </w:r>
      <w:r>
        <w:t xml:space="preserve"> </w:t>
      </w:r>
      <w:r w:rsidRPr="008516D1">
        <w:t>un</w:t>
      </w:r>
      <w:r>
        <w:t xml:space="preserve"> </w:t>
      </w:r>
      <w:r w:rsidRPr="008516D1">
        <w:t>programme</w:t>
      </w:r>
      <w:r>
        <w:t xml:space="preserve"> </w:t>
      </w:r>
      <w:r w:rsidRPr="008516D1">
        <w:t>de</w:t>
      </w:r>
      <w:r>
        <w:t xml:space="preserve"> </w:t>
      </w:r>
      <w:r w:rsidRPr="008516D1">
        <w:t>travail</w:t>
      </w:r>
      <w:r>
        <w:t xml:space="preserve"> </w:t>
      </w:r>
      <w:r w:rsidRPr="008516D1">
        <w:t>concernant</w:t>
      </w:r>
      <w:r>
        <w:t xml:space="preserve"> </w:t>
      </w:r>
      <w:r w:rsidRPr="008516D1">
        <w:t>l</w:t>
      </w:r>
      <w:r>
        <w:t>’</w:t>
      </w:r>
      <w:r w:rsidRPr="008516D1">
        <w:t>échange</w:t>
      </w:r>
      <w:r>
        <w:t xml:space="preserve"> </w:t>
      </w:r>
      <w:r w:rsidRPr="008516D1">
        <w:t>d</w:t>
      </w:r>
      <w:r>
        <w:t>’</w:t>
      </w:r>
      <w:r w:rsidRPr="008516D1">
        <w:t>expériences,</w:t>
      </w:r>
      <w:r>
        <w:t xml:space="preserve"> </w:t>
      </w:r>
      <w:r w:rsidRPr="008516D1">
        <w:t>l</w:t>
      </w:r>
      <w:r>
        <w:t>’</w:t>
      </w:r>
      <w:r w:rsidRPr="008516D1">
        <w:t>étude</w:t>
      </w:r>
      <w:r>
        <w:t xml:space="preserve"> </w:t>
      </w:r>
      <w:r w:rsidRPr="008516D1">
        <w:t>de</w:t>
      </w:r>
      <w:r>
        <w:t xml:space="preserve"> </w:t>
      </w:r>
      <w:r w:rsidRPr="008516D1">
        <w:t>cas,</w:t>
      </w:r>
      <w:r>
        <w:t xml:space="preserve"> </w:t>
      </w:r>
      <w:r w:rsidRPr="008516D1">
        <w:t>l</w:t>
      </w:r>
      <w:r>
        <w:t>’</w:t>
      </w:r>
      <w:r w:rsidRPr="008516D1">
        <w:t>élaboration</w:t>
      </w:r>
      <w:r>
        <w:t xml:space="preserve"> </w:t>
      </w:r>
      <w:r w:rsidRPr="008516D1">
        <w:t>et</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de</w:t>
      </w:r>
      <w:r>
        <w:t xml:space="preserve"> </w:t>
      </w:r>
      <w:r w:rsidRPr="008516D1">
        <w:t>protocoles,</w:t>
      </w:r>
      <w:r>
        <w:t xml:space="preserve"> </w:t>
      </w:r>
      <w:r w:rsidRPr="008516D1">
        <w:t>de</w:t>
      </w:r>
      <w:r>
        <w:t xml:space="preserve"> </w:t>
      </w:r>
      <w:r w:rsidRPr="008516D1">
        <w:t>manuels,</w:t>
      </w:r>
      <w:r>
        <w:t xml:space="preserve"> </w:t>
      </w:r>
      <w:r w:rsidRPr="008516D1">
        <w:t>de</w:t>
      </w:r>
      <w:r>
        <w:t xml:space="preserve"> </w:t>
      </w:r>
      <w:r w:rsidRPr="008516D1">
        <w:t>documents</w:t>
      </w:r>
      <w:r>
        <w:t xml:space="preserve"> </w:t>
      </w:r>
      <w:r w:rsidRPr="008516D1">
        <w:t>et</w:t>
      </w:r>
      <w:r>
        <w:t xml:space="preserve"> </w:t>
      </w:r>
      <w:r w:rsidRPr="008516D1">
        <w:t>de</w:t>
      </w:r>
      <w:r>
        <w:t xml:space="preserve"> </w:t>
      </w:r>
      <w:r w:rsidRPr="008516D1">
        <w:t>procédures.</w:t>
      </w:r>
      <w:r>
        <w:t xml:space="preserve"> </w:t>
      </w:r>
      <w:r w:rsidRPr="008516D1">
        <w:t>L</w:t>
      </w:r>
      <w:r>
        <w:t>’</w:t>
      </w:r>
      <w:r w:rsidRPr="008516D1">
        <w:t>objectif</w:t>
      </w:r>
      <w:r>
        <w:t xml:space="preserve"> </w:t>
      </w:r>
      <w:r w:rsidRPr="008516D1">
        <w:t>est</w:t>
      </w:r>
      <w:r>
        <w:t xml:space="preserve"> </w:t>
      </w:r>
      <w:r w:rsidRPr="008516D1">
        <w:t>de</w:t>
      </w:r>
      <w:r>
        <w:t xml:space="preserve"> </w:t>
      </w:r>
      <w:r w:rsidRPr="008516D1">
        <w:t>renforcer</w:t>
      </w:r>
      <w:r>
        <w:t xml:space="preserve"> </w:t>
      </w:r>
      <w:r w:rsidRPr="008516D1">
        <w:t>les</w:t>
      </w:r>
      <w:r>
        <w:t xml:space="preserve"> </w:t>
      </w:r>
      <w:r w:rsidRPr="008516D1">
        <w:t>ressources</w:t>
      </w:r>
      <w:r>
        <w:t xml:space="preserve"> </w:t>
      </w:r>
      <w:r w:rsidRPr="008516D1">
        <w:t>humaines</w:t>
      </w:r>
      <w:r>
        <w:t xml:space="preserve"> </w:t>
      </w:r>
      <w:r w:rsidRPr="008516D1">
        <w:t>et</w:t>
      </w:r>
      <w:r>
        <w:t xml:space="preserve"> </w:t>
      </w:r>
      <w:r w:rsidRPr="008516D1">
        <w:t>techniques</w:t>
      </w:r>
      <w:r>
        <w:t xml:space="preserve"> </w:t>
      </w:r>
      <w:r w:rsidRPr="008516D1">
        <w:t>pour</w:t>
      </w:r>
      <w:r>
        <w:t xml:space="preserve"> </w:t>
      </w:r>
      <w:r w:rsidRPr="008516D1">
        <w:t>enquêter</w:t>
      </w:r>
      <w:r>
        <w:t xml:space="preserve"> </w:t>
      </w:r>
      <w:r w:rsidRPr="008516D1">
        <w:t>et</w:t>
      </w:r>
      <w:r>
        <w:t xml:space="preserve"> </w:t>
      </w:r>
      <w:r w:rsidRPr="008516D1">
        <w:t>de</w:t>
      </w:r>
      <w:r>
        <w:t xml:space="preserve"> </w:t>
      </w:r>
      <w:r w:rsidRPr="008516D1">
        <w:t>promouvoir</w:t>
      </w:r>
      <w:r>
        <w:t xml:space="preserve"> </w:t>
      </w:r>
      <w:r w:rsidRPr="008516D1">
        <w:t>l</w:t>
      </w:r>
      <w:r>
        <w:t>’</w:t>
      </w:r>
      <w:r w:rsidRPr="008516D1">
        <w:t>accès</w:t>
      </w:r>
      <w:r>
        <w:t xml:space="preserve"> </w:t>
      </w:r>
      <w:r w:rsidRPr="008516D1">
        <w:t>à</w:t>
      </w:r>
      <w:r>
        <w:t xml:space="preserve"> </w:t>
      </w:r>
      <w:r w:rsidRPr="008516D1">
        <w:t>la</w:t>
      </w:r>
      <w:r>
        <w:t xml:space="preserve"> </w:t>
      </w:r>
      <w:r w:rsidRPr="008516D1">
        <w:t>justice</w:t>
      </w:r>
      <w:r>
        <w:t xml:space="preserve"> </w:t>
      </w:r>
      <w:r w:rsidRPr="008516D1">
        <w:t>pour</w:t>
      </w:r>
      <w:r>
        <w:t xml:space="preserve"> </w:t>
      </w:r>
      <w:r w:rsidRPr="008516D1">
        <w:t>les</w:t>
      </w:r>
      <w:r>
        <w:t xml:space="preserve"> </w:t>
      </w:r>
      <w:r w:rsidRPr="008516D1">
        <w:t>secteurs</w:t>
      </w:r>
      <w:r>
        <w:t xml:space="preserve"> </w:t>
      </w:r>
      <w:r w:rsidRPr="008516D1">
        <w:t>les</w:t>
      </w:r>
      <w:r>
        <w:t xml:space="preserve"> </w:t>
      </w:r>
      <w:r w:rsidRPr="008516D1">
        <w:t>plus</w:t>
      </w:r>
      <w:r>
        <w:t xml:space="preserve"> </w:t>
      </w:r>
      <w:r w:rsidRPr="008516D1">
        <w:t>vulnérables</w:t>
      </w:r>
      <w:r w:rsidRPr="008516D1">
        <w:rPr>
          <w:rStyle w:val="Appelnotedebasdep"/>
        </w:rPr>
        <w:footnoteReference w:id="69"/>
      </w:r>
      <w:r w:rsidRPr="008516D1">
        <w:t>.</w:t>
      </w:r>
    </w:p>
    <w:p w14:paraId="26589D8C" w14:textId="77777777" w:rsidR="00286956" w:rsidRPr="008516D1" w:rsidRDefault="00286956" w:rsidP="00286956">
      <w:pPr>
        <w:pStyle w:val="SingleTxtG"/>
      </w:pPr>
      <w:r w:rsidRPr="008516D1">
        <w:t>56.</w:t>
      </w:r>
      <w:r w:rsidRPr="008516D1">
        <w:tab/>
        <w:t>En</w:t>
      </w:r>
      <w:r>
        <w:t xml:space="preserve"> </w:t>
      </w:r>
      <w:r w:rsidRPr="008516D1">
        <w:t>2016,</w:t>
      </w:r>
      <w:r>
        <w:t xml:space="preserve"> </w:t>
      </w:r>
      <w:r w:rsidRPr="008516D1">
        <w:t>afin</w:t>
      </w:r>
      <w:r>
        <w:t xml:space="preserve"> </w:t>
      </w:r>
      <w:r w:rsidRPr="008516D1">
        <w:t>d</w:t>
      </w:r>
      <w:r>
        <w:t>’</w:t>
      </w:r>
      <w:r w:rsidRPr="008516D1">
        <w:t>améliorer</w:t>
      </w:r>
      <w:r>
        <w:t xml:space="preserve"> </w:t>
      </w:r>
      <w:r w:rsidRPr="008516D1">
        <w:t>l</w:t>
      </w:r>
      <w:r>
        <w:t>’</w:t>
      </w:r>
      <w:r w:rsidRPr="008516D1">
        <w:t>identification</w:t>
      </w:r>
      <w:r>
        <w:t xml:space="preserve"> </w:t>
      </w:r>
      <w:r w:rsidRPr="008516D1">
        <w:t>des</w:t>
      </w:r>
      <w:r>
        <w:t xml:space="preserve"> </w:t>
      </w:r>
      <w:r w:rsidRPr="008516D1">
        <w:t>personnes</w:t>
      </w:r>
      <w:r>
        <w:t xml:space="preserve"> </w:t>
      </w:r>
      <w:r w:rsidRPr="008516D1">
        <w:t>décédées,</w:t>
      </w:r>
      <w:r>
        <w:t xml:space="preserve"> </w:t>
      </w:r>
      <w:r w:rsidRPr="008516D1">
        <w:t>le</w:t>
      </w:r>
      <w:r>
        <w:t xml:space="preserve"> </w:t>
      </w:r>
      <w:r w:rsidRPr="008516D1">
        <w:t>ministère</w:t>
      </w:r>
      <w:r>
        <w:t xml:space="preserve"> </w:t>
      </w:r>
      <w:r w:rsidRPr="008516D1">
        <w:t>public</w:t>
      </w:r>
      <w:r>
        <w:t xml:space="preserve"> </w:t>
      </w:r>
      <w:r w:rsidRPr="008516D1">
        <w:t>et</w:t>
      </w:r>
      <w:r>
        <w:t xml:space="preserve"> </w:t>
      </w:r>
      <w:r w:rsidRPr="008516D1">
        <w:t>le</w:t>
      </w:r>
      <w:r>
        <w:t xml:space="preserve"> </w:t>
      </w:r>
      <w:r w:rsidRPr="008516D1">
        <w:t>Registre</w:t>
      </w:r>
      <w:r>
        <w:t xml:space="preserve"> </w:t>
      </w:r>
      <w:r w:rsidRPr="008516D1">
        <w:t>national</w:t>
      </w:r>
      <w:r>
        <w:t xml:space="preserve"> </w:t>
      </w:r>
      <w:r w:rsidRPr="008516D1">
        <w:t>des</w:t>
      </w:r>
      <w:r>
        <w:t xml:space="preserve"> </w:t>
      </w:r>
      <w:r w:rsidRPr="008516D1">
        <w:t>personnes</w:t>
      </w:r>
      <w:r>
        <w:t xml:space="preserve"> </w:t>
      </w:r>
      <w:r w:rsidRPr="008516D1">
        <w:t>ont</w:t>
      </w:r>
      <w:r>
        <w:t xml:space="preserve"> </w:t>
      </w:r>
      <w:r w:rsidRPr="008516D1">
        <w:t>signé</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interinstitutionnelle</w:t>
      </w:r>
      <w:r>
        <w:t xml:space="preserve"> </w:t>
      </w:r>
      <w:r w:rsidRPr="008516D1">
        <w:t>visant</w:t>
      </w:r>
      <w:r>
        <w:t xml:space="preserve"> </w:t>
      </w:r>
      <w:r w:rsidRPr="008516D1">
        <w:t>à</w:t>
      </w:r>
      <w:r>
        <w:t xml:space="preserve"> </w:t>
      </w:r>
      <w:r w:rsidRPr="008516D1">
        <w:t>garantir</w:t>
      </w:r>
      <w:r>
        <w:t xml:space="preserve"> </w:t>
      </w:r>
      <w:r w:rsidRPr="008516D1">
        <w:t>l</w:t>
      </w:r>
      <w:r>
        <w:t>’</w:t>
      </w:r>
      <w:r w:rsidRPr="008516D1">
        <w:t>identification</w:t>
      </w:r>
      <w:r>
        <w:t xml:space="preserve"> </w:t>
      </w:r>
      <w:r w:rsidRPr="008516D1">
        <w:t>correcte</w:t>
      </w:r>
      <w:r>
        <w:t xml:space="preserve"> </w:t>
      </w:r>
      <w:r w:rsidRPr="008516D1">
        <w:t>des</w:t>
      </w:r>
      <w:r>
        <w:t xml:space="preserve"> </w:t>
      </w:r>
      <w:r w:rsidRPr="008516D1">
        <w:t>personnes</w:t>
      </w:r>
      <w:r>
        <w:t xml:space="preserve"> </w:t>
      </w:r>
      <w:r w:rsidRPr="008516D1">
        <w:t>faisant</w:t>
      </w:r>
      <w:r>
        <w:t xml:space="preserve"> </w:t>
      </w:r>
      <w:r w:rsidRPr="008516D1">
        <w:t>l</w:t>
      </w:r>
      <w:r>
        <w:t>’</w:t>
      </w:r>
      <w:r w:rsidRPr="008516D1">
        <w:t>objet</w:t>
      </w:r>
      <w:r>
        <w:t xml:space="preserve"> </w:t>
      </w:r>
      <w:r w:rsidRPr="008516D1">
        <w:t>d</w:t>
      </w:r>
      <w:r>
        <w:t>’</w:t>
      </w:r>
      <w:r w:rsidRPr="008516D1">
        <w:t>une</w:t>
      </w:r>
      <w:r>
        <w:t xml:space="preserve"> </w:t>
      </w:r>
      <w:r w:rsidRPr="008516D1">
        <w:t>autopsie,</w:t>
      </w:r>
      <w:r>
        <w:t xml:space="preserve"> </w:t>
      </w:r>
      <w:r w:rsidRPr="008516D1">
        <w:t>d</w:t>
      </w:r>
      <w:r>
        <w:t>’</w:t>
      </w:r>
      <w:r w:rsidRPr="008516D1">
        <w:t>un</w:t>
      </w:r>
      <w:r>
        <w:t xml:space="preserve"> </w:t>
      </w:r>
      <w:r w:rsidRPr="008516D1">
        <w:t>examen</w:t>
      </w:r>
      <w:r>
        <w:t xml:space="preserve"> </w:t>
      </w:r>
      <w:r w:rsidRPr="008516D1">
        <w:t>ou</w:t>
      </w:r>
      <w:r>
        <w:t xml:space="preserve"> </w:t>
      </w:r>
      <w:r w:rsidRPr="008516D1">
        <w:t>d</w:t>
      </w:r>
      <w:r>
        <w:t>’</w:t>
      </w:r>
      <w:r w:rsidRPr="008516D1">
        <w:t>une</w:t>
      </w:r>
      <w:r>
        <w:t xml:space="preserve"> </w:t>
      </w:r>
      <w:r w:rsidRPr="008516D1">
        <w:t>reconnaissance</w:t>
      </w:r>
      <w:r>
        <w:t xml:space="preserve"> </w:t>
      </w:r>
      <w:r w:rsidRPr="008516D1">
        <w:t>et</w:t>
      </w:r>
      <w:r>
        <w:t xml:space="preserve"> </w:t>
      </w:r>
      <w:r w:rsidRPr="008516D1">
        <w:t>l</w:t>
      </w:r>
      <w:r>
        <w:t>’</w:t>
      </w:r>
      <w:r w:rsidRPr="008516D1">
        <w:t>enregistrement</w:t>
      </w:r>
      <w:r>
        <w:t xml:space="preserve"> </w:t>
      </w:r>
      <w:r w:rsidRPr="008516D1">
        <w:t>des</w:t>
      </w:r>
      <w:r>
        <w:t xml:space="preserve"> </w:t>
      </w:r>
      <w:r w:rsidRPr="008516D1">
        <w:t>décès</w:t>
      </w:r>
      <w:r>
        <w:t xml:space="preserve"> </w:t>
      </w:r>
      <w:r w:rsidRPr="008516D1">
        <w:t>dans</w:t>
      </w:r>
      <w:r>
        <w:t xml:space="preserve"> </w:t>
      </w:r>
      <w:r w:rsidRPr="008516D1">
        <w:t>les</w:t>
      </w:r>
      <w:r>
        <w:t xml:space="preserve"> </w:t>
      </w:r>
      <w:r w:rsidRPr="008516D1">
        <w:t>délais</w:t>
      </w:r>
      <w:r>
        <w:t xml:space="preserve"> </w:t>
      </w:r>
      <w:r w:rsidRPr="008516D1">
        <w:t>prévus</w:t>
      </w:r>
      <w:r>
        <w:t xml:space="preserve"> </w:t>
      </w:r>
      <w:r w:rsidRPr="008516D1">
        <w:t>par</w:t>
      </w:r>
      <w:r>
        <w:t xml:space="preserve"> </w:t>
      </w:r>
      <w:r w:rsidRPr="008516D1">
        <w:t>la</w:t>
      </w:r>
      <w:r>
        <w:t xml:space="preserve"> </w:t>
      </w:r>
      <w:r w:rsidRPr="008516D1">
        <w:t>loi.</w:t>
      </w:r>
      <w:r>
        <w:t xml:space="preserve"> </w:t>
      </w:r>
      <w:r w:rsidRPr="008516D1">
        <w:t>Grâce</w:t>
      </w:r>
      <w:r>
        <w:t xml:space="preserve"> </w:t>
      </w:r>
      <w:r w:rsidRPr="008516D1">
        <w:t>à</w:t>
      </w:r>
      <w:r>
        <w:t xml:space="preserve"> </w:t>
      </w:r>
      <w:r w:rsidRPr="008516D1">
        <w:t>cet</w:t>
      </w:r>
      <w:r>
        <w:t xml:space="preserve"> </w:t>
      </w:r>
      <w:r w:rsidRPr="008516D1">
        <w:t>accord,</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médecine</w:t>
      </w:r>
      <w:r>
        <w:t xml:space="preserve"> </w:t>
      </w:r>
      <w:r w:rsidRPr="008516D1">
        <w:t>légale</w:t>
      </w:r>
      <w:r>
        <w:t xml:space="preserve"> </w:t>
      </w:r>
      <w:r w:rsidRPr="008516D1">
        <w:t>dispose</w:t>
      </w:r>
      <w:r>
        <w:t xml:space="preserve"> </w:t>
      </w:r>
      <w:r w:rsidRPr="008516D1">
        <w:t>d</w:t>
      </w:r>
      <w:r>
        <w:t>’</w:t>
      </w:r>
      <w:r w:rsidRPr="008516D1">
        <w:t>outils</w:t>
      </w:r>
      <w:r>
        <w:t xml:space="preserve"> </w:t>
      </w:r>
      <w:r w:rsidRPr="008516D1">
        <w:t>technologiques</w:t>
      </w:r>
      <w:r>
        <w:t xml:space="preserve"> </w:t>
      </w:r>
      <w:r w:rsidRPr="008516D1">
        <w:t>d</w:t>
      </w:r>
      <w:r>
        <w:t>’</w:t>
      </w:r>
      <w:r w:rsidRPr="008516D1">
        <w:t>identification</w:t>
      </w:r>
      <w:r>
        <w:t xml:space="preserve"> </w:t>
      </w:r>
      <w:r w:rsidRPr="008516D1">
        <w:t>des</w:t>
      </w:r>
      <w:r>
        <w:t xml:space="preserve"> </w:t>
      </w:r>
      <w:r w:rsidRPr="008516D1">
        <w:t>dépouilles</w:t>
      </w:r>
      <w:r>
        <w:t xml:space="preserve"> </w:t>
      </w:r>
      <w:r w:rsidRPr="008516D1">
        <w:t>par</w:t>
      </w:r>
      <w:r>
        <w:t xml:space="preserve"> </w:t>
      </w:r>
      <w:r w:rsidRPr="008516D1">
        <w:t>les</w:t>
      </w:r>
      <w:r>
        <w:t xml:space="preserve"> </w:t>
      </w:r>
      <w:r w:rsidRPr="008516D1">
        <w:t>empreintes</w:t>
      </w:r>
      <w:r>
        <w:t xml:space="preserve"> </w:t>
      </w:r>
      <w:r w:rsidRPr="008516D1">
        <w:t>digitales,</w:t>
      </w:r>
      <w:r>
        <w:t xml:space="preserve"> </w:t>
      </w:r>
      <w:r w:rsidRPr="008516D1">
        <w:t>permettant</w:t>
      </w:r>
      <w:r>
        <w:t xml:space="preserve"> </w:t>
      </w:r>
      <w:r w:rsidRPr="008516D1">
        <w:t>de</w:t>
      </w:r>
      <w:r>
        <w:t xml:space="preserve"> </w:t>
      </w:r>
      <w:r w:rsidRPr="008516D1">
        <w:t>respecter</w:t>
      </w:r>
      <w:r>
        <w:t xml:space="preserve"> </w:t>
      </w:r>
      <w:r w:rsidRPr="008516D1">
        <w:t>les</w:t>
      </w:r>
      <w:r>
        <w:t xml:space="preserve"> </w:t>
      </w:r>
      <w:r w:rsidRPr="008516D1">
        <w:t>délais</w:t>
      </w:r>
      <w:r>
        <w:t xml:space="preserve"> </w:t>
      </w:r>
      <w:r w:rsidRPr="008516D1">
        <w:t>prévus</w:t>
      </w:r>
      <w:r>
        <w:t xml:space="preserve"> </w:t>
      </w:r>
      <w:r w:rsidRPr="008516D1">
        <w:t>par</w:t>
      </w:r>
      <w:r>
        <w:t xml:space="preserve"> </w:t>
      </w:r>
      <w:r w:rsidRPr="008516D1">
        <w:t>la</w:t>
      </w:r>
      <w:r>
        <w:t xml:space="preserve"> </w:t>
      </w:r>
      <w:r w:rsidRPr="008516D1">
        <w:t>loi</w:t>
      </w:r>
      <w:r>
        <w:t xml:space="preserve"> </w:t>
      </w:r>
      <w:r w:rsidRPr="008516D1">
        <w:t>pour</w:t>
      </w:r>
      <w:r>
        <w:t xml:space="preserve"> </w:t>
      </w:r>
      <w:r w:rsidRPr="008516D1">
        <w:t>l</w:t>
      </w:r>
      <w:r>
        <w:t>’</w:t>
      </w:r>
      <w:r w:rsidRPr="008516D1">
        <w:t>enregistrement</w:t>
      </w:r>
      <w:r>
        <w:t xml:space="preserve"> </w:t>
      </w:r>
      <w:r w:rsidRPr="008516D1">
        <w:t>des</w:t>
      </w:r>
      <w:r>
        <w:t xml:space="preserve"> </w:t>
      </w:r>
      <w:r w:rsidRPr="008516D1">
        <w:t>décès.</w:t>
      </w:r>
      <w:r>
        <w:t xml:space="preserve"> </w:t>
      </w:r>
      <w:r w:rsidRPr="008516D1">
        <w:t>À</w:t>
      </w:r>
      <w:r>
        <w:t xml:space="preserve"> </w:t>
      </w:r>
      <w:r w:rsidRPr="008516D1">
        <w:t>cette</w:t>
      </w:r>
      <w:r>
        <w:t xml:space="preserve"> </w:t>
      </w:r>
      <w:r w:rsidRPr="008516D1">
        <w:t>fin,</w:t>
      </w:r>
      <w:r>
        <w:t xml:space="preserve"> </w:t>
      </w:r>
      <w:r w:rsidRPr="008516D1">
        <w:t>des</w:t>
      </w:r>
      <w:r>
        <w:t xml:space="preserve"> </w:t>
      </w:r>
      <w:r w:rsidRPr="008516D1">
        <w:t>postes</w:t>
      </w:r>
      <w:r>
        <w:t xml:space="preserve"> </w:t>
      </w:r>
      <w:r w:rsidRPr="008516D1">
        <w:t>auxiliaires</w:t>
      </w:r>
      <w:r>
        <w:t xml:space="preserve"> </w:t>
      </w:r>
      <w:r w:rsidRPr="008516D1">
        <w:t>d</w:t>
      </w:r>
      <w:r>
        <w:t>’</w:t>
      </w:r>
      <w:r w:rsidRPr="008516D1">
        <w:t>état</w:t>
      </w:r>
      <w:r>
        <w:t xml:space="preserve"> </w:t>
      </w:r>
      <w:r w:rsidRPr="008516D1">
        <w:t>civil</w:t>
      </w:r>
      <w:r>
        <w:t xml:space="preserve"> </w:t>
      </w:r>
      <w:r w:rsidRPr="008516D1">
        <w:t>ont</w:t>
      </w:r>
      <w:r>
        <w:t xml:space="preserve"> </w:t>
      </w:r>
      <w:r w:rsidRPr="008516D1">
        <w:t>été</w:t>
      </w:r>
      <w:r>
        <w:t xml:space="preserve"> </w:t>
      </w:r>
      <w:r w:rsidRPr="008516D1">
        <w:t>mis</w:t>
      </w:r>
      <w:r>
        <w:t xml:space="preserve"> </w:t>
      </w:r>
      <w:r w:rsidRPr="008516D1">
        <w:t>en</w:t>
      </w:r>
      <w:r>
        <w:t xml:space="preserve"> </w:t>
      </w:r>
      <w:r w:rsidRPr="008516D1">
        <w:t>place</w:t>
      </w:r>
      <w:r>
        <w:t xml:space="preserve"> </w:t>
      </w:r>
      <w:r w:rsidRPr="008516D1">
        <w:t>dans</w:t>
      </w:r>
      <w:r>
        <w:t xml:space="preserve"> </w:t>
      </w:r>
      <w:r w:rsidRPr="008516D1">
        <w:t>les</w:t>
      </w:r>
      <w:r>
        <w:t xml:space="preserve"> </w:t>
      </w:r>
      <w:r w:rsidRPr="008516D1">
        <w:t>services</w:t>
      </w:r>
      <w:r>
        <w:t xml:space="preserve"> </w:t>
      </w:r>
      <w:r w:rsidRPr="008516D1">
        <w:t>de</w:t>
      </w:r>
      <w:r>
        <w:t xml:space="preserve"> </w:t>
      </w:r>
      <w:r w:rsidRPr="008516D1">
        <w:t>pathologie</w:t>
      </w:r>
      <w:r>
        <w:t xml:space="preserve"> </w:t>
      </w:r>
      <w:r w:rsidRPr="008516D1">
        <w:t>médico-légale</w:t>
      </w:r>
      <w:r>
        <w:t xml:space="preserve"> </w:t>
      </w:r>
      <w:r w:rsidRPr="008516D1">
        <w:t>pour</w:t>
      </w:r>
      <w:r>
        <w:t xml:space="preserve"> </w:t>
      </w:r>
      <w:r w:rsidRPr="008516D1">
        <w:t>travailler</w:t>
      </w:r>
      <w:r>
        <w:t xml:space="preserve"> </w:t>
      </w:r>
      <w:r w:rsidRPr="008516D1">
        <w:t>en</w:t>
      </w:r>
      <w:r>
        <w:t xml:space="preserve"> </w:t>
      </w:r>
      <w:r w:rsidRPr="008516D1">
        <w:t>coordination</w:t>
      </w:r>
      <w:r>
        <w:t xml:space="preserve"> </w:t>
      </w:r>
      <w:r w:rsidRPr="008516D1">
        <w:t>avec</w:t>
      </w:r>
      <w:r>
        <w:t xml:space="preserve"> </w:t>
      </w:r>
      <w:r w:rsidRPr="008516D1">
        <w:t>les</w:t>
      </w:r>
      <w:r>
        <w:t xml:space="preserve"> </w:t>
      </w:r>
      <w:r w:rsidRPr="008516D1">
        <w:t>autorités</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rsidRPr="008516D1">
        <w:rPr>
          <w:rStyle w:val="Appelnotedebasdep"/>
        </w:rPr>
        <w:footnoteReference w:id="70"/>
      </w:r>
      <w:r w:rsidRPr="008516D1">
        <w:t>.</w:t>
      </w:r>
    </w:p>
    <w:p w14:paraId="30A0B83C" w14:textId="77777777" w:rsidR="00286956" w:rsidRPr="008516D1" w:rsidRDefault="00286956" w:rsidP="00286956">
      <w:pPr>
        <w:pStyle w:val="SingleTxtG"/>
      </w:pPr>
      <w:r w:rsidRPr="008516D1">
        <w:t>57.</w:t>
      </w:r>
      <w:r w:rsidRPr="008516D1">
        <w:tab/>
        <w:t>Le</w:t>
      </w:r>
      <w:r>
        <w:t xml:space="preserve"> </w:t>
      </w:r>
      <w:r w:rsidRPr="008516D1">
        <w:t>Registre</w:t>
      </w:r>
      <w:r>
        <w:t xml:space="preserve"> </w:t>
      </w:r>
      <w:r w:rsidRPr="008516D1">
        <w:t>national</w:t>
      </w:r>
      <w:r>
        <w:t xml:space="preserve"> </w:t>
      </w:r>
      <w:r w:rsidRPr="008516D1">
        <w:t>des</w:t>
      </w:r>
      <w:r>
        <w:t xml:space="preserve"> </w:t>
      </w:r>
      <w:r w:rsidRPr="008516D1">
        <w:t>personnes</w:t>
      </w:r>
      <w:r>
        <w:t xml:space="preserve"> </w:t>
      </w:r>
      <w:r w:rsidRPr="008516D1">
        <w:t>a</w:t>
      </w:r>
      <w:r>
        <w:t xml:space="preserve"> </w:t>
      </w:r>
      <w:r w:rsidRPr="008516D1">
        <w:t>également</w:t>
      </w:r>
      <w:r>
        <w:t xml:space="preserve"> </w:t>
      </w:r>
      <w:r w:rsidRPr="008516D1">
        <w:t>participé</w:t>
      </w:r>
      <w:r>
        <w:t xml:space="preserve"> </w:t>
      </w:r>
      <w:r w:rsidRPr="008516D1">
        <w:t>à</w:t>
      </w:r>
      <w:r>
        <w:t xml:space="preserve"> </w:t>
      </w:r>
      <w:r w:rsidRPr="008516D1">
        <w:t>l</w:t>
      </w:r>
      <w:r>
        <w:t>’</w:t>
      </w:r>
      <w:r w:rsidRPr="008516D1">
        <w:t>atelier</w:t>
      </w:r>
      <w:r>
        <w:t xml:space="preserve"> </w:t>
      </w:r>
      <w:r w:rsidRPr="008516D1">
        <w:t>sur</w:t>
      </w:r>
      <w:r>
        <w:t xml:space="preserve"> </w:t>
      </w:r>
      <w:r w:rsidRPr="008516D1">
        <w:t>l</w:t>
      </w:r>
      <w:r>
        <w:t>’</w:t>
      </w:r>
      <w:r w:rsidRPr="008516D1">
        <w:t>utilisation</w:t>
      </w:r>
      <w:r>
        <w:t xml:space="preserve"> </w:t>
      </w:r>
      <w:r w:rsidRPr="008516D1">
        <w:t>médico-légale</w:t>
      </w:r>
      <w:r>
        <w:t xml:space="preserve"> </w:t>
      </w:r>
      <w:r w:rsidRPr="008516D1">
        <w:t>des</w:t>
      </w:r>
      <w:r>
        <w:t xml:space="preserve"> </w:t>
      </w:r>
      <w:r w:rsidRPr="008516D1">
        <w:t>empreintes</w:t>
      </w:r>
      <w:r>
        <w:t xml:space="preserve"> </w:t>
      </w:r>
      <w:r w:rsidRPr="008516D1">
        <w:t>digitales</w:t>
      </w:r>
      <w:r>
        <w:t xml:space="preserve"> </w:t>
      </w:r>
      <w:r w:rsidRPr="008516D1">
        <w:t>et</w:t>
      </w:r>
      <w:r>
        <w:t xml:space="preserve"> </w:t>
      </w:r>
      <w:r w:rsidRPr="008516D1">
        <w:t>la</w:t>
      </w:r>
      <w:r>
        <w:t xml:space="preserve"> </w:t>
      </w:r>
      <w:r w:rsidRPr="008516D1">
        <w:t>connaissance</w:t>
      </w:r>
      <w:r>
        <w:t xml:space="preserve"> </w:t>
      </w:r>
      <w:r w:rsidRPr="008516D1">
        <w:t>des</w:t>
      </w:r>
      <w:r>
        <w:t xml:space="preserve"> </w:t>
      </w:r>
      <w:r w:rsidRPr="008516D1">
        <w:t>principes</w:t>
      </w:r>
      <w:r>
        <w:t xml:space="preserve"> </w:t>
      </w:r>
      <w:r w:rsidRPr="008516D1">
        <w:t>scientifiques</w:t>
      </w:r>
      <w:r>
        <w:t xml:space="preserve"> </w:t>
      </w:r>
      <w:r w:rsidRPr="008516D1">
        <w:t>permettant</w:t>
      </w:r>
      <w:r>
        <w:t xml:space="preserve"> </w:t>
      </w:r>
      <w:r w:rsidRPr="008516D1">
        <w:t>d</w:t>
      </w:r>
      <w:r>
        <w:t>’</w:t>
      </w:r>
      <w:r w:rsidRPr="008516D1">
        <w:t>identifier</w:t>
      </w:r>
      <w:r>
        <w:t xml:space="preserve"> </w:t>
      </w:r>
      <w:r w:rsidRPr="008516D1">
        <w:t>les</w:t>
      </w:r>
      <w:r>
        <w:t xml:space="preserve"> </w:t>
      </w:r>
      <w:r w:rsidRPr="008516D1">
        <w:t>personnes</w:t>
      </w:r>
      <w:r>
        <w:t xml:space="preserve"> </w:t>
      </w:r>
      <w:r w:rsidRPr="008516D1">
        <w:t>décédées</w:t>
      </w:r>
      <w:r>
        <w:t xml:space="preserve"> </w:t>
      </w:r>
      <w:r w:rsidRPr="008516D1">
        <w:t>par</w:t>
      </w:r>
      <w:r>
        <w:t xml:space="preserve"> </w:t>
      </w:r>
      <w:r w:rsidRPr="008516D1">
        <w:t>ce</w:t>
      </w:r>
      <w:r>
        <w:t xml:space="preserve"> </w:t>
      </w:r>
      <w:r w:rsidRPr="008516D1">
        <w:t>moyen.</w:t>
      </w:r>
    </w:p>
    <w:p w14:paraId="20C8AE5D" w14:textId="77777777" w:rsidR="00286956" w:rsidRPr="008516D1" w:rsidRDefault="00286956" w:rsidP="00286956">
      <w:pPr>
        <w:pStyle w:val="SingleTxtG"/>
      </w:pPr>
      <w:r w:rsidRPr="008516D1">
        <w:t>58.</w:t>
      </w:r>
      <w:r w:rsidRPr="008516D1">
        <w:tab/>
        <w:t>En</w:t>
      </w:r>
      <w:r>
        <w:t xml:space="preserve"> </w:t>
      </w:r>
      <w:r w:rsidRPr="008516D1">
        <w:t>ce</w:t>
      </w:r>
      <w:r>
        <w:t xml:space="preserve"> </w:t>
      </w:r>
      <w:r w:rsidRPr="008516D1">
        <w:t>qui</w:t>
      </w:r>
      <w:r>
        <w:t xml:space="preserve"> </w:t>
      </w:r>
      <w:r w:rsidRPr="008516D1">
        <w:t>concerne</w:t>
      </w:r>
      <w:r>
        <w:t xml:space="preserve"> </w:t>
      </w:r>
      <w:r w:rsidRPr="008516D1">
        <w:t>les</w:t>
      </w:r>
      <w:r>
        <w:t xml:space="preserve"> </w:t>
      </w:r>
      <w:r w:rsidRPr="008516D1">
        <w:t>disparitions</w:t>
      </w:r>
      <w:r>
        <w:t xml:space="preserve"> </w:t>
      </w:r>
      <w:r w:rsidRPr="008516D1">
        <w:t>forcées</w:t>
      </w:r>
      <w:r>
        <w:t xml:space="preserve"> </w:t>
      </w:r>
      <w:r w:rsidRPr="008516D1">
        <w:t>de</w:t>
      </w:r>
      <w:r>
        <w:t xml:space="preserve"> </w:t>
      </w:r>
      <w:r w:rsidRPr="008516D1">
        <w:t>personnes</w:t>
      </w:r>
      <w:r>
        <w:t xml:space="preserve"> </w:t>
      </w:r>
      <w:r w:rsidRPr="008516D1">
        <w:t>perpétrées</w:t>
      </w:r>
      <w:r>
        <w:t xml:space="preserve"> </w:t>
      </w:r>
      <w:r w:rsidRPr="008516D1">
        <w:t>dans</w:t>
      </w:r>
      <w:r>
        <w:t xml:space="preserve"> </w:t>
      </w:r>
      <w:r w:rsidRPr="008516D1">
        <w:t>les</w:t>
      </w:r>
      <w:r>
        <w:t xml:space="preserve"> </w:t>
      </w:r>
      <w:r w:rsidRPr="008516D1">
        <w:t>années</w:t>
      </w:r>
      <w:r>
        <w:t xml:space="preserve"> </w:t>
      </w:r>
      <w:r w:rsidRPr="008516D1">
        <w:t>1980</w:t>
      </w:r>
      <w:r>
        <w:t xml:space="preserve"> </w:t>
      </w:r>
      <w:r w:rsidRPr="008516D1">
        <w:t>et</w:t>
      </w:r>
      <w:r>
        <w:t xml:space="preserve"> </w:t>
      </w:r>
      <w:r w:rsidRPr="008516D1">
        <w:t>1990,</w:t>
      </w:r>
      <w:r>
        <w:t xml:space="preserve"> </w:t>
      </w:r>
      <w:r w:rsidRPr="008516D1">
        <w:t>selon</w:t>
      </w:r>
      <w:r>
        <w:t xml:space="preserve"> </w:t>
      </w:r>
      <w:r w:rsidRPr="008516D1">
        <w:t>le</w:t>
      </w:r>
      <w:r>
        <w:t xml:space="preserve"> </w:t>
      </w:r>
      <w:r w:rsidRPr="008516D1">
        <w:t>ministère</w:t>
      </w:r>
      <w:r>
        <w:t xml:space="preserve"> </w:t>
      </w:r>
      <w:r w:rsidRPr="008516D1">
        <w:t>public,</w:t>
      </w:r>
      <w:r>
        <w:t xml:space="preserve"> </w:t>
      </w:r>
      <w:r w:rsidRPr="008516D1">
        <w:t>les</w:t>
      </w:r>
      <w:r>
        <w:t xml:space="preserve"> </w:t>
      </w:r>
      <w:r w:rsidRPr="008516D1">
        <w:t>enquêtes</w:t>
      </w:r>
      <w:r>
        <w:t xml:space="preserve"> </w:t>
      </w:r>
      <w:r w:rsidRPr="008516D1">
        <w:t>et</w:t>
      </w:r>
      <w:r>
        <w:t xml:space="preserve"> </w:t>
      </w:r>
      <w:r w:rsidRPr="008516D1">
        <w:t>les</w:t>
      </w:r>
      <w:r>
        <w:t xml:space="preserve"> </w:t>
      </w:r>
      <w:r w:rsidRPr="008516D1">
        <w:t>poursuites</w:t>
      </w:r>
      <w:r>
        <w:t xml:space="preserve"> </w:t>
      </w:r>
      <w:r w:rsidRPr="008516D1">
        <w:t>avancent</w:t>
      </w:r>
      <w:r>
        <w:t xml:space="preserve"> </w:t>
      </w:r>
      <w:r w:rsidRPr="008516D1">
        <w:t>et</w:t>
      </w:r>
      <w:r>
        <w:t xml:space="preserve"> </w:t>
      </w:r>
      <w:r w:rsidRPr="008516D1">
        <w:t>l</w:t>
      </w:r>
      <w:r>
        <w:t>’</w:t>
      </w:r>
      <w:r w:rsidRPr="008516D1">
        <w:t>identification</w:t>
      </w:r>
      <w:r>
        <w:t xml:space="preserve"> </w:t>
      </w:r>
      <w:r w:rsidRPr="008516D1">
        <w:t>des</w:t>
      </w:r>
      <w:r>
        <w:t xml:space="preserve"> </w:t>
      </w:r>
      <w:r w:rsidRPr="008516D1">
        <w:t>victimes</w:t>
      </w:r>
      <w:r>
        <w:t xml:space="preserve"> </w:t>
      </w:r>
      <w:r w:rsidRPr="008516D1">
        <w:t>étrangères</w:t>
      </w:r>
      <w:r>
        <w:t xml:space="preserve"> </w:t>
      </w:r>
      <w:r w:rsidRPr="008516D1">
        <w:t>progresse</w:t>
      </w:r>
      <w:r>
        <w:t xml:space="preserve"> </w:t>
      </w:r>
      <w:r w:rsidRPr="008516D1">
        <w:t>grâce</w:t>
      </w:r>
      <w:r>
        <w:t xml:space="preserve"> </w:t>
      </w:r>
      <w:r w:rsidRPr="008516D1">
        <w:t>aux</w:t>
      </w:r>
      <w:r>
        <w:t xml:space="preserve"> </w:t>
      </w:r>
      <w:r w:rsidRPr="008516D1">
        <w:t>demandes</w:t>
      </w:r>
      <w:r>
        <w:t xml:space="preserve"> </w:t>
      </w:r>
      <w:r w:rsidRPr="008516D1">
        <w:t>d</w:t>
      </w:r>
      <w:r>
        <w:t>’</w:t>
      </w:r>
      <w:r w:rsidRPr="008516D1">
        <w:t>informations</w:t>
      </w:r>
      <w:r>
        <w:t xml:space="preserve"> </w:t>
      </w:r>
      <w:r w:rsidRPr="008516D1">
        <w:t>adressées</w:t>
      </w:r>
      <w:r>
        <w:t xml:space="preserve"> </w:t>
      </w:r>
      <w:r w:rsidRPr="008516D1">
        <w:t>aux</w:t>
      </w:r>
      <w:r>
        <w:t xml:space="preserve"> </w:t>
      </w:r>
      <w:r w:rsidRPr="008516D1">
        <w:t>États</w:t>
      </w:r>
      <w:r>
        <w:t xml:space="preserve"> </w:t>
      </w:r>
      <w:r w:rsidRPr="008516D1">
        <w:t>dont</w:t>
      </w:r>
      <w:r>
        <w:t xml:space="preserve"> </w:t>
      </w:r>
      <w:r w:rsidRPr="008516D1">
        <w:t>elles</w:t>
      </w:r>
      <w:r>
        <w:t xml:space="preserve"> </w:t>
      </w:r>
      <w:r w:rsidRPr="008516D1">
        <w:t>sont</w:t>
      </w:r>
      <w:r>
        <w:t xml:space="preserve"> </w:t>
      </w:r>
      <w:r w:rsidRPr="008516D1">
        <w:t>originaires,</w:t>
      </w:r>
      <w:r>
        <w:t xml:space="preserve"> </w:t>
      </w:r>
      <w:r w:rsidRPr="008516D1">
        <w:t>en</w:t>
      </w:r>
      <w:r>
        <w:t xml:space="preserve"> </w:t>
      </w:r>
      <w:r w:rsidRPr="008516D1">
        <w:t>application</w:t>
      </w:r>
      <w:r>
        <w:t xml:space="preserve"> </w:t>
      </w:r>
      <w:r w:rsidRPr="008516D1">
        <w:t>du</w:t>
      </w:r>
      <w:r>
        <w:t xml:space="preserve"> </w:t>
      </w:r>
      <w:r w:rsidRPr="008516D1">
        <w:t>Traité</w:t>
      </w:r>
      <w:r>
        <w:t xml:space="preserve"> </w:t>
      </w:r>
      <w:r w:rsidRPr="008516D1">
        <w:t>d</w:t>
      </w:r>
      <w:r>
        <w:t>’</w:t>
      </w:r>
      <w:r w:rsidRPr="008516D1">
        <w:t>entraide</w:t>
      </w:r>
      <w:r>
        <w:t xml:space="preserve"> </w:t>
      </w:r>
      <w:r w:rsidRPr="008516D1">
        <w:t>judiciaire</w:t>
      </w:r>
      <w:r>
        <w:t xml:space="preserve"> </w:t>
      </w:r>
      <w:r w:rsidRPr="008516D1">
        <w:t>en</w:t>
      </w:r>
      <w:r>
        <w:t xml:space="preserve"> </w:t>
      </w:r>
      <w:r w:rsidRPr="008516D1">
        <w:t>matière</w:t>
      </w:r>
      <w:r>
        <w:t xml:space="preserve"> </w:t>
      </w:r>
      <w:r w:rsidRPr="008516D1">
        <w:t>pénale</w:t>
      </w:r>
      <w:r>
        <w:t xml:space="preserve"> </w:t>
      </w:r>
      <w:r w:rsidRPr="008516D1">
        <w:t>signé</w:t>
      </w:r>
      <w:r>
        <w:t xml:space="preserve"> </w:t>
      </w:r>
      <w:r w:rsidRPr="008516D1">
        <w:t>par</w:t>
      </w:r>
      <w:r>
        <w:t xml:space="preserve"> </w:t>
      </w:r>
      <w:r w:rsidRPr="008516D1">
        <w:t>les</w:t>
      </w:r>
      <w:r>
        <w:t xml:space="preserve"> </w:t>
      </w:r>
      <w:r w:rsidRPr="008516D1">
        <w:t>pays</w:t>
      </w:r>
      <w:r>
        <w:t xml:space="preserve"> </w:t>
      </w:r>
      <w:r w:rsidRPr="008516D1">
        <w:t>d</w:t>
      </w:r>
      <w:r>
        <w:t>’</w:t>
      </w:r>
      <w:r w:rsidRPr="008516D1">
        <w:t>Amérique</w:t>
      </w:r>
      <w:r>
        <w:t xml:space="preserve"> </w:t>
      </w:r>
      <w:r w:rsidRPr="008516D1">
        <w:t>centrale.</w:t>
      </w:r>
    </w:p>
    <w:p w14:paraId="4DD5F416" w14:textId="3521635E" w:rsidR="00286956" w:rsidRPr="008516D1" w:rsidRDefault="00286956" w:rsidP="00286956">
      <w:pPr>
        <w:pStyle w:val="SingleTxtG"/>
      </w:pPr>
      <w:r w:rsidRPr="008516D1">
        <w:t>59.</w:t>
      </w:r>
      <w:r w:rsidRPr="008516D1">
        <w:tab/>
        <w:t>Par</w:t>
      </w:r>
      <w:r>
        <w:t xml:space="preserve"> </w:t>
      </w:r>
      <w:r w:rsidRPr="008516D1">
        <w:t>l</w:t>
      </w:r>
      <w:r>
        <w:t>’</w:t>
      </w:r>
      <w:r w:rsidRPr="008516D1">
        <w:t>intermédiaire</w:t>
      </w:r>
      <w:r>
        <w:t xml:space="preserve"> </w:t>
      </w:r>
      <w:r w:rsidRPr="008516D1">
        <w:t>de</w:t>
      </w:r>
      <w:r>
        <w:t xml:space="preserve"> </w:t>
      </w:r>
      <w:r w:rsidRPr="008516D1">
        <w:t>la</w:t>
      </w:r>
      <w:r>
        <w:t xml:space="preserve"> </w:t>
      </w:r>
      <w:r w:rsidRPr="008516D1">
        <w:t>Section</w:t>
      </w:r>
      <w:r>
        <w:t xml:space="preserve"> </w:t>
      </w:r>
      <w:r w:rsidRPr="008516D1">
        <w:t>des</w:t>
      </w:r>
      <w:r>
        <w:t xml:space="preserve"> </w:t>
      </w:r>
      <w:r w:rsidRPr="008516D1">
        <w:t>disparitions</w:t>
      </w:r>
      <w:r>
        <w:t xml:space="preserve"> </w:t>
      </w:r>
      <w:r w:rsidRPr="008516D1">
        <w:t>forcées</w:t>
      </w:r>
      <w:r>
        <w:t xml:space="preserve"> </w:t>
      </w:r>
      <w:r w:rsidRPr="008516D1">
        <w:t>et</w:t>
      </w:r>
      <w:r>
        <w:t xml:space="preserve"> </w:t>
      </w:r>
      <w:r w:rsidRPr="008516D1">
        <w:t>des</w:t>
      </w:r>
      <w:r>
        <w:t xml:space="preserve"> </w:t>
      </w:r>
      <w:r w:rsidRPr="008516D1">
        <w:t>atteintes</w:t>
      </w:r>
      <w:r>
        <w:t xml:space="preserve"> </w:t>
      </w:r>
      <w:r w:rsidRPr="008516D1">
        <w:t>à</w:t>
      </w:r>
      <w:r>
        <w:t xml:space="preserve"> </w:t>
      </w:r>
      <w:r w:rsidRPr="008516D1">
        <w:t>la</w:t>
      </w:r>
      <w:r>
        <w:t xml:space="preserve"> </w:t>
      </w:r>
      <w:r w:rsidRPr="008516D1">
        <w:t>vie</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ministère</w:t>
      </w:r>
      <w:r>
        <w:t xml:space="preserve"> </w:t>
      </w:r>
      <w:r w:rsidRPr="008516D1">
        <w:t>public</w:t>
      </w:r>
      <w:r>
        <w:t xml:space="preserve"> </w:t>
      </w:r>
      <w:r w:rsidRPr="008516D1">
        <w:t>a</w:t>
      </w:r>
      <w:r>
        <w:t xml:space="preserve"> </w:t>
      </w:r>
      <w:r w:rsidRPr="008516D1">
        <w:t>créé</w:t>
      </w:r>
      <w:r>
        <w:t xml:space="preserve"> </w:t>
      </w:r>
      <w:r w:rsidRPr="008516D1">
        <w:t>une</w:t>
      </w:r>
      <w:r>
        <w:t xml:space="preserve"> </w:t>
      </w:r>
      <w:r w:rsidRPr="008516D1">
        <w:t>base</w:t>
      </w:r>
      <w:r>
        <w:t xml:space="preserve"> </w:t>
      </w:r>
      <w:r w:rsidRPr="008516D1">
        <w:t>de</w:t>
      </w:r>
      <w:r>
        <w:t xml:space="preserve"> </w:t>
      </w:r>
      <w:r w:rsidRPr="008516D1">
        <w:t>données</w:t>
      </w:r>
      <w:r>
        <w:t xml:space="preserve"> </w:t>
      </w:r>
      <w:r w:rsidRPr="008516D1">
        <w:t>consolidée</w:t>
      </w:r>
      <w:r>
        <w:t xml:space="preserve"> </w:t>
      </w:r>
      <w:r w:rsidRPr="008516D1">
        <w:t>de</w:t>
      </w:r>
      <w:r>
        <w:t xml:space="preserve"> </w:t>
      </w:r>
      <w:r w:rsidRPr="008516D1">
        <w:t>tous</w:t>
      </w:r>
      <w:r>
        <w:t xml:space="preserve"> </w:t>
      </w:r>
      <w:r w:rsidRPr="008516D1">
        <w:t>les</w:t>
      </w:r>
      <w:r>
        <w:t xml:space="preserve"> </w:t>
      </w:r>
      <w:r w:rsidRPr="008516D1">
        <w:t>cas</w:t>
      </w:r>
      <w:r>
        <w:t xml:space="preserve"> </w:t>
      </w:r>
      <w:r w:rsidRPr="008516D1">
        <w:t>de</w:t>
      </w:r>
      <w:r>
        <w:t xml:space="preserve"> </w:t>
      </w:r>
      <w:r w:rsidRPr="008516D1">
        <w:t>disparitions</w:t>
      </w:r>
      <w:r>
        <w:t xml:space="preserve"> </w:t>
      </w:r>
      <w:r w:rsidRPr="008516D1">
        <w:t>forcées</w:t>
      </w:r>
      <w:r>
        <w:t xml:space="preserve"> </w:t>
      </w:r>
      <w:r w:rsidRPr="008516D1">
        <w:t>survenus</w:t>
      </w:r>
      <w:r>
        <w:t xml:space="preserve"> </w:t>
      </w:r>
      <w:r w:rsidRPr="008516D1">
        <w:t>sur</w:t>
      </w:r>
      <w:r>
        <w:t xml:space="preserve"> </w:t>
      </w:r>
      <w:r w:rsidRPr="008516D1">
        <w:t>le</w:t>
      </w:r>
      <w:r>
        <w:t xml:space="preserve"> </w:t>
      </w:r>
      <w:r w:rsidRPr="008516D1">
        <w:t>territoire</w:t>
      </w:r>
      <w:r>
        <w:t xml:space="preserve"> </w:t>
      </w:r>
      <w:r w:rsidRPr="008516D1">
        <w:t>national,</w:t>
      </w:r>
      <w:r>
        <w:t xml:space="preserve"> </w:t>
      </w:r>
      <w:r w:rsidRPr="008516D1">
        <w:t>concernant</w:t>
      </w:r>
      <w:r>
        <w:t xml:space="preserve"> </w:t>
      </w:r>
      <w:r w:rsidRPr="008516D1">
        <w:t>des</w:t>
      </w:r>
      <w:r>
        <w:t xml:space="preserve"> </w:t>
      </w:r>
      <w:r w:rsidRPr="008516D1">
        <w:t>ressortissants</w:t>
      </w:r>
      <w:r>
        <w:t xml:space="preserve"> </w:t>
      </w:r>
      <w:r w:rsidRPr="008516D1">
        <w:t>honduriens</w:t>
      </w:r>
      <w:r>
        <w:t xml:space="preserve"> </w:t>
      </w:r>
      <w:r w:rsidRPr="008516D1">
        <w:t>ou</w:t>
      </w:r>
      <w:r>
        <w:t xml:space="preserve"> </w:t>
      </w:r>
      <w:r w:rsidRPr="008516D1">
        <w:t>des</w:t>
      </w:r>
      <w:r>
        <w:t xml:space="preserve"> </w:t>
      </w:r>
      <w:r w:rsidRPr="008516D1">
        <w:t>étrangers</w:t>
      </w:r>
      <w:r>
        <w:t xml:space="preserve"> </w:t>
      </w:r>
      <w:r w:rsidRPr="008516D1">
        <w:t>de</w:t>
      </w:r>
      <w:r>
        <w:t xml:space="preserve"> </w:t>
      </w:r>
      <w:r w:rsidRPr="008516D1">
        <w:t>différentes</w:t>
      </w:r>
      <w:r>
        <w:t xml:space="preserve"> </w:t>
      </w:r>
      <w:r w:rsidRPr="008516D1">
        <w:t>nationalités.</w:t>
      </w:r>
      <w:r>
        <w:t xml:space="preserve"> </w:t>
      </w:r>
      <w:r w:rsidRPr="008516D1">
        <w:t>À</w:t>
      </w:r>
      <w:r>
        <w:t xml:space="preserve"> </w:t>
      </w:r>
      <w:r w:rsidRPr="008516D1">
        <w:t>ce</w:t>
      </w:r>
      <w:r>
        <w:t xml:space="preserve"> </w:t>
      </w:r>
      <w:r w:rsidRPr="008516D1">
        <w:t>jour,</w:t>
      </w:r>
      <w:r>
        <w:t xml:space="preserve"> </w:t>
      </w:r>
      <w:r w:rsidRPr="008516D1">
        <w:t>139</w:t>
      </w:r>
      <w:r w:rsidR="00ED5AA3">
        <w:t> </w:t>
      </w:r>
      <w:r w:rsidRPr="008516D1">
        <w:t>cas</w:t>
      </w:r>
      <w:r>
        <w:t xml:space="preserve"> </w:t>
      </w:r>
      <w:r w:rsidRPr="008516D1">
        <w:t>survenus</w:t>
      </w:r>
      <w:r>
        <w:t xml:space="preserve"> </w:t>
      </w:r>
      <w:r w:rsidRPr="008516D1">
        <w:t>dans</w:t>
      </w:r>
      <w:r>
        <w:t xml:space="preserve"> </w:t>
      </w:r>
      <w:r w:rsidRPr="008516D1">
        <w:t>les</w:t>
      </w:r>
      <w:r>
        <w:t xml:space="preserve"> </w:t>
      </w:r>
      <w:r w:rsidRPr="008516D1">
        <w:t>années</w:t>
      </w:r>
      <w:r>
        <w:t xml:space="preserve"> </w:t>
      </w:r>
      <w:r w:rsidRPr="008516D1">
        <w:t>1980</w:t>
      </w:r>
      <w:r>
        <w:t xml:space="preserve"> </w:t>
      </w:r>
      <w:r w:rsidRPr="008516D1">
        <w:t>et</w:t>
      </w:r>
      <w:r>
        <w:t xml:space="preserve"> </w:t>
      </w:r>
      <w:r w:rsidRPr="008516D1">
        <w:t>1990</w:t>
      </w:r>
      <w:r>
        <w:t xml:space="preserve"> </w:t>
      </w:r>
      <w:r w:rsidRPr="008516D1">
        <w:t>ont</w:t>
      </w:r>
      <w:r>
        <w:t xml:space="preserve"> </w:t>
      </w:r>
      <w:r w:rsidRPr="008516D1">
        <w:t>été</w:t>
      </w:r>
      <w:r>
        <w:t xml:space="preserve"> </w:t>
      </w:r>
      <w:r w:rsidRPr="008516D1">
        <w:t>enregistrés.</w:t>
      </w:r>
    </w:p>
    <w:p w14:paraId="2401C2B7" w14:textId="5C12A604" w:rsidR="00286956" w:rsidRPr="008516D1" w:rsidRDefault="00286956" w:rsidP="00286956">
      <w:pPr>
        <w:pStyle w:val="SingleTxtG"/>
      </w:pPr>
      <w:r w:rsidRPr="008516D1">
        <w:t>60.</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25</w:t>
      </w:r>
      <w:r w:rsidR="00A74554">
        <w:t> c)</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encourager</w:t>
      </w:r>
      <w:r>
        <w:t xml:space="preserve"> </w:t>
      </w:r>
      <w:r w:rsidRPr="008516D1">
        <w:t>et</w:t>
      </w:r>
      <w:r>
        <w:t xml:space="preserve"> </w:t>
      </w:r>
      <w:r w:rsidRPr="008516D1">
        <w:t>de</w:t>
      </w:r>
      <w:r>
        <w:t xml:space="preserve"> </w:t>
      </w:r>
      <w:r w:rsidRPr="008516D1">
        <w:t>faciliter</w:t>
      </w:r>
      <w:r>
        <w:t xml:space="preserve"> </w:t>
      </w:r>
      <w:r w:rsidRPr="008516D1">
        <w:t>la</w:t>
      </w:r>
      <w:r>
        <w:t xml:space="preserve"> </w:t>
      </w:r>
      <w:r w:rsidRPr="008516D1">
        <w:t>participation</w:t>
      </w:r>
      <w:r>
        <w:t xml:space="preserve"> </w:t>
      </w:r>
      <w:r w:rsidRPr="008516D1">
        <w:t>de</w:t>
      </w:r>
      <w:r>
        <w:t xml:space="preserve"> </w:t>
      </w:r>
      <w:r w:rsidRPr="008516D1">
        <w:t>toute</w:t>
      </w:r>
      <w:r>
        <w:t xml:space="preserve"> </w:t>
      </w:r>
      <w:r w:rsidRPr="008516D1">
        <w:t>personne</w:t>
      </w:r>
      <w:r>
        <w:t xml:space="preserve"> </w:t>
      </w:r>
      <w:r w:rsidRPr="008516D1">
        <w:t>ayant</w:t>
      </w:r>
      <w:r>
        <w:t xml:space="preserve"> </w:t>
      </w:r>
      <w:r w:rsidRPr="008516D1">
        <w:t>un</w:t>
      </w:r>
      <w:r>
        <w:t xml:space="preserve"> </w:t>
      </w:r>
      <w:r w:rsidRPr="008516D1">
        <w:t>intérêt</w:t>
      </w:r>
      <w:r>
        <w:t xml:space="preserve"> </w:t>
      </w:r>
      <w:r w:rsidRPr="008516D1">
        <w:t>légitime,</w:t>
      </w:r>
      <w:r>
        <w:t xml:space="preserve"> </w:t>
      </w:r>
      <w:r w:rsidRPr="008516D1">
        <w:t>par</w:t>
      </w:r>
      <w:r>
        <w:t xml:space="preserve"> </w:t>
      </w:r>
      <w:r w:rsidRPr="008516D1">
        <w:t>exemple</w:t>
      </w:r>
      <w:r>
        <w:t xml:space="preserve"> </w:t>
      </w:r>
      <w:r w:rsidRPr="008516D1">
        <w:t>les</w:t>
      </w:r>
      <w:r>
        <w:t xml:space="preserve"> </w:t>
      </w:r>
      <w:r w:rsidRPr="008516D1">
        <w:t>proches,</w:t>
      </w:r>
      <w:r>
        <w:t xml:space="preserve"> </w:t>
      </w:r>
      <w:r w:rsidRPr="008516D1">
        <w:t>les</w:t>
      </w:r>
      <w:r>
        <w:t xml:space="preserve"> </w:t>
      </w:r>
      <w:r w:rsidRPr="008516D1">
        <w:t>parents</w:t>
      </w:r>
      <w:r>
        <w:t xml:space="preserve"> </w:t>
      </w:r>
      <w:r w:rsidRPr="008516D1">
        <w:t>et</w:t>
      </w:r>
      <w:r>
        <w:t xml:space="preserve"> </w:t>
      </w:r>
      <w:r w:rsidRPr="008516D1">
        <w:t>les</w:t>
      </w:r>
      <w:r>
        <w:t xml:space="preserve"> </w:t>
      </w:r>
      <w:r w:rsidRPr="008516D1">
        <w:t>représentants</w:t>
      </w:r>
      <w:r>
        <w:t xml:space="preserve"> </w:t>
      </w:r>
      <w:r w:rsidRPr="008516D1">
        <w:t>légaux</w:t>
      </w:r>
      <w:r>
        <w:t xml:space="preserve"> </w:t>
      </w:r>
      <w:r w:rsidRPr="008516D1">
        <w:t>des</w:t>
      </w:r>
      <w:r>
        <w:t xml:space="preserve"> </w:t>
      </w:r>
      <w:r w:rsidRPr="008516D1">
        <w:t>personnes</w:t>
      </w:r>
      <w:r>
        <w:t xml:space="preserve"> </w:t>
      </w:r>
      <w:r w:rsidRPr="008516D1">
        <w:t>disparues,</w:t>
      </w:r>
      <w:r>
        <w:t xml:space="preserve"> </w:t>
      </w:r>
      <w:r w:rsidRPr="008516D1">
        <w:t>aux</w:t>
      </w:r>
      <w:r>
        <w:t xml:space="preserve"> </w:t>
      </w:r>
      <w:r w:rsidRPr="008516D1">
        <w:t>enquêtes</w:t>
      </w:r>
      <w:r>
        <w:t xml:space="preserve"> </w:t>
      </w:r>
      <w:r w:rsidRPr="008516D1">
        <w:t>ainsi</w:t>
      </w:r>
      <w:r>
        <w:t xml:space="preserve"> </w:t>
      </w:r>
      <w:r w:rsidRPr="008516D1">
        <w:t>qu</w:t>
      </w:r>
      <w:r>
        <w:t>’</w:t>
      </w:r>
      <w:r w:rsidRPr="008516D1">
        <w:t>à</w:t>
      </w:r>
      <w:r>
        <w:t xml:space="preserve"> </w:t>
      </w:r>
      <w:r w:rsidRPr="008516D1">
        <w:t>toutes</w:t>
      </w:r>
      <w:r>
        <w:t xml:space="preserve"> </w:t>
      </w:r>
      <w:r w:rsidRPr="008516D1">
        <w:t>les</w:t>
      </w:r>
      <w:r>
        <w:t xml:space="preserve"> </w:t>
      </w:r>
      <w:r w:rsidRPr="008516D1">
        <w:t>étapes</w:t>
      </w:r>
      <w:r>
        <w:t xml:space="preserve"> </w:t>
      </w:r>
      <w:r w:rsidRPr="008516D1">
        <w:t>des</w:t>
      </w:r>
      <w:r>
        <w:t xml:space="preserve"> </w:t>
      </w:r>
      <w:r w:rsidRPr="008516D1">
        <w:t>procédures,</w:t>
      </w:r>
      <w:r>
        <w:t xml:space="preserve"> </w:t>
      </w:r>
      <w:r w:rsidRPr="008516D1">
        <w:t>et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les</w:t>
      </w:r>
      <w:r>
        <w:t xml:space="preserve"> </w:t>
      </w:r>
      <w:r w:rsidRPr="008516D1">
        <w:t>intéressés</w:t>
      </w:r>
      <w:r>
        <w:t xml:space="preserve"> </w:t>
      </w:r>
      <w:r w:rsidRPr="008516D1">
        <w:t>soient</w:t>
      </w:r>
      <w:r>
        <w:t xml:space="preserve"> </w:t>
      </w:r>
      <w:r w:rsidRPr="008516D1">
        <w:t>informés</w:t>
      </w:r>
      <w:r>
        <w:t xml:space="preserve"> </w:t>
      </w:r>
      <w:r w:rsidRPr="008516D1">
        <w:t>de</w:t>
      </w:r>
      <w:r>
        <w:t xml:space="preserve"> </w:t>
      </w:r>
      <w:r w:rsidRPr="008516D1">
        <w:t>l</w:t>
      </w:r>
      <w:r>
        <w:t>’</w:t>
      </w:r>
      <w:r w:rsidRPr="008516D1">
        <w:t>avancement</w:t>
      </w:r>
      <w:r>
        <w:t xml:space="preserve"> </w:t>
      </w:r>
      <w:r w:rsidRPr="008516D1">
        <w:t>et</w:t>
      </w:r>
      <w:r>
        <w:t xml:space="preserve"> </w:t>
      </w:r>
      <w:r w:rsidRPr="008516D1">
        <w:t>des</w:t>
      </w:r>
      <w:r>
        <w:t xml:space="preserve"> </w:t>
      </w:r>
      <w:r w:rsidRPr="008516D1">
        <w:t>résultats</w:t>
      </w:r>
      <w:r>
        <w:t xml:space="preserve"> </w:t>
      </w:r>
      <w:r w:rsidRPr="008516D1">
        <w:t>de</w:t>
      </w:r>
      <w:r>
        <w:t xml:space="preserve"> </w:t>
      </w:r>
      <w:r w:rsidRPr="008516D1">
        <w:t>ces</w:t>
      </w:r>
      <w:r>
        <w:t xml:space="preserve"> </w:t>
      </w:r>
      <w:r w:rsidRPr="008516D1">
        <w:t>procédures,</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dispose</w:t>
      </w:r>
      <w:r>
        <w:t xml:space="preserve"> </w:t>
      </w:r>
      <w:r w:rsidRPr="008516D1">
        <w:t>que</w:t>
      </w:r>
      <w:r>
        <w:t xml:space="preserve"> </w:t>
      </w:r>
      <w:r w:rsidRPr="008516D1">
        <w:t>les</w:t>
      </w:r>
      <w:r>
        <w:t xml:space="preserve"> </w:t>
      </w:r>
      <w:r w:rsidRPr="008516D1">
        <w:t>proches</w:t>
      </w:r>
      <w:r>
        <w:t xml:space="preserve"> </w:t>
      </w:r>
      <w:r w:rsidRPr="008516D1">
        <w:t>des</w:t>
      </w:r>
      <w:r>
        <w:t xml:space="preserve"> </w:t>
      </w:r>
      <w:r w:rsidRPr="008516D1">
        <w:t>victimes</w:t>
      </w:r>
      <w:r>
        <w:t xml:space="preserve"> </w:t>
      </w:r>
      <w:r w:rsidRPr="008516D1">
        <w:t>peuvent</w:t>
      </w:r>
      <w:r>
        <w:t xml:space="preserve"> </w:t>
      </w:r>
      <w:r w:rsidRPr="008516D1">
        <w:t>participer</w:t>
      </w:r>
      <w:r>
        <w:t xml:space="preserve"> </w:t>
      </w:r>
      <w:r w:rsidRPr="008516D1">
        <w:t>à</w:t>
      </w:r>
      <w:r>
        <w:t xml:space="preserve"> </w:t>
      </w:r>
      <w:r w:rsidRPr="008516D1">
        <w:t>la</w:t>
      </w:r>
      <w:r>
        <w:t xml:space="preserve"> </w:t>
      </w:r>
      <w:r w:rsidRPr="008516D1">
        <w:t>procédure</w:t>
      </w:r>
      <w:r>
        <w:t xml:space="preserve"> </w:t>
      </w:r>
      <w:r w:rsidRPr="008516D1">
        <w:t>et</w:t>
      </w:r>
      <w:r>
        <w:t xml:space="preserve"> </w:t>
      </w:r>
      <w:r w:rsidRPr="008516D1">
        <w:t>notamment</w:t>
      </w:r>
      <w:r>
        <w:t xml:space="preserve"> </w:t>
      </w:r>
      <w:r w:rsidRPr="008516D1">
        <w:t>être</w:t>
      </w:r>
      <w:r>
        <w:t xml:space="preserve"> </w:t>
      </w:r>
      <w:r w:rsidRPr="008516D1">
        <w:t>reçus</w:t>
      </w:r>
      <w:r>
        <w:t xml:space="preserve"> </w:t>
      </w:r>
      <w:r w:rsidRPr="008516D1">
        <w:t>dans</w:t>
      </w:r>
      <w:r>
        <w:t xml:space="preserve"> </w:t>
      </w:r>
      <w:r w:rsidRPr="008516D1">
        <w:t>les</w:t>
      </w:r>
      <w:r>
        <w:t xml:space="preserve"> </w:t>
      </w:r>
      <w:r w:rsidRPr="008516D1">
        <w:t>bureaux</w:t>
      </w:r>
      <w:r>
        <w:t xml:space="preserve"> </w:t>
      </w:r>
      <w:r w:rsidRPr="008516D1">
        <w:t>du</w:t>
      </w:r>
      <w:r>
        <w:t xml:space="preserve"> </w:t>
      </w:r>
      <w:r w:rsidRPr="008516D1">
        <w:t>ministère</w:t>
      </w:r>
      <w:r>
        <w:t xml:space="preserve"> </w:t>
      </w:r>
      <w:r w:rsidRPr="008516D1">
        <w:t>public</w:t>
      </w:r>
      <w:r>
        <w:t xml:space="preserve"> </w:t>
      </w:r>
      <w:r w:rsidRPr="008516D1">
        <w:t>par</w:t>
      </w:r>
      <w:r>
        <w:t xml:space="preserve"> </w:t>
      </w:r>
      <w:r w:rsidRPr="008516D1">
        <w:t>le</w:t>
      </w:r>
      <w:r>
        <w:t xml:space="preserve"> </w:t>
      </w:r>
      <w:r w:rsidRPr="008516D1">
        <w:t>procureur</w:t>
      </w:r>
      <w:r>
        <w:t xml:space="preserve"> </w:t>
      </w:r>
      <w:r w:rsidRPr="008516D1">
        <w:t>chargé</w:t>
      </w:r>
      <w:r>
        <w:t xml:space="preserve"> </w:t>
      </w:r>
      <w:r w:rsidRPr="008516D1">
        <w:t>de</w:t>
      </w:r>
      <w:r>
        <w:t xml:space="preserve"> </w:t>
      </w:r>
      <w:r w:rsidRPr="008516D1">
        <w:t>l</w:t>
      </w:r>
      <w:r>
        <w:t>’</w:t>
      </w:r>
      <w:r w:rsidRPr="008516D1">
        <w:t>affaire,</w:t>
      </w:r>
      <w:r>
        <w:t xml:space="preserve"> </w:t>
      </w:r>
      <w:r w:rsidRPr="008516D1">
        <w:t>afin</w:t>
      </w:r>
      <w:r>
        <w:t xml:space="preserve"> </w:t>
      </w:r>
      <w:r w:rsidRPr="008516D1">
        <w:t>qu</w:t>
      </w:r>
      <w:r>
        <w:t>’</w:t>
      </w:r>
      <w:r w:rsidRPr="008516D1">
        <w:t>il</w:t>
      </w:r>
      <w:r>
        <w:t xml:space="preserve"> </w:t>
      </w:r>
      <w:r w:rsidRPr="008516D1">
        <w:t>puisse</w:t>
      </w:r>
      <w:r>
        <w:t xml:space="preserve"> </w:t>
      </w:r>
      <w:r w:rsidRPr="008516D1">
        <w:t>les</w:t>
      </w:r>
      <w:r>
        <w:t xml:space="preserve"> </w:t>
      </w:r>
      <w:r w:rsidRPr="008516D1">
        <w:t>informer</w:t>
      </w:r>
      <w:r>
        <w:t xml:space="preserve"> </w:t>
      </w:r>
      <w:r w:rsidRPr="008516D1">
        <w:t>sur</w:t>
      </w:r>
      <w:r>
        <w:t xml:space="preserve"> </w:t>
      </w:r>
      <w:r w:rsidRPr="008516D1">
        <w:t>son</w:t>
      </w:r>
      <w:r>
        <w:t xml:space="preserve"> </w:t>
      </w:r>
      <w:r w:rsidRPr="008516D1">
        <w:t>état</w:t>
      </w:r>
      <w:r>
        <w:t xml:space="preserve"> </w:t>
      </w:r>
      <w:r w:rsidRPr="008516D1">
        <w:t>d</w:t>
      </w:r>
      <w:r>
        <w:t>’</w:t>
      </w:r>
      <w:r w:rsidRPr="008516D1">
        <w:t>avancement.</w:t>
      </w:r>
      <w:r>
        <w:t xml:space="preserve"> </w:t>
      </w:r>
      <w:r w:rsidRPr="008516D1">
        <w:t>Ils</w:t>
      </w:r>
      <w:r>
        <w:t xml:space="preserve"> </w:t>
      </w:r>
      <w:r w:rsidRPr="008516D1">
        <w:t>peuvent</w:t>
      </w:r>
      <w:r>
        <w:t xml:space="preserve"> </w:t>
      </w:r>
      <w:r w:rsidRPr="008516D1">
        <w:t>participer</w:t>
      </w:r>
      <w:r>
        <w:t xml:space="preserve"> </w:t>
      </w:r>
      <w:r w:rsidRPr="008516D1">
        <w:t>à</w:t>
      </w:r>
      <w:r>
        <w:t xml:space="preserve"> </w:t>
      </w:r>
      <w:r w:rsidRPr="008516D1">
        <w:t>toutes</w:t>
      </w:r>
      <w:r>
        <w:t xml:space="preserve"> </w:t>
      </w:r>
      <w:r w:rsidRPr="008516D1">
        <w:t>les</w:t>
      </w:r>
      <w:r>
        <w:t xml:space="preserve"> </w:t>
      </w:r>
      <w:r w:rsidRPr="008516D1">
        <w:t>étapes</w:t>
      </w:r>
      <w:r>
        <w:t xml:space="preserve"> </w:t>
      </w:r>
      <w:r w:rsidRPr="008516D1">
        <w:t>de</w:t>
      </w:r>
      <w:r>
        <w:t xml:space="preserve"> </w:t>
      </w:r>
      <w:r w:rsidRPr="008516D1">
        <w:t>la</w:t>
      </w:r>
      <w:r>
        <w:t xml:space="preserve"> </w:t>
      </w:r>
      <w:r w:rsidRPr="008516D1">
        <w:t>procédure</w:t>
      </w:r>
      <w:r>
        <w:t xml:space="preserve"> </w:t>
      </w:r>
      <w:r w:rsidRPr="008516D1">
        <w:t>pénale,</w:t>
      </w:r>
      <w:r>
        <w:t xml:space="preserve"> </w:t>
      </w:r>
      <w:r w:rsidRPr="008516D1">
        <w:t>depuis</w:t>
      </w:r>
      <w:r>
        <w:t xml:space="preserve"> </w:t>
      </w:r>
      <w:r w:rsidRPr="008516D1">
        <w:t>l</w:t>
      </w:r>
      <w:r>
        <w:t>’</w:t>
      </w:r>
      <w:r w:rsidRPr="008516D1">
        <w:t>enquête</w:t>
      </w:r>
      <w:r>
        <w:t xml:space="preserve"> </w:t>
      </w:r>
      <w:r w:rsidRPr="008516D1">
        <w:t>jusqu</w:t>
      </w:r>
      <w:r>
        <w:t>’</w:t>
      </w:r>
      <w:r w:rsidRPr="008516D1">
        <w:t>à</w:t>
      </w:r>
      <w:r>
        <w:t xml:space="preserve"> </w:t>
      </w:r>
      <w:r w:rsidRPr="008516D1">
        <w:t>l</w:t>
      </w:r>
      <w:r>
        <w:t>’</w:t>
      </w:r>
      <w:r w:rsidRPr="008516D1">
        <w:t>exécution</w:t>
      </w:r>
      <w:r>
        <w:t xml:space="preserve"> </w:t>
      </w:r>
      <w:r w:rsidRPr="008516D1">
        <w:t>de</w:t>
      </w:r>
      <w:r>
        <w:t xml:space="preserve"> </w:t>
      </w:r>
      <w:r w:rsidRPr="008516D1">
        <w:t>la</w:t>
      </w:r>
      <w:r>
        <w:t xml:space="preserve"> </w:t>
      </w:r>
      <w:r w:rsidRPr="008516D1">
        <w:t>peine</w:t>
      </w:r>
      <w:r w:rsidRPr="008516D1">
        <w:rPr>
          <w:rStyle w:val="Appelnotedebasdep"/>
        </w:rPr>
        <w:footnoteReference w:id="71"/>
      </w:r>
      <w:r w:rsidRPr="008516D1">
        <w:t>.</w:t>
      </w:r>
    </w:p>
    <w:p w14:paraId="7297AE55" w14:textId="77777777" w:rsidR="00286956" w:rsidRPr="008516D1" w:rsidRDefault="00286956" w:rsidP="00286956">
      <w:pPr>
        <w:pStyle w:val="SingleTxtG"/>
      </w:pPr>
      <w:r w:rsidRPr="008516D1">
        <w:t>61.</w:t>
      </w:r>
      <w:r w:rsidRPr="008516D1">
        <w:tab/>
        <w:t>Le</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dispose</w:t>
      </w:r>
      <w:r>
        <w:t xml:space="preserve"> </w:t>
      </w:r>
      <w:r w:rsidRPr="008516D1">
        <w:t>également</w:t>
      </w:r>
      <w:r>
        <w:t xml:space="preserve"> </w:t>
      </w:r>
      <w:r w:rsidRPr="008516D1">
        <w:t>que</w:t>
      </w:r>
      <w:r>
        <w:t xml:space="preserve"> </w:t>
      </w:r>
      <w:r w:rsidRPr="008516D1">
        <w:t>les</w:t>
      </w:r>
      <w:r>
        <w:t xml:space="preserve"> </w:t>
      </w:r>
      <w:r w:rsidRPr="008516D1">
        <w:t>victimes</w:t>
      </w:r>
      <w:r>
        <w:t xml:space="preserve"> </w:t>
      </w:r>
      <w:r w:rsidRPr="008516D1">
        <w:t>peuvent</w:t>
      </w:r>
      <w:r>
        <w:t xml:space="preserve"> </w:t>
      </w:r>
      <w:r w:rsidRPr="008516D1">
        <w:t>se</w:t>
      </w:r>
      <w:r>
        <w:t xml:space="preserve"> </w:t>
      </w:r>
      <w:r w:rsidRPr="008516D1">
        <w:t>constituer</w:t>
      </w:r>
      <w:r>
        <w:t xml:space="preserve"> </w:t>
      </w:r>
      <w:r w:rsidRPr="008516D1">
        <w:t>accusateur</w:t>
      </w:r>
      <w:r>
        <w:t xml:space="preserve"> </w:t>
      </w:r>
      <w:r w:rsidRPr="008516D1">
        <w:t>privé</w:t>
      </w:r>
      <w:r>
        <w:t xml:space="preserve"> </w:t>
      </w:r>
      <w:r w:rsidRPr="008516D1">
        <w:t>et</w:t>
      </w:r>
      <w:r>
        <w:t xml:space="preserve"> </w:t>
      </w:r>
      <w:r w:rsidRPr="008516D1">
        <w:t>intervenir</w:t>
      </w:r>
      <w:r>
        <w:t xml:space="preserve"> </w:t>
      </w:r>
      <w:r w:rsidRPr="008516D1">
        <w:t>à</w:t>
      </w:r>
      <w:r>
        <w:t xml:space="preserve"> </w:t>
      </w:r>
      <w:r w:rsidRPr="008516D1">
        <w:t>ce</w:t>
      </w:r>
      <w:r>
        <w:t xml:space="preserve"> </w:t>
      </w:r>
      <w:r w:rsidRPr="008516D1">
        <w:t>titre</w:t>
      </w:r>
      <w:r>
        <w:t xml:space="preserve"> </w:t>
      </w:r>
      <w:r w:rsidRPr="008516D1">
        <w:t>tout</w:t>
      </w:r>
      <w:r>
        <w:t xml:space="preserve"> </w:t>
      </w:r>
      <w:r w:rsidRPr="008516D1">
        <w:t>au</w:t>
      </w:r>
      <w:r>
        <w:t xml:space="preserve"> </w:t>
      </w:r>
      <w:r w:rsidRPr="008516D1">
        <w:t>long</w:t>
      </w:r>
      <w:r>
        <w:t xml:space="preserve"> </w:t>
      </w:r>
      <w:r w:rsidRPr="008516D1">
        <w:t>de</w:t>
      </w:r>
      <w:r>
        <w:t xml:space="preserve"> </w:t>
      </w:r>
      <w:r w:rsidRPr="008516D1">
        <w:t>la</w:t>
      </w:r>
      <w:r>
        <w:t xml:space="preserve"> </w:t>
      </w:r>
      <w:r w:rsidRPr="008516D1">
        <w:t>procédure,</w:t>
      </w:r>
      <w:r>
        <w:t xml:space="preserve"> </w:t>
      </w:r>
      <w:r w:rsidRPr="008516D1">
        <w:t>et</w:t>
      </w:r>
      <w:r>
        <w:t xml:space="preserve"> </w:t>
      </w:r>
      <w:r w:rsidRPr="008516D1">
        <w:t>ont</w:t>
      </w:r>
      <w:r>
        <w:t xml:space="preserve"> </w:t>
      </w:r>
      <w:r w:rsidRPr="008516D1">
        <w:t>le</w:t>
      </w:r>
      <w:r>
        <w:t xml:space="preserve"> </w:t>
      </w:r>
      <w:r w:rsidRPr="008516D1">
        <w:t>droit</w:t>
      </w:r>
      <w:r>
        <w:t xml:space="preserve"> </w:t>
      </w:r>
      <w:r w:rsidRPr="008516D1">
        <w:t>d</w:t>
      </w:r>
      <w:r>
        <w:t>’</w:t>
      </w:r>
      <w:r w:rsidRPr="008516D1">
        <w:t>être</w:t>
      </w:r>
      <w:r>
        <w:t xml:space="preserve"> </w:t>
      </w:r>
      <w:r w:rsidRPr="008516D1">
        <w:t>assistées</w:t>
      </w:r>
      <w:r>
        <w:t xml:space="preserve"> </w:t>
      </w:r>
      <w:r w:rsidRPr="008516D1">
        <w:t>par</w:t>
      </w:r>
      <w:r>
        <w:t xml:space="preserve"> </w:t>
      </w:r>
      <w:r w:rsidRPr="008516D1">
        <w:t>le</w:t>
      </w:r>
      <w:r>
        <w:t xml:space="preserve"> </w:t>
      </w:r>
      <w:r w:rsidRPr="008516D1">
        <w:t>ministère</w:t>
      </w:r>
      <w:r>
        <w:t xml:space="preserve"> </w:t>
      </w:r>
      <w:r w:rsidRPr="008516D1">
        <w:t>public</w:t>
      </w:r>
      <w:r w:rsidRPr="008516D1">
        <w:rPr>
          <w:rStyle w:val="Appelnotedebasdep"/>
        </w:rPr>
        <w:footnoteReference w:id="72"/>
      </w:r>
      <w:r w:rsidRPr="008516D1">
        <w:t>.</w:t>
      </w:r>
    </w:p>
    <w:p w14:paraId="4007FA80" w14:textId="1161F71F" w:rsidR="00286956" w:rsidRPr="008516D1" w:rsidRDefault="00286956" w:rsidP="00286956">
      <w:pPr>
        <w:pStyle w:val="SingleTxtG"/>
      </w:pPr>
      <w:r w:rsidRPr="008516D1">
        <w:t>62.</w:t>
      </w:r>
      <w:r w:rsidRPr="008516D1">
        <w:tab/>
        <w:t>En</w:t>
      </w:r>
      <w:r>
        <w:t xml:space="preserve"> </w:t>
      </w:r>
      <w:r w:rsidRPr="008516D1">
        <w:t>outre,</w:t>
      </w:r>
      <w:r>
        <w:t xml:space="preserve"> </w:t>
      </w:r>
      <w:r w:rsidRPr="008516D1">
        <w:t>l</w:t>
      </w:r>
      <w:r>
        <w:t>’</w:t>
      </w:r>
      <w:r w:rsidRPr="008516D1">
        <w:t>article</w:t>
      </w:r>
      <w:r>
        <w:t xml:space="preserve"> </w:t>
      </w:r>
      <w:r w:rsidRPr="008516D1">
        <w:t>126</w:t>
      </w:r>
      <w:r>
        <w:t xml:space="preserve"> </w:t>
      </w:r>
      <w:r w:rsidRPr="008516D1">
        <w:t>de</w:t>
      </w:r>
      <w:r>
        <w:t xml:space="preserve"> </w:t>
      </w:r>
      <w:r w:rsidRPr="008516D1">
        <w:t>la</w:t>
      </w:r>
      <w:r>
        <w:t xml:space="preserve"> </w:t>
      </w:r>
      <w:r w:rsidRPr="008516D1">
        <w:t>loi</w:t>
      </w:r>
      <w:r>
        <w:t xml:space="preserve"> </w:t>
      </w:r>
      <w:r w:rsidRPr="008516D1">
        <w:t>organique</w:t>
      </w:r>
      <w:r>
        <w:t xml:space="preserve"> </w:t>
      </w:r>
      <w:r w:rsidRPr="008516D1">
        <w:t>relative</w:t>
      </w:r>
      <w:r>
        <w:t xml:space="preserve"> </w:t>
      </w:r>
      <w:r w:rsidRPr="008516D1">
        <w:t>à</w:t>
      </w:r>
      <w:r>
        <w:t xml:space="preserve"> </w:t>
      </w:r>
      <w:r w:rsidRPr="008516D1">
        <w:t>la</w:t>
      </w:r>
      <w:r>
        <w:t xml:space="preserve"> </w:t>
      </w:r>
      <w:r w:rsidR="00AB2CD9">
        <w:t>Police nationale</w:t>
      </w:r>
      <w:r>
        <w:t xml:space="preserve"> </w:t>
      </w:r>
      <w:r w:rsidRPr="008516D1">
        <w:t>reconnaît</w:t>
      </w:r>
      <w:r>
        <w:t xml:space="preserve"> </w:t>
      </w:r>
      <w:r w:rsidRPr="008516D1">
        <w:t>et</w:t>
      </w:r>
      <w:r>
        <w:t xml:space="preserve"> </w:t>
      </w:r>
      <w:r w:rsidRPr="008516D1">
        <w:t>garantit</w:t>
      </w:r>
      <w:r>
        <w:t xml:space="preserve"> </w:t>
      </w:r>
      <w:r w:rsidRPr="008516D1">
        <w:t>l</w:t>
      </w:r>
      <w:r>
        <w:t>’</w:t>
      </w:r>
      <w:r w:rsidRPr="008516D1">
        <w:t>audit</w:t>
      </w:r>
      <w:r>
        <w:t xml:space="preserve"> </w:t>
      </w:r>
      <w:r w:rsidRPr="008516D1">
        <w:t>social</w:t>
      </w:r>
      <w:r>
        <w:t xml:space="preserve"> </w:t>
      </w:r>
      <w:r w:rsidRPr="008516D1">
        <w:t>et</w:t>
      </w:r>
      <w:r>
        <w:t xml:space="preserve"> </w:t>
      </w:r>
      <w:r w:rsidRPr="008516D1">
        <w:t>la</w:t>
      </w:r>
      <w:r>
        <w:t xml:space="preserve"> </w:t>
      </w:r>
      <w:r w:rsidRPr="008516D1">
        <w:t>participation</w:t>
      </w:r>
      <w:r>
        <w:t xml:space="preserve"> </w:t>
      </w:r>
      <w:r w:rsidRPr="008516D1">
        <w:t>des</w:t>
      </w:r>
      <w:r>
        <w:t xml:space="preserve"> </w:t>
      </w:r>
      <w:r w:rsidRPr="008516D1">
        <w:t>citoyens,</w:t>
      </w:r>
      <w:r>
        <w:t xml:space="preserve"> </w:t>
      </w:r>
      <w:r w:rsidRPr="008516D1">
        <w:t>afin</w:t>
      </w:r>
      <w:r>
        <w:t xml:space="preserve"> </w:t>
      </w:r>
      <w:r w:rsidRPr="008516D1">
        <w:t>de</w:t>
      </w:r>
      <w:r>
        <w:t xml:space="preserve"> </w:t>
      </w:r>
      <w:r w:rsidRPr="008516D1">
        <w:t>contribuer</w:t>
      </w:r>
      <w:r>
        <w:t xml:space="preserve"> </w:t>
      </w:r>
      <w:r w:rsidRPr="008516D1">
        <w:t>à</w:t>
      </w:r>
      <w:r>
        <w:t xml:space="preserve"> </w:t>
      </w:r>
      <w:r w:rsidRPr="008516D1">
        <w:t>la</w:t>
      </w:r>
      <w:r>
        <w:t xml:space="preserve"> </w:t>
      </w:r>
      <w:r w:rsidRPr="008516D1">
        <w:t>transparence</w:t>
      </w:r>
      <w:r>
        <w:t xml:space="preserve"> </w:t>
      </w:r>
      <w:r w:rsidRPr="008516D1">
        <w:t>activités</w:t>
      </w:r>
      <w:r>
        <w:t xml:space="preserve"> </w:t>
      </w:r>
      <w:r w:rsidRPr="008516D1">
        <w:t>de</w:t>
      </w:r>
      <w:r>
        <w:t xml:space="preserve"> </w:t>
      </w:r>
      <w:r w:rsidRPr="008516D1">
        <w:t>la</w:t>
      </w:r>
      <w:r>
        <w:t xml:space="preserve"> </w:t>
      </w:r>
      <w:r w:rsidR="00AB2CD9">
        <w:t>Police nationale</w:t>
      </w:r>
      <w:r w:rsidRPr="008516D1">
        <w:t>.</w:t>
      </w:r>
      <w:r>
        <w:t xml:space="preserve"> </w:t>
      </w:r>
      <w:r w:rsidRPr="008516D1">
        <w:t>Grâce</w:t>
      </w:r>
      <w:r>
        <w:t xml:space="preserve"> </w:t>
      </w:r>
      <w:r w:rsidRPr="008516D1">
        <w:t>au</w:t>
      </w:r>
      <w:r>
        <w:t xml:space="preserve"> </w:t>
      </w:r>
      <w:r w:rsidRPr="008516D1">
        <w:t>contrôle</w:t>
      </w:r>
      <w:r>
        <w:t xml:space="preserve"> </w:t>
      </w:r>
      <w:r w:rsidRPr="008516D1">
        <w:t>exercé</w:t>
      </w:r>
      <w:r>
        <w:t xml:space="preserve"> </w:t>
      </w:r>
      <w:r w:rsidRPr="008516D1">
        <w:t>par</w:t>
      </w:r>
      <w:r>
        <w:t xml:space="preserve"> </w:t>
      </w:r>
      <w:r w:rsidRPr="008516D1">
        <w:t>les</w:t>
      </w:r>
      <w:r>
        <w:t xml:space="preserve"> </w:t>
      </w:r>
      <w:r w:rsidRPr="008516D1">
        <w:t>citoyens,</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les</w:t>
      </w:r>
      <w:r>
        <w:t xml:space="preserve"> </w:t>
      </w:r>
      <w:r w:rsidRPr="008516D1">
        <w:t>conseils</w:t>
      </w:r>
      <w:r>
        <w:t xml:space="preserve"> </w:t>
      </w:r>
      <w:r w:rsidRPr="008516D1">
        <w:t>régionaux</w:t>
      </w:r>
      <w:r>
        <w:t xml:space="preserve"> </w:t>
      </w:r>
      <w:r w:rsidRPr="008516D1">
        <w:t>de</w:t>
      </w:r>
      <w:r>
        <w:t xml:space="preserve"> </w:t>
      </w:r>
      <w:r w:rsidRPr="008516D1">
        <w:t>développement</w:t>
      </w:r>
      <w:r>
        <w:t xml:space="preserve"> </w:t>
      </w:r>
      <w:r w:rsidRPr="008516D1">
        <w:t>et</w:t>
      </w:r>
      <w:r>
        <w:t xml:space="preserve"> </w:t>
      </w:r>
      <w:r w:rsidRPr="008516D1">
        <w:t>les</w:t>
      </w:r>
      <w:r>
        <w:t xml:space="preserve"> </w:t>
      </w:r>
      <w:r w:rsidRPr="008516D1">
        <w:t>municipalités,</w:t>
      </w:r>
      <w:r>
        <w:t xml:space="preserve"> </w:t>
      </w:r>
      <w:r w:rsidRPr="008516D1">
        <w:t>les</w:t>
      </w:r>
      <w:r>
        <w:t xml:space="preserve"> </w:t>
      </w:r>
      <w:r w:rsidRPr="008516D1">
        <w:lastRenderedPageBreak/>
        <w:t>opérations</w:t>
      </w:r>
      <w:r>
        <w:t xml:space="preserve"> </w:t>
      </w:r>
      <w:r w:rsidRPr="008516D1">
        <w:t>de</w:t>
      </w:r>
      <w:r>
        <w:t xml:space="preserve"> </w:t>
      </w:r>
      <w:r w:rsidRPr="008516D1">
        <w:t>police</w:t>
      </w:r>
      <w:r>
        <w:t xml:space="preserve"> </w:t>
      </w:r>
      <w:r w:rsidRPr="008516D1">
        <w:t>peuvent</w:t>
      </w:r>
      <w:r>
        <w:t xml:space="preserve"> </w:t>
      </w:r>
      <w:r w:rsidRPr="008516D1">
        <w:t>faire</w:t>
      </w:r>
      <w:r>
        <w:t xml:space="preserve"> </w:t>
      </w:r>
      <w:r w:rsidRPr="008516D1">
        <w:t>l</w:t>
      </w:r>
      <w:r>
        <w:t>’</w:t>
      </w:r>
      <w:r w:rsidRPr="008516D1">
        <w:t>objet</w:t>
      </w:r>
      <w:r>
        <w:t xml:space="preserve"> </w:t>
      </w:r>
      <w:r w:rsidRPr="008516D1">
        <w:t>d</w:t>
      </w:r>
      <w:r>
        <w:t>’</w:t>
      </w:r>
      <w:r w:rsidRPr="008516D1">
        <w:t>un</w:t>
      </w:r>
      <w:r>
        <w:t xml:space="preserve"> </w:t>
      </w:r>
      <w:r w:rsidRPr="008516D1">
        <w:t>examen</w:t>
      </w:r>
      <w:r>
        <w:t xml:space="preserve"> </w:t>
      </w:r>
      <w:r w:rsidRPr="008516D1">
        <w:t>qui</w:t>
      </w:r>
      <w:r>
        <w:t xml:space="preserve"> </w:t>
      </w:r>
      <w:r w:rsidRPr="008516D1">
        <w:t>n</w:t>
      </w:r>
      <w:r>
        <w:t>’</w:t>
      </w:r>
      <w:r w:rsidRPr="008516D1">
        <w:t>entrave</w:t>
      </w:r>
      <w:r>
        <w:t xml:space="preserve"> </w:t>
      </w:r>
      <w:r w:rsidRPr="008516D1">
        <w:t>pas</w:t>
      </w:r>
      <w:r>
        <w:t xml:space="preserve"> </w:t>
      </w:r>
      <w:r w:rsidRPr="008516D1">
        <w:t>les</w:t>
      </w:r>
      <w:r>
        <w:t xml:space="preserve"> </w:t>
      </w:r>
      <w:r w:rsidRPr="008516D1">
        <w:t>enquêtes,</w:t>
      </w:r>
      <w:r>
        <w:t xml:space="preserve"> </w:t>
      </w:r>
      <w:r w:rsidRPr="008516D1">
        <w:t>conformément</w:t>
      </w:r>
      <w:r>
        <w:t xml:space="preserve"> </w:t>
      </w:r>
      <w:r w:rsidRPr="008516D1">
        <w:t>aux</w:t>
      </w:r>
      <w:r>
        <w:t xml:space="preserve"> </w:t>
      </w:r>
      <w:r w:rsidRPr="008516D1">
        <w:t>principes</w:t>
      </w:r>
      <w:r>
        <w:t xml:space="preserve"> </w:t>
      </w:r>
      <w:r w:rsidRPr="008516D1">
        <w:t>d</w:t>
      </w:r>
      <w:r>
        <w:t>’</w:t>
      </w:r>
      <w:r w:rsidRPr="008516D1">
        <w:t>inclusion,</w:t>
      </w:r>
      <w:r>
        <w:t xml:space="preserve"> </w:t>
      </w:r>
      <w:r w:rsidRPr="008516D1">
        <w:t>de</w:t>
      </w:r>
      <w:r>
        <w:t xml:space="preserve"> </w:t>
      </w:r>
      <w:r w:rsidRPr="008516D1">
        <w:t>transparence</w:t>
      </w:r>
      <w:r>
        <w:t xml:space="preserve"> </w:t>
      </w:r>
      <w:r w:rsidRPr="008516D1">
        <w:t>et</w:t>
      </w:r>
      <w:r>
        <w:t xml:space="preserve"> </w:t>
      </w:r>
      <w:r w:rsidRPr="008516D1">
        <w:t>de</w:t>
      </w:r>
      <w:r>
        <w:t xml:space="preserve"> </w:t>
      </w:r>
      <w:r w:rsidRPr="008516D1">
        <w:t>reddition</w:t>
      </w:r>
      <w:r>
        <w:t xml:space="preserve"> </w:t>
      </w:r>
      <w:r w:rsidRPr="008516D1">
        <w:t>de</w:t>
      </w:r>
      <w:r>
        <w:t xml:space="preserve"> </w:t>
      </w:r>
      <w:r w:rsidRPr="008516D1">
        <w:t>comptes.</w:t>
      </w:r>
    </w:p>
    <w:p w14:paraId="0D21D1A7" w14:textId="77777777" w:rsidR="00286956" w:rsidRPr="008516D1" w:rsidRDefault="00286956" w:rsidP="00ED5AA3">
      <w:pPr>
        <w:pStyle w:val="SingleTxtG"/>
        <w:keepLines/>
      </w:pPr>
      <w:r w:rsidRPr="008516D1">
        <w:t>63.</w:t>
      </w:r>
      <w:r w:rsidRPr="008516D1">
        <w:tab/>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les</w:t>
      </w:r>
      <w:r>
        <w:t xml:space="preserve"> </w:t>
      </w:r>
      <w:r w:rsidRPr="008516D1">
        <w:t>familles</w:t>
      </w:r>
      <w:r>
        <w:t xml:space="preserve"> </w:t>
      </w:r>
      <w:r w:rsidRPr="008516D1">
        <w:t>des</w:t>
      </w:r>
      <w:r>
        <w:t xml:space="preserve"> </w:t>
      </w:r>
      <w:r w:rsidRPr="008516D1">
        <w:t>personnes</w:t>
      </w:r>
      <w:r>
        <w:t xml:space="preserve"> </w:t>
      </w:r>
      <w:r w:rsidRPr="008516D1">
        <w:t>disparues</w:t>
      </w:r>
      <w:r>
        <w:t xml:space="preserve"> </w:t>
      </w:r>
      <w:r w:rsidRPr="008516D1">
        <w:t>peuvent</w:t>
      </w:r>
      <w:r>
        <w:t xml:space="preserve"> </w:t>
      </w:r>
      <w:r w:rsidRPr="008516D1">
        <w:t>s</w:t>
      </w:r>
      <w:r>
        <w:t>’</w:t>
      </w:r>
      <w:r w:rsidRPr="008516D1">
        <w:t>organiser</w:t>
      </w:r>
      <w:r>
        <w:t xml:space="preserve"> </w:t>
      </w:r>
      <w:r w:rsidRPr="008516D1">
        <w:t>en</w:t>
      </w:r>
      <w:r>
        <w:t xml:space="preserve"> </w:t>
      </w:r>
      <w:r w:rsidRPr="008516D1">
        <w:t>comités</w:t>
      </w:r>
      <w:r>
        <w:t xml:space="preserve"> </w:t>
      </w:r>
      <w:r w:rsidRPr="008516D1">
        <w:t>pour</w:t>
      </w:r>
      <w:r>
        <w:t xml:space="preserve"> </w:t>
      </w:r>
      <w:r w:rsidRPr="008516D1">
        <w:t>faciliter</w:t>
      </w:r>
      <w:r>
        <w:t xml:space="preserve"> </w:t>
      </w:r>
      <w:r w:rsidRPr="008516D1">
        <w:t>les</w:t>
      </w:r>
      <w:r>
        <w:t xml:space="preserve"> </w:t>
      </w:r>
      <w:r w:rsidRPr="008516D1">
        <w:t>recherches</w:t>
      </w:r>
      <w:r>
        <w:t xml:space="preserve"> </w:t>
      </w:r>
      <w:r w:rsidRPr="008516D1">
        <w:t>et</w:t>
      </w:r>
      <w:r>
        <w:t xml:space="preserve"> </w:t>
      </w:r>
      <w:r w:rsidRPr="008516D1">
        <w:t>aider</w:t>
      </w:r>
      <w:r>
        <w:t xml:space="preserve"> </w:t>
      </w:r>
      <w:r w:rsidRPr="008516D1">
        <w:t>les</w:t>
      </w:r>
      <w:r>
        <w:t xml:space="preserve"> </w:t>
      </w:r>
      <w:r w:rsidRPr="008516D1">
        <w:t>autorités</w:t>
      </w:r>
      <w:r>
        <w:t xml:space="preserve"> </w:t>
      </w:r>
      <w:r w:rsidRPr="008516D1">
        <w:t>chargées</w:t>
      </w:r>
      <w:r>
        <w:t xml:space="preserve"> </w:t>
      </w:r>
      <w:r w:rsidRPr="008516D1">
        <w:t>de</w:t>
      </w:r>
      <w:r>
        <w:t xml:space="preserve"> </w:t>
      </w:r>
      <w:r w:rsidRPr="008516D1">
        <w:t>l</w:t>
      </w:r>
      <w:r>
        <w:t>’</w:t>
      </w:r>
      <w:r w:rsidRPr="008516D1">
        <w:t>enquête</w:t>
      </w:r>
      <w:r>
        <w:t xml:space="preserve"> </w:t>
      </w:r>
      <w:r w:rsidRPr="008516D1">
        <w:t>en</w:t>
      </w:r>
      <w:r>
        <w:t xml:space="preserve"> </w:t>
      </w:r>
      <w:r w:rsidRPr="008516D1">
        <w:t>fournissant</w:t>
      </w:r>
      <w:r>
        <w:t xml:space="preserve"> </w:t>
      </w:r>
      <w:r w:rsidRPr="008516D1">
        <w:t>des</w:t>
      </w:r>
      <w:r>
        <w:t xml:space="preserve"> </w:t>
      </w:r>
      <w:r w:rsidRPr="008516D1">
        <w:t>preuves</w:t>
      </w:r>
      <w:r>
        <w:t xml:space="preserve"> </w:t>
      </w:r>
      <w:r w:rsidRPr="008516D1">
        <w:t>ou</w:t>
      </w:r>
      <w:r>
        <w:t xml:space="preserve"> </w:t>
      </w:r>
      <w:r w:rsidRPr="008516D1">
        <w:t>des</w:t>
      </w:r>
      <w:r>
        <w:t xml:space="preserve"> </w:t>
      </w:r>
      <w:r w:rsidRPr="008516D1">
        <w:t>informations</w:t>
      </w:r>
      <w:r>
        <w:t xml:space="preserve"> </w:t>
      </w:r>
      <w:r w:rsidRPr="008516D1">
        <w:t>susceptibles</w:t>
      </w:r>
      <w:r>
        <w:t xml:space="preserve"> </w:t>
      </w:r>
      <w:r w:rsidRPr="008516D1">
        <w:t>d</w:t>
      </w:r>
      <w:r>
        <w:t>’</w:t>
      </w:r>
      <w:r w:rsidRPr="008516D1">
        <w:t>élucider</w:t>
      </w:r>
      <w:r>
        <w:t xml:space="preserve"> </w:t>
      </w:r>
      <w:r w:rsidRPr="008516D1">
        <w:t>les</w:t>
      </w:r>
      <w:r>
        <w:t xml:space="preserve"> </w:t>
      </w:r>
      <w:r w:rsidRPr="008516D1">
        <w:t>faits</w:t>
      </w:r>
      <w:r>
        <w:t xml:space="preserve"> </w:t>
      </w:r>
      <w:r w:rsidRPr="008516D1">
        <w:t>et</w:t>
      </w:r>
      <w:r>
        <w:t xml:space="preserve"> </w:t>
      </w:r>
      <w:r w:rsidRPr="008516D1">
        <w:t>pour</w:t>
      </w:r>
      <w:r>
        <w:t xml:space="preserve"> </w:t>
      </w:r>
      <w:r w:rsidRPr="008516D1">
        <w:t>contribuer,</w:t>
      </w:r>
      <w:r>
        <w:t xml:space="preserve"> </w:t>
      </w:r>
      <w:r w:rsidRPr="008516D1">
        <w:t>s</w:t>
      </w:r>
      <w:r>
        <w:t>’</w:t>
      </w:r>
      <w:r w:rsidRPr="008516D1">
        <w:t>il</w:t>
      </w:r>
      <w:r>
        <w:t xml:space="preserve"> </w:t>
      </w:r>
      <w:r w:rsidRPr="008516D1">
        <w:t>y</w:t>
      </w:r>
      <w:r>
        <w:t xml:space="preserve"> </w:t>
      </w:r>
      <w:r w:rsidRPr="008516D1">
        <w:t>a</w:t>
      </w:r>
      <w:r>
        <w:t xml:space="preserve"> </w:t>
      </w:r>
      <w:r w:rsidRPr="008516D1">
        <w:t>lieu,</w:t>
      </w:r>
      <w:r>
        <w:t xml:space="preserve"> </w:t>
      </w:r>
      <w:r w:rsidRPr="008516D1">
        <w:t>à</w:t>
      </w:r>
      <w:r>
        <w:t xml:space="preserve"> </w:t>
      </w:r>
      <w:r w:rsidRPr="008516D1">
        <w:t>localiser</w:t>
      </w:r>
      <w:r>
        <w:t xml:space="preserve"> </w:t>
      </w:r>
      <w:r w:rsidRPr="008516D1">
        <w:t>les</w:t>
      </w:r>
      <w:r>
        <w:t xml:space="preserve"> </w:t>
      </w:r>
      <w:r w:rsidRPr="008516D1">
        <w:t>victimes.</w:t>
      </w:r>
    </w:p>
    <w:p w14:paraId="65749C47" w14:textId="77777777" w:rsidR="00286956" w:rsidRPr="008516D1" w:rsidRDefault="00286956" w:rsidP="00286956">
      <w:pPr>
        <w:pStyle w:val="SingleTxtG"/>
      </w:pPr>
      <w:r w:rsidRPr="008516D1">
        <w:t>64.</w:t>
      </w:r>
      <w:r w:rsidRPr="008516D1">
        <w:tab/>
        <w:t>Des</w:t>
      </w:r>
      <w:r>
        <w:t xml:space="preserve"> </w:t>
      </w:r>
      <w:r w:rsidRPr="008516D1">
        <w:t>techniques</w:t>
      </w:r>
      <w:r>
        <w:t xml:space="preserve"> </w:t>
      </w:r>
      <w:r w:rsidRPr="008516D1">
        <w:t>d</w:t>
      </w:r>
      <w:r>
        <w:t>’</w:t>
      </w:r>
      <w:r w:rsidRPr="008516D1">
        <w:t>enquête</w:t>
      </w:r>
      <w:r>
        <w:t xml:space="preserve"> </w:t>
      </w:r>
      <w:r w:rsidRPr="008516D1">
        <w:t>concernant</w:t>
      </w:r>
      <w:r>
        <w:t xml:space="preserve"> </w:t>
      </w:r>
      <w:r w:rsidRPr="008516D1">
        <w:t>la</w:t>
      </w:r>
      <w:r>
        <w:t xml:space="preserve"> </w:t>
      </w:r>
      <w:r w:rsidRPr="008516D1">
        <w:t>recherche</w:t>
      </w:r>
      <w:r>
        <w:t xml:space="preserve"> </w:t>
      </w:r>
      <w:r w:rsidRPr="008516D1">
        <w:t>et</w:t>
      </w:r>
      <w:r>
        <w:t xml:space="preserve"> </w:t>
      </w:r>
      <w:r w:rsidRPr="008516D1">
        <w:t>la</w:t>
      </w:r>
      <w:r>
        <w:t xml:space="preserve"> </w:t>
      </w:r>
      <w:r w:rsidRPr="008516D1">
        <w:t>localisation</w:t>
      </w:r>
      <w:r>
        <w:t xml:space="preserve"> </w:t>
      </w:r>
      <w:r w:rsidRPr="008516D1">
        <w:t>des</w:t>
      </w:r>
      <w:r>
        <w:t xml:space="preserve"> </w:t>
      </w:r>
      <w:r w:rsidRPr="008516D1">
        <w:t>personnes</w:t>
      </w:r>
      <w:r>
        <w:t xml:space="preserve"> </w:t>
      </w:r>
      <w:r w:rsidRPr="008516D1">
        <w:t>disparues</w:t>
      </w:r>
      <w:r>
        <w:t xml:space="preserve"> </w:t>
      </w:r>
      <w:r w:rsidRPr="008516D1">
        <w:t>ont</w:t>
      </w:r>
      <w:r>
        <w:t xml:space="preserve"> </w:t>
      </w:r>
      <w:r w:rsidRPr="008516D1">
        <w:t>pu</w:t>
      </w:r>
      <w:r>
        <w:t xml:space="preserve"> </w:t>
      </w:r>
      <w:r w:rsidRPr="008516D1">
        <w:t>être</w:t>
      </w:r>
      <w:r>
        <w:t xml:space="preserve"> </w:t>
      </w:r>
      <w:r w:rsidRPr="008516D1">
        <w:t>mises</w:t>
      </w:r>
      <w:r>
        <w:t xml:space="preserve"> </w:t>
      </w:r>
      <w:r w:rsidRPr="008516D1">
        <w:t>en</w:t>
      </w:r>
      <w:r>
        <w:t xml:space="preserve"> </w:t>
      </w:r>
      <w:r w:rsidRPr="008516D1">
        <w:t>œuvre</w:t>
      </w:r>
      <w:r>
        <w:t xml:space="preserve"> </w:t>
      </w:r>
      <w:r w:rsidRPr="008516D1">
        <w:t>grâce</w:t>
      </w:r>
      <w:r>
        <w:t xml:space="preserve"> </w:t>
      </w:r>
      <w:r w:rsidRPr="008516D1">
        <w:t>à</w:t>
      </w:r>
      <w:r>
        <w:t xml:space="preserve"> </w:t>
      </w:r>
      <w:r w:rsidRPr="008516D1">
        <w:t>la</w:t>
      </w:r>
      <w:r>
        <w:t xml:space="preserve"> </w:t>
      </w:r>
      <w:r w:rsidRPr="008516D1">
        <w:t>participation</w:t>
      </w:r>
      <w:r>
        <w:t xml:space="preserve"> </w:t>
      </w:r>
      <w:r w:rsidRPr="008516D1">
        <w:t>coordonnée</w:t>
      </w:r>
      <w:r>
        <w:t xml:space="preserve"> </w:t>
      </w:r>
      <w:r w:rsidRPr="008516D1">
        <w:t>des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de</w:t>
      </w:r>
      <w:r>
        <w:t xml:space="preserve"> </w:t>
      </w:r>
      <w:r w:rsidRPr="008516D1">
        <w:t>la</w:t>
      </w:r>
      <w:r>
        <w:t xml:space="preserve"> </w:t>
      </w:r>
      <w:r w:rsidRPr="008516D1">
        <w:t>Croix-Rouge</w:t>
      </w:r>
      <w:r>
        <w:t xml:space="preserve"> </w:t>
      </w:r>
      <w:r w:rsidRPr="008516D1">
        <w:t>hondurienne,</w:t>
      </w:r>
      <w:r>
        <w:t xml:space="preserve"> </w:t>
      </w:r>
      <w:r w:rsidRPr="008516D1">
        <w:t>du</w:t>
      </w:r>
      <w:r>
        <w:t xml:space="preserve"> </w:t>
      </w:r>
      <w:r w:rsidRPr="008516D1">
        <w:t>Ministère</w:t>
      </w:r>
      <w:r>
        <w:t xml:space="preserve"> </w:t>
      </w:r>
      <w:r w:rsidRPr="008516D1">
        <w:t>de</w:t>
      </w:r>
      <w:r>
        <w:t xml:space="preserve"> </w:t>
      </w:r>
      <w:r w:rsidRPr="008516D1">
        <w:t>la</w:t>
      </w:r>
      <w:r>
        <w:t xml:space="preserve"> </w:t>
      </w:r>
      <w:r w:rsidRPr="008516D1">
        <w:t>santé,</w:t>
      </w:r>
      <w:r>
        <w:t xml:space="preserve"> </w:t>
      </w:r>
      <w:r w:rsidRPr="008516D1">
        <w:t>de</w:t>
      </w:r>
      <w:r>
        <w:t xml:space="preserve"> </w:t>
      </w:r>
      <w:r w:rsidRPr="008516D1">
        <w:t>l</w:t>
      </w:r>
      <w:r>
        <w:t>’</w:t>
      </w:r>
      <w:r w:rsidRPr="008516D1">
        <w:t>Institut</w:t>
      </w:r>
      <w:r>
        <w:t xml:space="preserve"> </w:t>
      </w:r>
      <w:r w:rsidRPr="008516D1">
        <w:t>national</w:t>
      </w:r>
      <w:r>
        <w:t xml:space="preserve"> </w:t>
      </w:r>
      <w:r w:rsidRPr="008516D1">
        <w:t>des</w:t>
      </w:r>
      <w:r>
        <w:t xml:space="preserve"> </w:t>
      </w:r>
      <w:r w:rsidRPr="008516D1">
        <w:t>migrations,</w:t>
      </w:r>
      <w:r>
        <w:t xml:space="preserve"> </w:t>
      </w:r>
      <w:r w:rsidRPr="008516D1">
        <w:t>de</w:t>
      </w:r>
      <w:r>
        <w:t xml:space="preserve"> </w:t>
      </w:r>
      <w:r w:rsidRPr="008516D1">
        <w:t>la</w:t>
      </w:r>
      <w:r>
        <w:t xml:space="preserve"> </w:t>
      </w:r>
      <w:r w:rsidRPr="008516D1">
        <w:t>Direction</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et</w:t>
      </w:r>
      <w:r>
        <w:t xml:space="preserve"> </w:t>
      </w:r>
      <w:r w:rsidRPr="008516D1">
        <w:t>du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entre</w:t>
      </w:r>
      <w:r>
        <w:t xml:space="preserve"> </w:t>
      </w:r>
      <w:r w:rsidRPr="008516D1">
        <w:t>autres.</w:t>
      </w:r>
    </w:p>
    <w:p w14:paraId="459C3ADE" w14:textId="503AF37D" w:rsidR="00286956" w:rsidRPr="008516D1" w:rsidRDefault="00286956" w:rsidP="00286956">
      <w:pPr>
        <w:pStyle w:val="SingleTxtG"/>
      </w:pPr>
      <w:r w:rsidRPr="008516D1">
        <w:t>65.</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25</w:t>
      </w:r>
      <w:r w:rsidR="00A74554">
        <w:t> d)</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garantir</w:t>
      </w:r>
      <w:r>
        <w:t xml:space="preserve"> </w:t>
      </w:r>
      <w:r w:rsidRPr="008516D1">
        <w:t>l</w:t>
      </w:r>
      <w:r>
        <w:t>’</w:t>
      </w:r>
      <w:r w:rsidRPr="008516D1">
        <w:t>accès</w:t>
      </w:r>
      <w:r>
        <w:t xml:space="preserve"> </w:t>
      </w:r>
      <w:r w:rsidRPr="008516D1">
        <w:t>des</w:t>
      </w:r>
      <w:r>
        <w:t xml:space="preserve"> </w:t>
      </w:r>
      <w:r w:rsidRPr="008516D1">
        <w:t>autorités</w:t>
      </w:r>
      <w:r>
        <w:t xml:space="preserve"> </w:t>
      </w:r>
      <w:r w:rsidRPr="008516D1">
        <w:t>et</w:t>
      </w:r>
      <w:r>
        <w:t xml:space="preserve"> </w:t>
      </w:r>
      <w:r w:rsidRPr="008516D1">
        <w:t>des</w:t>
      </w:r>
      <w:r>
        <w:t xml:space="preserve"> </w:t>
      </w:r>
      <w:r w:rsidRPr="008516D1">
        <w:t>institutions</w:t>
      </w:r>
      <w:r>
        <w:t xml:space="preserve"> </w:t>
      </w:r>
      <w:r w:rsidRPr="008516D1">
        <w:t>compétentes</w:t>
      </w:r>
      <w:r>
        <w:t xml:space="preserve"> </w:t>
      </w:r>
      <w:r w:rsidRPr="008516D1">
        <w:t>à</w:t>
      </w:r>
      <w:r>
        <w:t xml:space="preserve"> </w:t>
      </w:r>
      <w:r w:rsidRPr="008516D1">
        <w:t>tout</w:t>
      </w:r>
      <w:r>
        <w:t xml:space="preserve"> </w:t>
      </w:r>
      <w:r w:rsidRPr="008516D1">
        <w:t>lieu</w:t>
      </w:r>
      <w:r>
        <w:t xml:space="preserve"> </w:t>
      </w:r>
      <w:r w:rsidRPr="008516D1">
        <w:t>de</w:t>
      </w:r>
      <w:r>
        <w:t xml:space="preserve"> </w:t>
      </w:r>
      <w:r w:rsidRPr="008516D1">
        <w:t>privation</w:t>
      </w:r>
      <w:r>
        <w:t xml:space="preserve"> </w:t>
      </w:r>
      <w:r w:rsidRPr="008516D1">
        <w:t>de</w:t>
      </w:r>
      <w:r>
        <w:t xml:space="preserve"> </w:t>
      </w:r>
      <w:r w:rsidRPr="008516D1">
        <w:t>liberté</w:t>
      </w:r>
      <w:r>
        <w:t xml:space="preserve"> </w:t>
      </w:r>
      <w:r w:rsidRPr="008516D1">
        <w:t>dans</w:t>
      </w:r>
      <w:r>
        <w:t xml:space="preserve"> </w:t>
      </w:r>
      <w:r w:rsidRPr="008516D1">
        <w:t>lequel</w:t>
      </w:r>
      <w:r>
        <w:t xml:space="preserve"> </w:t>
      </w:r>
      <w:r w:rsidRPr="008516D1">
        <w:t>il</w:t>
      </w:r>
      <w:r>
        <w:t xml:space="preserve"> </w:t>
      </w:r>
      <w:r w:rsidRPr="008516D1">
        <w:t>y</w:t>
      </w:r>
      <w:r>
        <w:t xml:space="preserve"> </w:t>
      </w:r>
      <w:r w:rsidRPr="008516D1">
        <w:t>a</w:t>
      </w:r>
      <w:r>
        <w:t xml:space="preserve"> </w:t>
      </w:r>
      <w:r w:rsidRPr="008516D1">
        <w:t>des</w:t>
      </w:r>
      <w:r>
        <w:t xml:space="preserve"> </w:t>
      </w:r>
      <w:r w:rsidRPr="008516D1">
        <w:t>raisons</w:t>
      </w:r>
      <w:r>
        <w:t xml:space="preserve"> </w:t>
      </w:r>
      <w:r w:rsidRPr="008516D1">
        <w:t>de</w:t>
      </w:r>
      <w:r>
        <w:t xml:space="preserve"> </w:t>
      </w:r>
      <w:r w:rsidRPr="008516D1">
        <w:t>croire</w:t>
      </w:r>
      <w:r>
        <w:t xml:space="preserve"> </w:t>
      </w:r>
      <w:r w:rsidRPr="008516D1">
        <w:t>qu</w:t>
      </w:r>
      <w:r>
        <w:t>’</w:t>
      </w:r>
      <w:r w:rsidRPr="008516D1">
        <w:t>une</w:t>
      </w:r>
      <w:r>
        <w:t xml:space="preserve"> </w:t>
      </w:r>
      <w:r w:rsidRPr="008516D1">
        <w:t>personne</w:t>
      </w:r>
      <w:r>
        <w:t xml:space="preserve"> </w:t>
      </w:r>
      <w:r w:rsidRPr="008516D1">
        <w:t>soumise</w:t>
      </w:r>
      <w:r>
        <w:t xml:space="preserve"> </w:t>
      </w:r>
      <w:r w:rsidRPr="008516D1">
        <w:t>à</w:t>
      </w:r>
      <w:r>
        <w:t xml:space="preserve"> </w:t>
      </w:r>
      <w:r w:rsidRPr="008516D1">
        <w:t>une</w:t>
      </w:r>
      <w:r>
        <w:t xml:space="preserve"> </w:t>
      </w:r>
      <w:r w:rsidRPr="008516D1">
        <w:t>disparition</w:t>
      </w:r>
      <w:r>
        <w:t xml:space="preserve"> </w:t>
      </w:r>
      <w:r w:rsidRPr="008516D1">
        <w:t>forcée</w:t>
      </w:r>
      <w:r>
        <w:t xml:space="preserve"> </w:t>
      </w:r>
      <w:r w:rsidRPr="008516D1">
        <w:t>pourrait</w:t>
      </w:r>
      <w:r>
        <w:t xml:space="preserve"> </w:t>
      </w:r>
      <w:r w:rsidRPr="008516D1">
        <w:t>se</w:t>
      </w:r>
      <w:r>
        <w:t xml:space="preserve"> </w:t>
      </w:r>
      <w:r w:rsidRPr="008516D1">
        <w:t>trouver,</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w:t>
      </w:r>
      <w:r>
        <w:t>’</w:t>
      </w:r>
      <w:r w:rsidRPr="008516D1">
        <w:t>État</w:t>
      </w:r>
      <w:r>
        <w:t xml:space="preserve"> </w:t>
      </w:r>
      <w:r w:rsidRPr="008516D1">
        <w:t>garantit</w:t>
      </w:r>
      <w:r>
        <w:t xml:space="preserve"> </w:t>
      </w:r>
      <w:r w:rsidRPr="008516D1">
        <w:t>l</w:t>
      </w:r>
      <w:r>
        <w:t>’</w:t>
      </w:r>
      <w:r w:rsidRPr="008516D1">
        <w:t>accès</w:t>
      </w:r>
      <w:r>
        <w:t xml:space="preserve"> </w:t>
      </w:r>
      <w:r w:rsidRPr="008516D1">
        <w:t>aux</w:t>
      </w:r>
      <w:r>
        <w:t xml:space="preserve"> </w:t>
      </w:r>
      <w:r w:rsidRPr="008516D1">
        <w:t>locaux</w:t>
      </w:r>
      <w:r>
        <w:t xml:space="preserve"> </w:t>
      </w:r>
      <w:r w:rsidRPr="008516D1">
        <w:t>de</w:t>
      </w:r>
      <w:r>
        <w:t xml:space="preserve"> </w:t>
      </w:r>
      <w:r w:rsidRPr="008516D1">
        <w:t>la</w:t>
      </w:r>
      <w:r>
        <w:t xml:space="preserve"> </w:t>
      </w:r>
      <w:r w:rsidRPr="008516D1">
        <w:t>police</w:t>
      </w:r>
      <w:r>
        <w:t xml:space="preserve"> </w:t>
      </w:r>
      <w:r w:rsidRPr="008516D1">
        <w:t>et</w:t>
      </w:r>
      <w:r>
        <w:t xml:space="preserve"> </w:t>
      </w:r>
      <w:r w:rsidRPr="008516D1">
        <w:t>aux</w:t>
      </w:r>
      <w:r>
        <w:t xml:space="preserve"> </w:t>
      </w:r>
      <w:r w:rsidRPr="008516D1">
        <w:t>centres</w:t>
      </w:r>
      <w:r>
        <w:t xml:space="preserve"> </w:t>
      </w:r>
      <w:r w:rsidRPr="008516D1">
        <w:t>de</w:t>
      </w:r>
      <w:r>
        <w:t xml:space="preserve"> </w:t>
      </w:r>
      <w:r w:rsidRPr="008516D1">
        <w:t>détention</w:t>
      </w:r>
      <w:r>
        <w:t xml:space="preserve"> </w:t>
      </w:r>
      <w:r w:rsidRPr="008516D1">
        <w:t>à</w:t>
      </w:r>
      <w:r>
        <w:t xml:space="preserve"> </w:t>
      </w:r>
      <w:r w:rsidRPr="008516D1">
        <w:t>toutes</w:t>
      </w:r>
      <w:r>
        <w:t xml:space="preserve"> </w:t>
      </w:r>
      <w:r w:rsidRPr="008516D1">
        <w:t>les</w:t>
      </w:r>
      <w:r>
        <w:t xml:space="preserve"> </w:t>
      </w:r>
      <w:r w:rsidRPr="008516D1">
        <w:t>autorités</w:t>
      </w:r>
      <w:r>
        <w:t xml:space="preserve"> </w:t>
      </w:r>
      <w:r w:rsidRPr="008516D1">
        <w:t>des</w:t>
      </w:r>
      <w:r>
        <w:t xml:space="preserve"> </w:t>
      </w:r>
      <w:r w:rsidRPr="008516D1">
        <w:t>institutions</w:t>
      </w:r>
      <w:r>
        <w:t xml:space="preserve"> </w:t>
      </w:r>
      <w:r w:rsidRPr="008516D1">
        <w:t>compétentes</w:t>
      </w:r>
      <w:r>
        <w:t xml:space="preserve"> </w:t>
      </w:r>
      <w:r w:rsidRPr="008516D1">
        <w:t>afin</w:t>
      </w:r>
      <w:r>
        <w:t xml:space="preserve"> </w:t>
      </w:r>
      <w:r w:rsidRPr="008516D1">
        <w:t>qu</w:t>
      </w:r>
      <w:r>
        <w:t>’</w:t>
      </w:r>
      <w:r w:rsidRPr="008516D1">
        <w:t>elles</w:t>
      </w:r>
      <w:r>
        <w:t xml:space="preserve"> </w:t>
      </w:r>
      <w:r w:rsidRPr="008516D1">
        <w:t>puissent</w:t>
      </w:r>
      <w:r>
        <w:t xml:space="preserve"> </w:t>
      </w:r>
      <w:r w:rsidRPr="008516D1">
        <w:t>exercer</w:t>
      </w:r>
      <w:r>
        <w:t xml:space="preserve"> </w:t>
      </w:r>
      <w:r w:rsidRPr="008516D1">
        <w:t>leurs</w:t>
      </w:r>
      <w:r>
        <w:t xml:space="preserve"> </w:t>
      </w:r>
      <w:r w:rsidRPr="008516D1">
        <w:t>fonctions</w:t>
      </w:r>
      <w:r>
        <w:t xml:space="preserve"> </w:t>
      </w:r>
      <w:r w:rsidRPr="008516D1">
        <w:t>sans</w:t>
      </w:r>
      <w:r>
        <w:t xml:space="preserve"> </w:t>
      </w:r>
      <w:r w:rsidRPr="008516D1">
        <w:t>aucun</w:t>
      </w:r>
      <w:r>
        <w:t xml:space="preserve"> </w:t>
      </w:r>
      <w:r w:rsidRPr="008516D1">
        <w:t>obstacle,</w:t>
      </w:r>
      <w:r>
        <w:t xml:space="preserve"> </w:t>
      </w:r>
      <w:r w:rsidRPr="008516D1">
        <w:t>les</w:t>
      </w:r>
      <w:r>
        <w:t xml:space="preserve"> </w:t>
      </w:r>
      <w:r w:rsidRPr="008516D1">
        <w:t>autorités</w:t>
      </w:r>
      <w:r>
        <w:t xml:space="preserve"> </w:t>
      </w:r>
      <w:r w:rsidRPr="008516D1">
        <w:t>de</w:t>
      </w:r>
      <w:r>
        <w:t xml:space="preserve"> </w:t>
      </w:r>
      <w:r w:rsidRPr="008516D1">
        <w:t>police</w:t>
      </w:r>
      <w:r>
        <w:t xml:space="preserve"> </w:t>
      </w:r>
      <w:r w:rsidRPr="008516D1">
        <w:t>apportant</w:t>
      </w:r>
      <w:r>
        <w:t xml:space="preserve"> </w:t>
      </w:r>
      <w:r w:rsidRPr="008516D1">
        <w:t>à</w:t>
      </w:r>
      <w:r>
        <w:t xml:space="preserve"> </w:t>
      </w:r>
      <w:r w:rsidRPr="008516D1">
        <w:t>cet</w:t>
      </w:r>
      <w:r>
        <w:t xml:space="preserve"> </w:t>
      </w:r>
      <w:r w:rsidRPr="008516D1">
        <w:t>effet</w:t>
      </w:r>
      <w:r>
        <w:t xml:space="preserve"> </w:t>
      </w:r>
      <w:r w:rsidRPr="008516D1">
        <w:t>la</w:t>
      </w:r>
      <w:r>
        <w:t xml:space="preserve"> </w:t>
      </w:r>
      <w:r w:rsidRPr="008516D1">
        <w:t>coopération</w:t>
      </w:r>
      <w:r>
        <w:t xml:space="preserve"> </w:t>
      </w:r>
      <w:r w:rsidRPr="008516D1">
        <w:t>nécessaire.</w:t>
      </w:r>
    </w:p>
    <w:p w14:paraId="158B1FC8" w14:textId="48CE68AC" w:rsidR="00286956" w:rsidRPr="00ED5AA3" w:rsidRDefault="00286956" w:rsidP="00286956">
      <w:pPr>
        <w:pStyle w:val="SingleTxtG"/>
        <w:rPr>
          <w:spacing w:val="-1"/>
        </w:rPr>
      </w:pPr>
      <w:r w:rsidRPr="00ED5AA3">
        <w:rPr>
          <w:spacing w:val="-1"/>
        </w:rPr>
        <w:t>66.</w:t>
      </w:r>
      <w:r w:rsidRPr="00ED5AA3">
        <w:rPr>
          <w:spacing w:val="-1"/>
        </w:rPr>
        <w:tab/>
        <w:t xml:space="preserve">Lorsqu’une personne est arrêtée, l’accès aux locaux de la </w:t>
      </w:r>
      <w:r w:rsidR="00AB2CD9">
        <w:rPr>
          <w:spacing w:val="-1"/>
        </w:rPr>
        <w:t>Police nationale</w:t>
      </w:r>
      <w:r w:rsidRPr="00ED5AA3">
        <w:rPr>
          <w:spacing w:val="-1"/>
        </w:rPr>
        <w:t xml:space="preserve"> est garanti à toutes les autorités compétentes (ministère public, Commissariat national aux droits de l’homme, Comité national pour la prévention de la torture et autres peines ou traitements cruels, inhumains ou dégradants, organisations de la société civile, entre autres), afin qu’elles puissent vérifier sans entrave le traitement et les conditions de détention des personnes privées de liberté et prévenir la commission d’actes de torture et de violation des droits de l’homme.</w:t>
      </w:r>
    </w:p>
    <w:p w14:paraId="154EF9ED" w14:textId="59E3FC5F" w:rsidR="00286956" w:rsidRPr="008516D1" w:rsidRDefault="00286956" w:rsidP="00286956">
      <w:pPr>
        <w:pStyle w:val="SingleTxtG"/>
        <w:rPr>
          <w:shd w:val="clear" w:color="auto" w:fill="FFFFFF"/>
        </w:rPr>
      </w:pPr>
      <w:r w:rsidRPr="008516D1">
        <w:t>67.</w:t>
      </w:r>
      <w:r w:rsidRPr="008516D1">
        <w:tab/>
        <w:t>De</w:t>
      </w:r>
      <w:r>
        <w:t xml:space="preserve"> </w:t>
      </w:r>
      <w:r w:rsidRPr="008516D1">
        <w:t>son</w:t>
      </w:r>
      <w:r>
        <w:t xml:space="preserve"> </w:t>
      </w:r>
      <w:r w:rsidRPr="008516D1">
        <w:t>côté,</w:t>
      </w:r>
      <w:r>
        <w:t xml:space="preserve"> </w:t>
      </w:r>
      <w:r w:rsidRPr="008516D1">
        <w:t>l</w:t>
      </w:r>
      <w:r>
        <w:t>’</w:t>
      </w:r>
      <w:r w:rsidRPr="008516D1">
        <w:t>Institut</w:t>
      </w:r>
      <w:r>
        <w:t xml:space="preserve"> </w:t>
      </w:r>
      <w:r w:rsidRPr="008516D1">
        <w:t>national</w:t>
      </w:r>
      <w:r>
        <w:t xml:space="preserve"> </w:t>
      </w:r>
      <w:r w:rsidRPr="008516D1">
        <w:t>pénitentiaire</w:t>
      </w:r>
      <w:r>
        <w:t xml:space="preserve"> </w:t>
      </w:r>
      <w:r w:rsidRPr="008516D1">
        <w:t>collabore</w:t>
      </w:r>
      <w:r>
        <w:t xml:space="preserve"> </w:t>
      </w:r>
      <w:r w:rsidRPr="008516D1">
        <w:t>avec</w:t>
      </w:r>
      <w:r>
        <w:t xml:space="preserve"> </w:t>
      </w:r>
      <w:r w:rsidRPr="008516D1">
        <w:t>les</w:t>
      </w:r>
      <w:r>
        <w:t xml:space="preserve"> </w:t>
      </w:r>
      <w:r w:rsidRPr="008516D1">
        <w:t>institutions</w:t>
      </w:r>
      <w:r>
        <w:t xml:space="preserve"> </w:t>
      </w:r>
      <w:r w:rsidRPr="008516D1">
        <w:t>précitées,</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les</w:t>
      </w:r>
      <w:r>
        <w:t xml:space="preserve"> </w:t>
      </w:r>
      <w:r w:rsidRPr="008516D1">
        <w:t>représentants</w:t>
      </w:r>
      <w:r>
        <w:t xml:space="preserve"> </w:t>
      </w:r>
      <w:r w:rsidRPr="008516D1">
        <w:t>des</w:t>
      </w:r>
      <w:r>
        <w:t xml:space="preserve"> </w:t>
      </w:r>
      <w:r w:rsidRPr="008516D1">
        <w:t>organisations</w:t>
      </w:r>
      <w:r>
        <w:t xml:space="preserve"> </w:t>
      </w:r>
      <w:r w:rsidRPr="008516D1">
        <w:t>internationales,</w:t>
      </w:r>
      <w:r>
        <w:t xml:space="preserve"> </w:t>
      </w:r>
      <w:r w:rsidRPr="008516D1">
        <w:t>les</w:t>
      </w:r>
      <w:r>
        <w:t xml:space="preserve"> </w:t>
      </w:r>
      <w:r w:rsidRPr="008516D1">
        <w:t>agents</w:t>
      </w:r>
      <w:r>
        <w:t xml:space="preserve"> </w:t>
      </w:r>
      <w:r w:rsidRPr="008516D1">
        <w:t>diplomatiques,</w:t>
      </w:r>
      <w:r>
        <w:t xml:space="preserve"> </w:t>
      </w:r>
      <w:r w:rsidRPr="008516D1">
        <w:t>les</w:t>
      </w:r>
      <w:r>
        <w:t xml:space="preserve"> </w:t>
      </w:r>
      <w:r w:rsidRPr="008516D1">
        <w:t>chefs</w:t>
      </w:r>
      <w:r>
        <w:t xml:space="preserve"> </w:t>
      </w:r>
      <w:r w:rsidRPr="008516D1">
        <w:t>de</w:t>
      </w:r>
      <w:r>
        <w:t xml:space="preserve"> </w:t>
      </w:r>
      <w:r w:rsidRPr="008516D1">
        <w:t>mission</w:t>
      </w:r>
      <w:r>
        <w:t xml:space="preserve"> </w:t>
      </w:r>
      <w:r w:rsidRPr="008516D1">
        <w:t>et</w:t>
      </w:r>
      <w:r>
        <w:t xml:space="preserve"> </w:t>
      </w:r>
      <w:r w:rsidRPr="008516D1">
        <w:t>les</w:t>
      </w:r>
      <w:r>
        <w:t xml:space="preserve"> </w:t>
      </w:r>
      <w:r w:rsidRPr="008516D1">
        <w:t>agents</w:t>
      </w:r>
      <w:r>
        <w:t xml:space="preserve"> </w:t>
      </w:r>
      <w:r w:rsidRPr="008516D1">
        <w:t>consulaires,</w:t>
      </w:r>
      <w:r>
        <w:t xml:space="preserve"> </w:t>
      </w:r>
      <w:r w:rsidRPr="008516D1">
        <w:t>afin</w:t>
      </w:r>
      <w:r>
        <w:t xml:space="preserve"> </w:t>
      </w:r>
      <w:r w:rsidRPr="008516D1">
        <w:t>d</w:t>
      </w:r>
      <w:r>
        <w:t>’</w:t>
      </w:r>
      <w:r w:rsidRPr="008516D1">
        <w:t>assurer</w:t>
      </w:r>
      <w:r>
        <w:t xml:space="preserve"> </w:t>
      </w:r>
      <w:r w:rsidRPr="008516D1">
        <w:t>le</w:t>
      </w:r>
      <w:r>
        <w:t xml:space="preserve"> </w:t>
      </w:r>
      <w:r w:rsidRPr="008516D1">
        <w:t>respect</w:t>
      </w:r>
      <w:r>
        <w:t xml:space="preserve"> </w:t>
      </w:r>
      <w:r w:rsidRPr="008516D1">
        <w:t>des</w:t>
      </w:r>
      <w:r>
        <w:t xml:space="preserve"> </w:t>
      </w:r>
      <w:r w:rsidRPr="008516D1">
        <w:t>droits</w:t>
      </w:r>
      <w:r>
        <w:t xml:space="preserve"> </w:t>
      </w:r>
      <w:r w:rsidRPr="008516D1">
        <w:t>et</w:t>
      </w:r>
      <w:r>
        <w:t xml:space="preserve"> </w:t>
      </w:r>
      <w:r w:rsidRPr="008516D1">
        <w:t>garanties</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Il</w:t>
      </w:r>
      <w:r>
        <w:t xml:space="preserve"> </w:t>
      </w:r>
      <w:r w:rsidRPr="008516D1">
        <w:t>coopère</w:t>
      </w:r>
      <w:r>
        <w:t xml:space="preserve"> </w:t>
      </w:r>
      <w:r w:rsidRPr="008516D1">
        <w:t>également</w:t>
      </w:r>
      <w:r>
        <w:t xml:space="preserve"> </w:t>
      </w:r>
      <w:r w:rsidRPr="008516D1">
        <w:t>avec</w:t>
      </w:r>
      <w:r>
        <w:t xml:space="preserve"> </w:t>
      </w:r>
      <w:r w:rsidRPr="008516D1">
        <w:t>la</w:t>
      </w:r>
      <w:r>
        <w:t xml:space="preserve"> </w:t>
      </w:r>
      <w:r w:rsidR="00AB2CD9">
        <w:t>Police nationale</w:t>
      </w:r>
      <w:r w:rsidRPr="008516D1">
        <w:t>,</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l</w:t>
      </w:r>
      <w:r>
        <w:t>’</w:t>
      </w:r>
      <w:r w:rsidRPr="008516D1">
        <w:t>Agence</w:t>
      </w:r>
      <w:r>
        <w:t xml:space="preserve"> </w:t>
      </w:r>
      <w:r w:rsidRPr="008516D1">
        <w:t>technique</w:t>
      </w:r>
      <w:r>
        <w:t xml:space="preserve"> </w:t>
      </w:r>
      <w:r w:rsidRPr="008516D1">
        <w:t>d</w:t>
      </w:r>
      <w:r>
        <w:t>’</w:t>
      </w:r>
      <w:r w:rsidRPr="008516D1">
        <w:t>enquête</w:t>
      </w:r>
      <w:r>
        <w:t xml:space="preserve"> </w:t>
      </w:r>
      <w:r w:rsidRPr="008516D1">
        <w:t>pénale</w:t>
      </w:r>
      <w:r>
        <w:t xml:space="preserve"> </w:t>
      </w:r>
      <w:r w:rsidRPr="008516D1">
        <w:t>et</w:t>
      </w:r>
      <w:r>
        <w:t xml:space="preserve"> </w:t>
      </w:r>
      <w:r w:rsidRPr="008516D1">
        <w:t>le</w:t>
      </w:r>
      <w:r>
        <w:t xml:space="preserve"> </w:t>
      </w:r>
      <w:r w:rsidRPr="008516D1">
        <w:t>ministère</w:t>
      </w:r>
      <w:r>
        <w:t xml:space="preserve"> </w:t>
      </w:r>
      <w:r w:rsidRPr="008516D1">
        <w:t>public</w:t>
      </w:r>
      <w:r>
        <w:t xml:space="preserve"> </w:t>
      </w:r>
      <w:r w:rsidRPr="008516D1">
        <w:t>et</w:t>
      </w:r>
      <w:r>
        <w:t xml:space="preserve"> </w:t>
      </w:r>
      <w:r w:rsidRPr="008516D1">
        <w:t>leur</w:t>
      </w:r>
      <w:r>
        <w:t xml:space="preserve"> </w:t>
      </w:r>
      <w:r w:rsidRPr="008516D1">
        <w:t>facilite</w:t>
      </w:r>
      <w:r>
        <w:t xml:space="preserve"> </w:t>
      </w:r>
      <w:r w:rsidRPr="008516D1">
        <w:t>la</w:t>
      </w:r>
      <w:r>
        <w:t xml:space="preserve"> </w:t>
      </w:r>
      <w:r w:rsidRPr="008516D1">
        <w:t>tâche</w:t>
      </w:r>
      <w:r>
        <w:t xml:space="preserve"> </w:t>
      </w:r>
      <w:r w:rsidRPr="008516D1">
        <w:t>pour</w:t>
      </w:r>
      <w:r>
        <w:t xml:space="preserve"> </w:t>
      </w:r>
      <w:r w:rsidRPr="008516D1">
        <w:t>mener</w:t>
      </w:r>
      <w:r>
        <w:t xml:space="preserve"> </w:t>
      </w:r>
      <w:r w:rsidRPr="008516D1">
        <w:t>des</w:t>
      </w:r>
      <w:r>
        <w:t xml:space="preserve"> </w:t>
      </w:r>
      <w:r w:rsidRPr="008516D1">
        <w:t>enquêtes</w:t>
      </w:r>
      <w:r>
        <w:t xml:space="preserve"> </w:t>
      </w:r>
      <w:r w:rsidRPr="008516D1">
        <w:t>lorsqu</w:t>
      </w:r>
      <w:r>
        <w:t>’</w:t>
      </w:r>
      <w:r w:rsidRPr="008516D1">
        <w:t>il</w:t>
      </w:r>
      <w:r>
        <w:t xml:space="preserve"> </w:t>
      </w:r>
      <w:r w:rsidRPr="008516D1">
        <w:t>y</w:t>
      </w:r>
      <w:r>
        <w:t xml:space="preserve"> </w:t>
      </w:r>
      <w:r w:rsidRPr="008516D1">
        <w:t>a</w:t>
      </w:r>
      <w:r>
        <w:t xml:space="preserve"> </w:t>
      </w:r>
      <w:r w:rsidRPr="008516D1">
        <w:t>suspicion</w:t>
      </w:r>
      <w:r>
        <w:t xml:space="preserve"> </w:t>
      </w:r>
      <w:r w:rsidRPr="008516D1">
        <w:t>ou</w:t>
      </w:r>
      <w:r>
        <w:t xml:space="preserve"> </w:t>
      </w:r>
      <w:r w:rsidRPr="008516D1">
        <w:t>certitude</w:t>
      </w:r>
      <w:r>
        <w:t xml:space="preserve"> </w:t>
      </w:r>
      <w:r w:rsidRPr="008516D1">
        <w:t>qu</w:t>
      </w:r>
      <w:r>
        <w:t>’</w:t>
      </w:r>
      <w:r w:rsidRPr="008516D1">
        <w:t>une</w:t>
      </w:r>
      <w:r>
        <w:t xml:space="preserve"> </w:t>
      </w:r>
      <w:r w:rsidRPr="008516D1">
        <w:t>infraction</w:t>
      </w:r>
      <w:r>
        <w:t xml:space="preserve"> </w:t>
      </w:r>
      <w:r w:rsidRPr="008516D1">
        <w:t>a</w:t>
      </w:r>
      <w:r>
        <w:t xml:space="preserve"> </w:t>
      </w:r>
      <w:r w:rsidRPr="008516D1">
        <w:t>été</w:t>
      </w:r>
      <w:r>
        <w:t xml:space="preserve"> </w:t>
      </w:r>
      <w:r w:rsidRPr="008516D1">
        <w:t>commise</w:t>
      </w:r>
      <w:r>
        <w:t xml:space="preserve"> </w:t>
      </w:r>
      <w:r w:rsidRPr="008516D1">
        <w:t>au</w:t>
      </w:r>
      <w:r>
        <w:t xml:space="preserve"> </w:t>
      </w:r>
      <w:r w:rsidRPr="008516D1">
        <w:t>sein</w:t>
      </w:r>
      <w:r>
        <w:t xml:space="preserve"> </w:t>
      </w:r>
      <w:r w:rsidRPr="008516D1">
        <w:t>des</w:t>
      </w:r>
      <w:r>
        <w:t xml:space="preserve"> </w:t>
      </w:r>
      <w:r w:rsidRPr="008516D1">
        <w:t>établissements</w:t>
      </w:r>
      <w:r>
        <w:t xml:space="preserve"> </w:t>
      </w:r>
      <w:r w:rsidRPr="008516D1">
        <w:t>pénitentiaires.</w:t>
      </w:r>
    </w:p>
    <w:p w14:paraId="11D6AA67" w14:textId="08EA70D0" w:rsidR="00286956" w:rsidRPr="00ED5AA3" w:rsidRDefault="00286956" w:rsidP="00286956">
      <w:pPr>
        <w:pStyle w:val="SingleTxtG"/>
        <w:rPr>
          <w:spacing w:val="-1"/>
        </w:rPr>
      </w:pPr>
      <w:r w:rsidRPr="00ED5AA3">
        <w:rPr>
          <w:spacing w:val="-1"/>
        </w:rPr>
        <w:t>68.</w:t>
      </w:r>
      <w:r w:rsidRPr="00ED5AA3">
        <w:rPr>
          <w:spacing w:val="-1"/>
        </w:rPr>
        <w:tab/>
        <w:t>Au sujet du paragraphe 25</w:t>
      </w:r>
      <w:r w:rsidR="00A74554" w:rsidRPr="00ED5AA3">
        <w:rPr>
          <w:spacing w:val="-1"/>
        </w:rPr>
        <w:t> e)</w:t>
      </w:r>
      <w:r w:rsidRPr="00ED5AA3">
        <w:rPr>
          <w:spacing w:val="-1"/>
        </w:rPr>
        <w:t xml:space="preserve"> des observations finales, dans lequel il est recommandé à l’État de faire en sorte qu’aucun agent de l’État, civil ou militaire, soupçonné d’avoir commis une infraction de disparition forcée ne soit en mesure d’influencer le déroulement des enquêtes, il convient de préciser que, conformément aux dispositions du Code de procédure pénale, des mesures de précaution visant la personne mise en cause sont prises pour garantir le bon déroulement de la procédure pénale, la présence du mis en cause et l’obtention des moyens de preuve. Ces mesures de précaution permettent de faire en sorte que la personne visée n’influe pas sur le déroulement de la procédure et l’obtention des preuves</w:t>
      </w:r>
      <w:r w:rsidRPr="00ED5AA3">
        <w:rPr>
          <w:rStyle w:val="Appelnotedebasdep"/>
          <w:spacing w:val="-1"/>
        </w:rPr>
        <w:footnoteReference w:id="73"/>
      </w:r>
      <w:r w:rsidRPr="00ED5AA3">
        <w:rPr>
          <w:spacing w:val="-1"/>
        </w:rPr>
        <w:t>.</w:t>
      </w:r>
    </w:p>
    <w:p w14:paraId="7353F8D2" w14:textId="3BBDCC0F" w:rsidR="00286956" w:rsidRPr="008516D1" w:rsidRDefault="00286956" w:rsidP="00286956">
      <w:pPr>
        <w:pStyle w:val="SingleTxtG"/>
      </w:pPr>
      <w:r w:rsidRPr="008516D1">
        <w:t>69.</w:t>
      </w:r>
      <w:r w:rsidRPr="008516D1">
        <w:tab/>
        <w:t>Concernant</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41</w:t>
      </w:r>
      <w:r w:rsidR="00A74554">
        <w:t> a)</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les</w:t>
      </w:r>
      <w:r>
        <w:t xml:space="preserve"> </w:t>
      </w:r>
      <w:r w:rsidRPr="008516D1">
        <w:t>efforts</w:t>
      </w:r>
      <w:r>
        <w:t xml:space="preserve"> </w:t>
      </w:r>
      <w:r w:rsidRPr="008516D1">
        <w:t>à</w:t>
      </w:r>
      <w:r>
        <w:t xml:space="preserve"> </w:t>
      </w:r>
      <w:r w:rsidRPr="008516D1">
        <w:t>accomplir</w:t>
      </w:r>
      <w:r>
        <w:t xml:space="preserve"> </w:t>
      </w:r>
      <w:r w:rsidRPr="008516D1">
        <w:t>pour</w:t>
      </w:r>
      <w:r>
        <w:t xml:space="preserve"> </w:t>
      </w:r>
      <w:r w:rsidRPr="008516D1">
        <w:t>rechercher,</w:t>
      </w:r>
      <w:r>
        <w:t xml:space="preserve"> </w:t>
      </w:r>
      <w:r w:rsidRPr="008516D1">
        <w:t>localiser</w:t>
      </w:r>
      <w:r>
        <w:t xml:space="preserve"> </w:t>
      </w:r>
      <w:r w:rsidRPr="008516D1">
        <w:t>et</w:t>
      </w:r>
      <w:r>
        <w:t xml:space="preserve"> </w:t>
      </w:r>
      <w:r w:rsidRPr="008516D1">
        <w:t>libérer</w:t>
      </w:r>
      <w:r>
        <w:t xml:space="preserve"> </w:t>
      </w:r>
      <w:r w:rsidRPr="008516D1">
        <w:t>les</w:t>
      </w:r>
      <w:r>
        <w:t xml:space="preserve"> </w:t>
      </w:r>
      <w:r w:rsidRPr="008516D1">
        <w:t>personnes</w:t>
      </w:r>
      <w:r>
        <w:t xml:space="preserve"> </w:t>
      </w:r>
      <w:r w:rsidRPr="008516D1">
        <w:t>disparues,</w:t>
      </w:r>
      <w:r>
        <w:t xml:space="preserve"> </w:t>
      </w:r>
      <w:r w:rsidRPr="008516D1">
        <w:t>ainsi</w:t>
      </w:r>
      <w:r>
        <w:t xml:space="preserve"> </w:t>
      </w:r>
      <w:r w:rsidRPr="008516D1">
        <w:t>que</w:t>
      </w:r>
      <w:r>
        <w:t xml:space="preserve"> </w:t>
      </w:r>
      <w:r w:rsidRPr="008516D1">
        <w:t>pour</w:t>
      </w:r>
      <w:r>
        <w:t xml:space="preserve"> </w:t>
      </w:r>
      <w:r w:rsidRPr="008516D1">
        <w:t>assurer</w:t>
      </w:r>
      <w:r>
        <w:t xml:space="preserve"> </w:t>
      </w:r>
      <w:r w:rsidRPr="008516D1">
        <w:t>la</w:t>
      </w:r>
      <w:r>
        <w:t xml:space="preserve"> </w:t>
      </w:r>
      <w:r w:rsidRPr="008516D1">
        <w:t>restitution</w:t>
      </w:r>
      <w:r>
        <w:t xml:space="preserve"> </w:t>
      </w:r>
      <w:r w:rsidRPr="008516D1">
        <w:t>des</w:t>
      </w:r>
      <w:r>
        <w:t xml:space="preserve"> </w:t>
      </w:r>
      <w:r w:rsidRPr="008516D1">
        <w:t>restes</w:t>
      </w:r>
      <w:r>
        <w:t xml:space="preserve"> </w:t>
      </w:r>
      <w:r w:rsidRPr="008516D1">
        <w:t>en</w:t>
      </w:r>
      <w:r>
        <w:t xml:space="preserve"> </w:t>
      </w:r>
      <w:r w:rsidRPr="008516D1">
        <w:t>cas</w:t>
      </w:r>
      <w:r>
        <w:t xml:space="preserve"> </w:t>
      </w:r>
      <w:r w:rsidRPr="008516D1">
        <w:t>de</w:t>
      </w:r>
      <w:r>
        <w:t xml:space="preserve"> </w:t>
      </w:r>
      <w:r w:rsidRPr="008516D1">
        <w:t>décès,</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dans</w:t>
      </w:r>
      <w:r>
        <w:t xml:space="preserve"> </w:t>
      </w:r>
      <w:r w:rsidRPr="008516D1">
        <w:t>le</w:t>
      </w:r>
      <w:r>
        <w:t xml:space="preserve"> </w:t>
      </w:r>
      <w:r w:rsidRPr="008516D1">
        <w:t>présent</w:t>
      </w:r>
      <w:r>
        <w:t xml:space="preserve"> </w:t>
      </w:r>
      <w:r w:rsidRPr="008516D1">
        <w:t>rapport</w:t>
      </w:r>
      <w:r>
        <w:t xml:space="preserve"> </w:t>
      </w:r>
      <w:r w:rsidRPr="008516D1">
        <w:t>sur</w:t>
      </w:r>
      <w:r>
        <w:t xml:space="preserve"> </w:t>
      </w:r>
      <w:r w:rsidRPr="008516D1">
        <w:t>les</w:t>
      </w:r>
      <w:r>
        <w:t xml:space="preserve"> </w:t>
      </w:r>
      <w:r w:rsidRPr="008516D1">
        <w:t>mesures</w:t>
      </w:r>
      <w:r>
        <w:t xml:space="preserve"> </w:t>
      </w:r>
      <w:r w:rsidRPr="008516D1">
        <w:t>mises</w:t>
      </w:r>
      <w:r>
        <w:t xml:space="preserve"> </w:t>
      </w:r>
      <w:r w:rsidRPr="008516D1">
        <w:t>en</w:t>
      </w:r>
      <w:r>
        <w:t xml:space="preserve"> </w:t>
      </w:r>
      <w:r w:rsidRPr="008516D1">
        <w:t>œuvre</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faite</w:t>
      </w:r>
      <w:r>
        <w:t xml:space="preserve"> </w:t>
      </w:r>
      <w:r w:rsidRPr="008516D1">
        <w:t>au</w:t>
      </w:r>
      <w:r>
        <w:t xml:space="preserve"> </w:t>
      </w:r>
      <w:r w:rsidRPr="008516D1">
        <w:t>paragraphe</w:t>
      </w:r>
      <w:r>
        <w:t xml:space="preserve"> </w:t>
      </w:r>
      <w:r w:rsidRPr="008516D1">
        <w:t>25</w:t>
      </w:r>
      <w:r w:rsidR="00A74554">
        <w:t> a)</w:t>
      </w:r>
      <w:r>
        <w:t xml:space="preserve"> </w:t>
      </w:r>
      <w:r w:rsidRPr="008516D1">
        <w:t>des</w:t>
      </w:r>
      <w:r>
        <w:t xml:space="preserve"> </w:t>
      </w:r>
      <w:r w:rsidRPr="008516D1">
        <w:t>observations</w:t>
      </w:r>
      <w:r>
        <w:t xml:space="preserve"> </w:t>
      </w:r>
      <w:r w:rsidRPr="008516D1">
        <w:t>finales.</w:t>
      </w:r>
    </w:p>
    <w:p w14:paraId="777D9476" w14:textId="58BD7AB7" w:rsidR="00286956" w:rsidRPr="008516D1" w:rsidRDefault="00286956" w:rsidP="00286956">
      <w:pPr>
        <w:pStyle w:val="SingleTxtG"/>
      </w:pPr>
      <w:r w:rsidRPr="008516D1">
        <w:t>70.</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41</w:t>
      </w:r>
      <w:r w:rsidR="00A74554">
        <w:t> b)</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la</w:t>
      </w:r>
      <w:r>
        <w:t xml:space="preserve"> </w:t>
      </w:r>
      <w:r w:rsidRPr="008516D1">
        <w:t>recherche</w:t>
      </w:r>
      <w:r>
        <w:t xml:space="preserve"> </w:t>
      </w:r>
      <w:r w:rsidRPr="008516D1">
        <w:t>soit</w:t>
      </w:r>
      <w:r>
        <w:t xml:space="preserve"> </w:t>
      </w:r>
      <w:r w:rsidRPr="008516D1">
        <w:t>effectuée</w:t>
      </w:r>
      <w:r>
        <w:t xml:space="preserve"> </w:t>
      </w:r>
      <w:r w:rsidRPr="008516D1">
        <w:t>avec</w:t>
      </w:r>
      <w:r>
        <w:t xml:space="preserve"> </w:t>
      </w:r>
      <w:r w:rsidRPr="008516D1">
        <w:t>la</w:t>
      </w:r>
      <w:r>
        <w:t xml:space="preserve"> </w:t>
      </w:r>
      <w:r w:rsidRPr="008516D1">
        <w:t>participation</w:t>
      </w:r>
      <w:r>
        <w:t xml:space="preserve"> </w:t>
      </w:r>
      <w:r w:rsidRPr="008516D1">
        <w:t>des</w:t>
      </w:r>
      <w:r>
        <w:t xml:space="preserve"> </w:t>
      </w:r>
      <w:r w:rsidRPr="008516D1">
        <w:t>proches</w:t>
      </w:r>
      <w:r>
        <w:t xml:space="preserve"> </w:t>
      </w:r>
      <w:r w:rsidRPr="008516D1">
        <w:t>des</w:t>
      </w:r>
      <w:r>
        <w:t xml:space="preserve"> </w:t>
      </w:r>
      <w:r w:rsidRPr="008516D1">
        <w:t>personnes</w:t>
      </w:r>
      <w:r>
        <w:t xml:space="preserve"> </w:t>
      </w:r>
      <w:r w:rsidRPr="008516D1">
        <w:t>disparues,</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dans</w:t>
      </w:r>
      <w:r>
        <w:t xml:space="preserve"> </w:t>
      </w:r>
      <w:r w:rsidRPr="008516D1">
        <w:t>le</w:t>
      </w:r>
      <w:r>
        <w:t xml:space="preserve"> </w:t>
      </w:r>
      <w:r w:rsidRPr="008516D1">
        <w:t>présent</w:t>
      </w:r>
      <w:r>
        <w:t xml:space="preserve"> </w:t>
      </w:r>
      <w:r w:rsidRPr="008516D1">
        <w:t>rapport,</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25</w:t>
      </w:r>
      <w:r w:rsidR="00A74554">
        <w:t> c)</w:t>
      </w:r>
      <w:r>
        <w:t xml:space="preserve"> </w:t>
      </w:r>
      <w:r w:rsidRPr="008516D1">
        <w:t>des</w:t>
      </w:r>
      <w:r>
        <w:t xml:space="preserve"> </w:t>
      </w:r>
      <w:r w:rsidRPr="008516D1">
        <w:t>observations</w:t>
      </w:r>
      <w:r>
        <w:t xml:space="preserve"> </w:t>
      </w:r>
      <w:r w:rsidRPr="008516D1">
        <w:t>finales.</w:t>
      </w:r>
    </w:p>
    <w:p w14:paraId="27B55C98" w14:textId="0CFD4509" w:rsidR="00286956" w:rsidRPr="008516D1" w:rsidRDefault="00286956" w:rsidP="00286956">
      <w:pPr>
        <w:pStyle w:val="SingleTxtG"/>
      </w:pPr>
      <w:r w:rsidRPr="008516D1">
        <w:t>71.</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41</w:t>
      </w:r>
      <w:r w:rsidR="00A74554">
        <w:t> c)</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établir</w:t>
      </w:r>
      <w:r>
        <w:t xml:space="preserve"> </w:t>
      </w:r>
      <w:r w:rsidRPr="008516D1">
        <w:t>une</w:t>
      </w:r>
      <w:r>
        <w:t xml:space="preserve"> </w:t>
      </w:r>
      <w:r w:rsidRPr="008516D1">
        <w:t>base</w:t>
      </w:r>
      <w:r>
        <w:t xml:space="preserve"> </w:t>
      </w:r>
      <w:r w:rsidRPr="008516D1">
        <w:t>de</w:t>
      </w:r>
      <w:r>
        <w:t xml:space="preserve"> </w:t>
      </w:r>
      <w:r w:rsidRPr="008516D1">
        <w:t>données</w:t>
      </w:r>
      <w:r>
        <w:t xml:space="preserve"> </w:t>
      </w:r>
      <w:r w:rsidRPr="008516D1">
        <w:t>relative</w:t>
      </w:r>
      <w:r>
        <w:t xml:space="preserve"> </w:t>
      </w:r>
      <w:r w:rsidRPr="008516D1">
        <w:t>aux</w:t>
      </w:r>
      <w:r>
        <w:t xml:space="preserve"> </w:t>
      </w:r>
      <w:r w:rsidRPr="008516D1">
        <w:t>personnes</w:t>
      </w:r>
      <w:r>
        <w:t xml:space="preserve"> </w:t>
      </w:r>
      <w:r w:rsidRPr="008516D1">
        <w:t>disparues,</w:t>
      </w:r>
      <w:r>
        <w:t xml:space="preserve"> </w:t>
      </w:r>
      <w:r w:rsidRPr="008516D1">
        <w:t>contenant</w:t>
      </w:r>
      <w:r>
        <w:t xml:space="preserve"> </w:t>
      </w:r>
      <w:r w:rsidRPr="008516D1">
        <w:t>des</w:t>
      </w:r>
      <w:r>
        <w:t xml:space="preserve"> </w:t>
      </w:r>
      <w:r w:rsidRPr="008516D1">
        <w:t>informations</w:t>
      </w:r>
      <w:r>
        <w:t xml:space="preserve"> </w:t>
      </w:r>
      <w:r w:rsidRPr="008516D1">
        <w:t>complètes</w:t>
      </w:r>
      <w:r>
        <w:t xml:space="preserve"> </w:t>
      </w:r>
      <w:r w:rsidRPr="008516D1">
        <w:t>et</w:t>
      </w:r>
      <w:r>
        <w:t xml:space="preserve"> </w:t>
      </w:r>
      <w:r w:rsidRPr="008516D1">
        <w:t>pertinentes</w:t>
      </w:r>
      <w:r>
        <w:t xml:space="preserve"> </w:t>
      </w:r>
      <w:r w:rsidRPr="008516D1">
        <w:t>sur</w:t>
      </w:r>
      <w:r>
        <w:t xml:space="preserve"> </w:t>
      </w:r>
      <w:r w:rsidRPr="008516D1">
        <w:t>tous</w:t>
      </w:r>
      <w:r>
        <w:t xml:space="preserve"> </w:t>
      </w:r>
      <w:r w:rsidRPr="008516D1">
        <w:t>les</w:t>
      </w:r>
      <w:r>
        <w:t xml:space="preserve"> </w:t>
      </w:r>
      <w:r w:rsidRPr="008516D1">
        <w:t>cas</w:t>
      </w:r>
      <w:r>
        <w:t xml:space="preserve"> </w:t>
      </w:r>
      <w:r w:rsidRPr="008516D1">
        <w:t>de</w:t>
      </w:r>
      <w:r>
        <w:t xml:space="preserve"> </w:t>
      </w:r>
      <w:r w:rsidRPr="008516D1">
        <w:t>disparition,</w:t>
      </w:r>
      <w:r>
        <w:t xml:space="preserve"> </w:t>
      </w:r>
      <w:r w:rsidRPr="008516D1">
        <w:t>sans</w:t>
      </w:r>
      <w:r>
        <w:t xml:space="preserve"> </w:t>
      </w:r>
      <w:r w:rsidRPr="008516D1">
        <w:t>exception,</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dans</w:t>
      </w:r>
      <w:r>
        <w:t xml:space="preserve"> </w:t>
      </w:r>
      <w:r w:rsidRPr="008516D1">
        <w:t>la</w:t>
      </w:r>
      <w:r>
        <w:t xml:space="preserve"> </w:t>
      </w:r>
      <w:r w:rsidRPr="008516D1">
        <w:t>section</w:t>
      </w:r>
      <w:r>
        <w:t xml:space="preserve"> </w:t>
      </w:r>
      <w:r w:rsidRPr="008516D1">
        <w:t>G</w:t>
      </w:r>
      <w:r>
        <w:t xml:space="preserve"> </w:t>
      </w:r>
      <w:r w:rsidRPr="008516D1">
        <w:t>(Registre</w:t>
      </w:r>
      <w:r>
        <w:t xml:space="preserve"> </w:t>
      </w:r>
      <w:r w:rsidRPr="008516D1">
        <w:t>consolidé</w:t>
      </w:r>
      <w:r>
        <w:t xml:space="preserve"> </w:t>
      </w:r>
      <w:r w:rsidRPr="008516D1">
        <w:t>des</w:t>
      </w:r>
      <w:r>
        <w:t xml:space="preserve"> </w:t>
      </w:r>
      <w:r w:rsidRPr="008516D1">
        <w:t>cas</w:t>
      </w:r>
      <w:r>
        <w:t xml:space="preserve"> </w:t>
      </w:r>
      <w:r w:rsidRPr="008516D1">
        <w:t>de</w:t>
      </w:r>
      <w:r>
        <w:t xml:space="preserve"> </w:t>
      </w:r>
      <w:r w:rsidRPr="008516D1">
        <w:lastRenderedPageBreak/>
        <w:t>disparition</w:t>
      </w:r>
      <w:r>
        <w:t xml:space="preserve"> </w:t>
      </w:r>
      <w:r w:rsidRPr="008516D1">
        <w:t>forcée)</w:t>
      </w:r>
      <w:r>
        <w:t xml:space="preserve"> </w:t>
      </w:r>
      <w:r w:rsidRPr="008516D1">
        <w:t>du</w:t>
      </w:r>
      <w:r>
        <w:t xml:space="preserve"> </w:t>
      </w:r>
      <w:r w:rsidRPr="008516D1">
        <w:t>présent</w:t>
      </w:r>
      <w:r>
        <w:t xml:space="preserve"> </w:t>
      </w:r>
      <w:r w:rsidRPr="008516D1">
        <w:t>rapport,</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13</w:t>
      </w:r>
      <w:r>
        <w:t xml:space="preserve"> </w:t>
      </w:r>
      <w:r w:rsidRPr="008516D1">
        <w:t>des</w:t>
      </w:r>
      <w:r>
        <w:t xml:space="preserve"> </w:t>
      </w:r>
      <w:r w:rsidRPr="008516D1">
        <w:t>observations</w:t>
      </w:r>
      <w:r>
        <w:t xml:space="preserve"> </w:t>
      </w:r>
      <w:r w:rsidRPr="008516D1">
        <w:t>finales.</w:t>
      </w:r>
    </w:p>
    <w:p w14:paraId="73ADF215" w14:textId="785FDDC5" w:rsidR="00286956" w:rsidRPr="008516D1" w:rsidRDefault="00286956" w:rsidP="00286956">
      <w:pPr>
        <w:pStyle w:val="SingleTxtG"/>
      </w:pPr>
      <w:r w:rsidRPr="008516D1">
        <w:t>72.</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41</w:t>
      </w:r>
      <w:r w:rsidR="00A74554">
        <w:t> d)</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assurer</w:t>
      </w:r>
      <w:r>
        <w:t xml:space="preserve"> </w:t>
      </w:r>
      <w:r w:rsidRPr="008516D1">
        <w:t>la</w:t>
      </w:r>
      <w:r>
        <w:t xml:space="preserve"> </w:t>
      </w:r>
      <w:r w:rsidRPr="008516D1">
        <w:t>coopération</w:t>
      </w:r>
      <w:r>
        <w:t xml:space="preserve"> </w:t>
      </w:r>
      <w:r w:rsidRPr="008516D1">
        <w:t>et</w:t>
      </w:r>
      <w:r>
        <w:t xml:space="preserve"> </w:t>
      </w:r>
      <w:r w:rsidRPr="008516D1">
        <w:t>le</w:t>
      </w:r>
      <w:r>
        <w:t xml:space="preserve"> </w:t>
      </w:r>
      <w:r w:rsidRPr="008516D1">
        <w:t>croisement</w:t>
      </w:r>
      <w:r>
        <w:t xml:space="preserve"> </w:t>
      </w:r>
      <w:r w:rsidRPr="008516D1">
        <w:t>de</w:t>
      </w:r>
      <w:r>
        <w:t xml:space="preserve"> </w:t>
      </w:r>
      <w:r w:rsidRPr="008516D1">
        <w:t>données</w:t>
      </w:r>
      <w:r>
        <w:t xml:space="preserve"> </w:t>
      </w:r>
      <w:r w:rsidRPr="008516D1">
        <w:t>entre</w:t>
      </w:r>
      <w:r>
        <w:t xml:space="preserve"> </w:t>
      </w:r>
      <w:r w:rsidRPr="008516D1">
        <w:t>les</w:t>
      </w:r>
      <w:r>
        <w:t xml:space="preserve"> </w:t>
      </w:r>
      <w:r w:rsidRPr="008516D1">
        <w:t>organismes</w:t>
      </w:r>
      <w:r>
        <w:t xml:space="preserve"> </w:t>
      </w:r>
      <w:r w:rsidRPr="008516D1">
        <w:t>compétents</w:t>
      </w:r>
      <w:r>
        <w:t xml:space="preserve"> </w:t>
      </w:r>
      <w:r w:rsidRPr="008516D1">
        <w:t>en</w:t>
      </w:r>
      <w:r>
        <w:t xml:space="preserve"> </w:t>
      </w:r>
      <w:r w:rsidRPr="008516D1">
        <w:t>matière</w:t>
      </w:r>
      <w:r>
        <w:t xml:space="preserve"> </w:t>
      </w:r>
      <w:r w:rsidRPr="008516D1">
        <w:t>de</w:t>
      </w:r>
      <w:r>
        <w:t xml:space="preserve"> </w:t>
      </w:r>
      <w:r w:rsidRPr="008516D1">
        <w:t>recherche</w:t>
      </w:r>
      <w:r>
        <w:t xml:space="preserve"> </w:t>
      </w:r>
      <w:r w:rsidRPr="008516D1">
        <w:t>des</w:t>
      </w:r>
      <w:r>
        <w:t xml:space="preserve"> </w:t>
      </w:r>
      <w:r w:rsidRPr="008516D1">
        <w:t>personnes</w:t>
      </w:r>
      <w:r>
        <w:t xml:space="preserve"> </w:t>
      </w:r>
      <w:r w:rsidRPr="008516D1">
        <w:t>disparues</w:t>
      </w:r>
      <w:r>
        <w:t xml:space="preserve"> </w:t>
      </w:r>
      <w:r w:rsidRPr="008516D1">
        <w:t>et</w:t>
      </w:r>
      <w:r>
        <w:t xml:space="preserve"> </w:t>
      </w:r>
      <w:r w:rsidRPr="008516D1">
        <w:t>d</w:t>
      </w:r>
      <w:r>
        <w:t>’</w:t>
      </w:r>
      <w:r w:rsidRPr="008516D1">
        <w:t>identification</w:t>
      </w:r>
      <w:r>
        <w:t xml:space="preserve"> </w:t>
      </w:r>
      <w:r w:rsidRPr="008516D1">
        <w:t>des</w:t>
      </w:r>
      <w:r>
        <w:t xml:space="preserve"> </w:t>
      </w:r>
      <w:r w:rsidRPr="008516D1">
        <w:t>dépouilles</w:t>
      </w:r>
      <w:r>
        <w:t xml:space="preserve"> </w:t>
      </w:r>
      <w:r w:rsidRPr="008516D1">
        <w:t>et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ces</w:t>
      </w:r>
      <w:r>
        <w:t xml:space="preserve"> </w:t>
      </w:r>
      <w:r w:rsidRPr="008516D1">
        <w:t>organismes</w:t>
      </w:r>
      <w:r>
        <w:t xml:space="preserve"> </w:t>
      </w:r>
      <w:r w:rsidRPr="008516D1">
        <w:t>disposent</w:t>
      </w:r>
      <w:r>
        <w:t xml:space="preserve"> </w:t>
      </w:r>
      <w:r w:rsidRPr="008516D1">
        <w:t>des</w:t>
      </w:r>
      <w:r>
        <w:t xml:space="preserve"> </w:t>
      </w:r>
      <w:r w:rsidRPr="008516D1">
        <w:t>ressources</w:t>
      </w:r>
      <w:r>
        <w:t xml:space="preserve"> </w:t>
      </w:r>
      <w:r w:rsidRPr="008516D1">
        <w:t>financières,</w:t>
      </w:r>
      <w:r>
        <w:t xml:space="preserve"> </w:t>
      </w:r>
      <w:r w:rsidRPr="008516D1">
        <w:t>techniques</w:t>
      </w:r>
      <w:r>
        <w:t xml:space="preserve"> </w:t>
      </w:r>
      <w:r w:rsidRPr="008516D1">
        <w:t>et</w:t>
      </w:r>
      <w:r>
        <w:t xml:space="preserve"> </w:t>
      </w:r>
      <w:r w:rsidRPr="008516D1">
        <w:t>humaines</w:t>
      </w:r>
      <w:r>
        <w:t xml:space="preserve"> </w:t>
      </w:r>
      <w:r w:rsidRPr="008516D1">
        <w:t>nécessaires,</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dans</w:t>
      </w:r>
      <w:r>
        <w:t xml:space="preserve"> </w:t>
      </w:r>
      <w:r w:rsidRPr="008516D1">
        <w:t>le</w:t>
      </w:r>
      <w:r>
        <w:t xml:space="preserve"> </w:t>
      </w:r>
      <w:r w:rsidRPr="008516D1">
        <w:t>présent</w:t>
      </w:r>
      <w:r>
        <w:t xml:space="preserve"> </w:t>
      </w:r>
      <w:r w:rsidRPr="008516D1">
        <w:t>rapport</w:t>
      </w:r>
      <w:r>
        <w:t xml:space="preserve"> </w:t>
      </w:r>
      <w:r w:rsidRPr="008516D1">
        <w:t>sur</w:t>
      </w:r>
      <w:r>
        <w:t xml:space="preserve"> </w:t>
      </w:r>
      <w:r w:rsidRPr="008516D1">
        <w:t>les</w:t>
      </w:r>
      <w:r>
        <w:t xml:space="preserve"> </w:t>
      </w:r>
      <w:r w:rsidRPr="008516D1">
        <w:t>progrès</w:t>
      </w:r>
      <w:r>
        <w:t xml:space="preserve"> </w:t>
      </w:r>
      <w:r w:rsidRPr="008516D1">
        <w:t>et</w:t>
      </w:r>
      <w:r>
        <w:t xml:space="preserve"> </w:t>
      </w:r>
      <w:r w:rsidRPr="008516D1">
        <w:t>les</w:t>
      </w:r>
      <w:r>
        <w:t xml:space="preserve"> </w:t>
      </w:r>
      <w:r w:rsidRPr="008516D1">
        <w:t>mesures</w:t>
      </w:r>
      <w:r>
        <w:t xml:space="preserve"> </w:t>
      </w:r>
      <w:r w:rsidRPr="008516D1">
        <w:t>mises</w:t>
      </w:r>
      <w:r>
        <w:t xml:space="preserve"> </w:t>
      </w:r>
      <w:r w:rsidRPr="008516D1">
        <w:t>en</w:t>
      </w:r>
      <w:r>
        <w:t xml:space="preserve"> </w:t>
      </w:r>
      <w:r w:rsidRPr="008516D1">
        <w:t>œuvre</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des</w:t>
      </w:r>
      <w:r>
        <w:t xml:space="preserve"> </w:t>
      </w:r>
      <w:r w:rsidRPr="008516D1">
        <w:t>paragraphes</w:t>
      </w:r>
      <w:r>
        <w:t xml:space="preserve"> </w:t>
      </w:r>
      <w:r w:rsidRPr="008516D1">
        <w:t>25</w:t>
      </w:r>
      <w:r w:rsidR="00A74554">
        <w:t> a)</w:t>
      </w:r>
      <w:r>
        <w:t xml:space="preserve"> </w:t>
      </w:r>
      <w:r w:rsidRPr="008516D1">
        <w:t>et</w:t>
      </w:r>
      <w:r>
        <w:t xml:space="preserve"> </w:t>
      </w:r>
      <w:r w:rsidRPr="008516D1">
        <w:t>25</w:t>
      </w:r>
      <w:r w:rsidR="00A74554">
        <w:t> b)</w:t>
      </w:r>
      <w:r>
        <w:t xml:space="preserve"> </w:t>
      </w:r>
      <w:r w:rsidRPr="008516D1">
        <w:t>des</w:t>
      </w:r>
      <w:r>
        <w:t xml:space="preserve"> </w:t>
      </w:r>
      <w:r w:rsidRPr="008516D1">
        <w:t>observations</w:t>
      </w:r>
      <w:r>
        <w:t xml:space="preserve"> </w:t>
      </w:r>
      <w:r w:rsidRPr="008516D1">
        <w:t>finales.</w:t>
      </w:r>
    </w:p>
    <w:p w14:paraId="732CF8AD" w14:textId="24E54142" w:rsidR="00286956" w:rsidRPr="00ED5AA3" w:rsidRDefault="00286956" w:rsidP="00286956">
      <w:pPr>
        <w:pStyle w:val="SingleTxtG"/>
        <w:rPr>
          <w:spacing w:val="-1"/>
        </w:rPr>
      </w:pPr>
      <w:r w:rsidRPr="00ED5AA3">
        <w:rPr>
          <w:spacing w:val="-1"/>
        </w:rPr>
        <w:t>73.</w:t>
      </w:r>
      <w:r w:rsidRPr="00ED5AA3">
        <w:rPr>
          <w:spacing w:val="-1"/>
        </w:rPr>
        <w:tab/>
        <w:t>Au sujet du paragraphe 41</w:t>
      </w:r>
      <w:r w:rsidR="00A74554" w:rsidRPr="00ED5AA3">
        <w:rPr>
          <w:spacing w:val="-1"/>
        </w:rPr>
        <w:t> e)</w:t>
      </w:r>
      <w:r w:rsidRPr="00ED5AA3">
        <w:rPr>
          <w:spacing w:val="-1"/>
        </w:rPr>
        <w:t xml:space="preserve"> des observations finales, dans lequel il est recommandé à l’État de veiller à ce que les enquêtes se poursuivent jusqu’à ce que le sort de la personne disparue ait été élucidé, il convient de consulter les précisions fournies dans le présent rapport, en réponse à la recommandation formulée au paragraphe 25</w:t>
      </w:r>
      <w:r w:rsidR="00A74554" w:rsidRPr="00ED5AA3">
        <w:rPr>
          <w:spacing w:val="-1"/>
        </w:rPr>
        <w:t> a)</w:t>
      </w:r>
      <w:r w:rsidRPr="00ED5AA3">
        <w:rPr>
          <w:spacing w:val="-1"/>
        </w:rPr>
        <w:t xml:space="preserve"> des observations finales.</w:t>
      </w:r>
    </w:p>
    <w:p w14:paraId="1F4CF82A" w14:textId="3C00D2AF" w:rsidR="00286956" w:rsidRPr="008516D1" w:rsidRDefault="00286956" w:rsidP="00286956">
      <w:pPr>
        <w:pStyle w:val="H1G"/>
      </w:pPr>
      <w:bookmarkStart w:id="22" w:name="_Toc76740429"/>
      <w:r w:rsidRPr="008516D1">
        <w:tab/>
        <w:t>I.</w:t>
      </w:r>
      <w:r w:rsidRPr="008516D1">
        <w:tab/>
        <w:t>Mesures</w:t>
      </w:r>
      <w:r>
        <w:t xml:space="preserve"> </w:t>
      </w:r>
      <w:r w:rsidRPr="008516D1">
        <w:t>visant</w:t>
      </w:r>
      <w:r>
        <w:t xml:space="preserve"> </w:t>
      </w:r>
      <w:r w:rsidRPr="008516D1">
        <w:t>à</w:t>
      </w:r>
      <w:r>
        <w:t xml:space="preserve"> </w:t>
      </w:r>
      <w:r w:rsidRPr="008516D1">
        <w:t>assurer</w:t>
      </w:r>
      <w:r>
        <w:t xml:space="preserve"> </w:t>
      </w:r>
      <w:r w:rsidRPr="008516D1">
        <w:t>la</w:t>
      </w:r>
      <w:r>
        <w:t xml:space="preserve"> </w:t>
      </w:r>
      <w:r w:rsidRPr="008516D1">
        <w:t>protection</w:t>
      </w:r>
      <w:r>
        <w:t xml:space="preserve"> </w:t>
      </w:r>
      <w:r w:rsidRPr="008516D1">
        <w:t>des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12)</w:t>
      </w:r>
      <w:bookmarkEnd w:id="22"/>
    </w:p>
    <w:p w14:paraId="66D92BB6" w14:textId="77777777" w:rsidR="00286956" w:rsidRPr="008516D1" w:rsidRDefault="00286956" w:rsidP="00286956">
      <w:pPr>
        <w:pStyle w:val="SingleTxtG"/>
      </w:pPr>
      <w:r w:rsidRPr="008516D1">
        <w:t>74.</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27</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les</w:t>
      </w:r>
      <w:r>
        <w:t xml:space="preserve"> </w:t>
      </w:r>
      <w:r w:rsidRPr="008516D1">
        <w:t>efforts</w:t>
      </w:r>
      <w:r>
        <w:t xml:space="preserve"> </w:t>
      </w:r>
      <w:r w:rsidRPr="008516D1">
        <w:t>à</w:t>
      </w:r>
      <w:r>
        <w:t xml:space="preserve"> </w:t>
      </w:r>
      <w:r w:rsidRPr="008516D1">
        <w:t>accomplir</w:t>
      </w:r>
      <w:r>
        <w:t xml:space="preserve"> </w:t>
      </w:r>
      <w:r w:rsidRPr="008516D1">
        <w:t>pour</w:t>
      </w:r>
      <w:r>
        <w:t xml:space="preserve"> </w:t>
      </w:r>
      <w:r w:rsidRPr="008516D1">
        <w:t>prévenir</w:t>
      </w:r>
      <w:r>
        <w:t xml:space="preserve"> </w:t>
      </w:r>
      <w:r w:rsidRPr="008516D1">
        <w:t>et</w:t>
      </w:r>
      <w:r>
        <w:t xml:space="preserve"> </w:t>
      </w:r>
      <w:r w:rsidRPr="008516D1">
        <w:t>réprimer</w:t>
      </w:r>
      <w:r>
        <w:t xml:space="preserve"> </w:t>
      </w:r>
      <w:r w:rsidRPr="008516D1">
        <w:t>les</w:t>
      </w:r>
      <w:r>
        <w:t xml:space="preserve"> </w:t>
      </w:r>
      <w:r w:rsidRPr="008516D1">
        <w:t>actes</w:t>
      </w:r>
      <w:r>
        <w:t xml:space="preserve"> </w:t>
      </w:r>
      <w:r w:rsidRPr="008516D1">
        <w:t>d</w:t>
      </w:r>
      <w:r>
        <w:t>’</w:t>
      </w:r>
      <w:r w:rsidRPr="008516D1">
        <w:t>intimidation</w:t>
      </w:r>
      <w:r>
        <w:t xml:space="preserve"> </w:t>
      </w:r>
      <w:r w:rsidRPr="008516D1">
        <w:t>et</w:t>
      </w:r>
      <w:r>
        <w:t xml:space="preserve"> </w:t>
      </w:r>
      <w:r w:rsidRPr="008516D1">
        <w:t>les</w:t>
      </w:r>
      <w:r>
        <w:t xml:space="preserve"> </w:t>
      </w:r>
      <w:r w:rsidRPr="008516D1">
        <w:t>mauvais</w:t>
      </w:r>
      <w:r>
        <w:t xml:space="preserve"> </w:t>
      </w:r>
      <w:r w:rsidRPr="008516D1">
        <w:t>traitements,</w:t>
      </w:r>
      <w:r>
        <w:t xml:space="preserve"> </w:t>
      </w:r>
      <w:r w:rsidRPr="008516D1">
        <w:t>commis</w:t>
      </w:r>
      <w:r>
        <w:t xml:space="preserve"> </w:t>
      </w:r>
      <w:r w:rsidRPr="008516D1">
        <w:t>en</w:t>
      </w:r>
      <w:r>
        <w:t xml:space="preserve"> </w:t>
      </w:r>
      <w:r w:rsidRPr="008516D1">
        <w:t>raison</w:t>
      </w:r>
      <w:r>
        <w:t xml:space="preserve"> </w:t>
      </w:r>
      <w:r w:rsidRPr="008516D1">
        <w:t>de</w:t>
      </w:r>
      <w:r>
        <w:t xml:space="preserve"> </w:t>
      </w:r>
      <w:r w:rsidRPr="008516D1">
        <w:t>la</w:t>
      </w:r>
      <w:r>
        <w:t xml:space="preserve"> </w:t>
      </w:r>
      <w:r w:rsidRPr="008516D1">
        <w:t>plainte</w:t>
      </w:r>
      <w:r>
        <w:t xml:space="preserve"> </w:t>
      </w:r>
      <w:r w:rsidRPr="008516D1">
        <w:t>déposée</w:t>
      </w:r>
      <w:r>
        <w:t xml:space="preserve"> </w:t>
      </w:r>
      <w:r w:rsidRPr="008516D1">
        <w:t>ou</w:t>
      </w:r>
      <w:r>
        <w:t xml:space="preserve"> </w:t>
      </w:r>
      <w:r w:rsidRPr="008516D1">
        <w:t>de</w:t>
      </w:r>
      <w:r>
        <w:t xml:space="preserve"> </w:t>
      </w:r>
      <w:r w:rsidRPr="008516D1">
        <w:t>toute</w:t>
      </w:r>
      <w:r>
        <w:t xml:space="preserve"> </w:t>
      </w:r>
      <w:r w:rsidRPr="008516D1">
        <w:t>déposition</w:t>
      </w:r>
      <w:r>
        <w:t xml:space="preserve"> </w:t>
      </w:r>
      <w:r w:rsidRPr="008516D1">
        <w:t>faite,</w:t>
      </w:r>
      <w:r>
        <w:t xml:space="preserve"> </w:t>
      </w:r>
      <w:r w:rsidRPr="008516D1">
        <w:t>à</w:t>
      </w:r>
      <w:r>
        <w:t xml:space="preserve"> </w:t>
      </w:r>
      <w:r w:rsidRPr="008516D1">
        <w:t>l</w:t>
      </w:r>
      <w:r>
        <w:t>’</w:t>
      </w:r>
      <w:r w:rsidRPr="008516D1">
        <w:t>encontre</w:t>
      </w:r>
      <w:r>
        <w:t xml:space="preserve"> </w:t>
      </w:r>
      <w:r w:rsidRPr="008516D1">
        <w:t>des</w:t>
      </w:r>
      <w:r>
        <w:t xml:space="preserve"> </w:t>
      </w:r>
      <w:r w:rsidRPr="008516D1">
        <w:t>plaignants,</w:t>
      </w:r>
      <w:r>
        <w:t xml:space="preserve"> </w:t>
      </w:r>
      <w:r w:rsidRPr="008516D1">
        <w:t>des</w:t>
      </w:r>
      <w:r>
        <w:t xml:space="preserve"> </w:t>
      </w:r>
      <w:r w:rsidRPr="008516D1">
        <w:t>témoins,</w:t>
      </w:r>
      <w:r>
        <w:t xml:space="preserve"> </w:t>
      </w:r>
      <w:r w:rsidRPr="008516D1">
        <w:t>des</w:t>
      </w:r>
      <w:r>
        <w:t xml:space="preserve"> </w:t>
      </w:r>
      <w:r w:rsidRPr="008516D1">
        <w:t>proches</w:t>
      </w:r>
      <w:r>
        <w:t xml:space="preserve"> </w:t>
      </w:r>
      <w:r w:rsidRPr="008516D1">
        <w:t>de</w:t>
      </w:r>
      <w:r>
        <w:t xml:space="preserve"> </w:t>
      </w:r>
      <w:r w:rsidRPr="008516D1">
        <w:t>la</w:t>
      </w:r>
      <w:r>
        <w:t xml:space="preserve"> </w:t>
      </w:r>
      <w:r w:rsidRPr="008516D1">
        <w:t>personne</w:t>
      </w:r>
      <w:r>
        <w:t xml:space="preserve"> </w:t>
      </w:r>
      <w:r w:rsidRPr="008516D1">
        <w:t>disparue</w:t>
      </w:r>
      <w:r>
        <w:t xml:space="preserve"> </w:t>
      </w:r>
      <w:r w:rsidRPr="008516D1">
        <w:t>et</w:t>
      </w:r>
      <w:r>
        <w:t xml:space="preserve"> </w:t>
      </w:r>
      <w:r w:rsidRPr="008516D1">
        <w:t>de</w:t>
      </w:r>
      <w:r>
        <w:t xml:space="preserve"> </w:t>
      </w:r>
      <w:r w:rsidRPr="008516D1">
        <w:t>leurs</w:t>
      </w:r>
      <w:r>
        <w:t xml:space="preserve"> </w:t>
      </w:r>
      <w:r w:rsidRPr="008516D1">
        <w:t>défenseurs,</w:t>
      </w:r>
      <w:r>
        <w:t xml:space="preserve"> </w:t>
      </w:r>
      <w:r w:rsidRPr="008516D1">
        <w:t>ainsi</w:t>
      </w:r>
      <w:r>
        <w:t xml:space="preserve"> </w:t>
      </w:r>
      <w:r w:rsidRPr="008516D1">
        <w:t>que</w:t>
      </w:r>
      <w:r>
        <w:t xml:space="preserve"> </w:t>
      </w:r>
      <w:r w:rsidRPr="008516D1">
        <w:t>des</w:t>
      </w:r>
      <w:r>
        <w:t xml:space="preserve"> </w:t>
      </w:r>
      <w:r w:rsidRPr="008516D1">
        <w:t>personnes</w:t>
      </w:r>
      <w:r>
        <w:t xml:space="preserve"> </w:t>
      </w:r>
      <w:r w:rsidRPr="008516D1">
        <w:t>qui</w:t>
      </w:r>
      <w:r>
        <w:t xml:space="preserve"> </w:t>
      </w:r>
      <w:r w:rsidRPr="008516D1">
        <w:t>participent</w:t>
      </w:r>
      <w:r>
        <w:t xml:space="preserve"> </w:t>
      </w:r>
      <w:r w:rsidRPr="008516D1">
        <w:t>à</w:t>
      </w:r>
      <w:r>
        <w:t xml:space="preserve"> </w:t>
      </w:r>
      <w:r w:rsidRPr="008516D1">
        <w:t>l</w:t>
      </w:r>
      <w:r>
        <w:t>’</w:t>
      </w:r>
      <w:r w:rsidRPr="008516D1">
        <w:t>enquête,</w:t>
      </w:r>
      <w:r>
        <w:t xml:space="preserve"> </w:t>
      </w:r>
      <w:r w:rsidRPr="008516D1">
        <w:t>et</w:t>
      </w:r>
      <w:r>
        <w:t xml:space="preserve"> </w:t>
      </w:r>
      <w:r w:rsidRPr="008516D1">
        <w:t>à</w:t>
      </w:r>
      <w:r>
        <w:t xml:space="preserve"> </w:t>
      </w:r>
      <w:r w:rsidRPr="008516D1">
        <w:t>veiller</w:t>
      </w:r>
      <w:r>
        <w:t xml:space="preserve"> </w:t>
      </w:r>
      <w:r w:rsidRPr="008516D1">
        <w:t>à</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rapide</w:t>
      </w:r>
      <w:r>
        <w:t xml:space="preserve"> </w:t>
      </w:r>
      <w:r w:rsidRPr="008516D1">
        <w:t>et</w:t>
      </w:r>
      <w:r>
        <w:t xml:space="preserve"> </w:t>
      </w:r>
      <w:r w:rsidRPr="008516D1">
        <w:t>efficace</w:t>
      </w:r>
      <w:r>
        <w:t xml:space="preserve"> </w:t>
      </w:r>
      <w:r w:rsidRPr="008516D1">
        <w:t>des</w:t>
      </w:r>
      <w:r>
        <w:t xml:space="preserve"> </w:t>
      </w:r>
      <w:r w:rsidRPr="008516D1">
        <w:t>mesures</w:t>
      </w:r>
      <w:r>
        <w:t xml:space="preserve"> </w:t>
      </w:r>
      <w:r w:rsidRPr="008516D1">
        <w:t>de</w:t>
      </w:r>
      <w:r>
        <w:t xml:space="preserve"> </w:t>
      </w:r>
      <w:r w:rsidRPr="008516D1">
        <w:t>protection</w:t>
      </w:r>
      <w:r>
        <w:t xml:space="preserve"> </w:t>
      </w:r>
      <w:r w:rsidRPr="008516D1">
        <w:t>prévues</w:t>
      </w:r>
      <w:r>
        <w:t xml:space="preserve"> </w:t>
      </w:r>
      <w:r w:rsidRPr="008516D1">
        <w:t>par</w:t>
      </w:r>
      <w:r>
        <w:t xml:space="preserve"> </w:t>
      </w:r>
      <w:r w:rsidRPr="008516D1">
        <w:t>la</w:t>
      </w:r>
      <w:r>
        <w:t xml:space="preserve"> </w:t>
      </w:r>
      <w:r w:rsidRPr="008516D1">
        <w:t>législation</w:t>
      </w:r>
      <w:r>
        <w:t xml:space="preserve"> </w:t>
      </w:r>
      <w:r w:rsidRPr="008516D1">
        <w:t>en</w:t>
      </w:r>
      <w:r>
        <w:t xml:space="preserve"> </w:t>
      </w:r>
      <w:r w:rsidRPr="008516D1">
        <w:t>vue</w:t>
      </w:r>
      <w:r>
        <w:t xml:space="preserve"> </w:t>
      </w:r>
      <w:r w:rsidRPr="008516D1">
        <w:t>de</w:t>
      </w:r>
      <w:r>
        <w:t xml:space="preserve"> </w:t>
      </w:r>
      <w:r w:rsidRPr="008516D1">
        <w:t>garantir</w:t>
      </w:r>
      <w:r>
        <w:t xml:space="preserve"> </w:t>
      </w:r>
      <w:r w:rsidRPr="008516D1">
        <w:t>la</w:t>
      </w:r>
      <w:r>
        <w:t xml:space="preserve"> </w:t>
      </w:r>
      <w:r w:rsidRPr="008516D1">
        <w:t>protection</w:t>
      </w:r>
      <w:r>
        <w:t xml:space="preserve"> </w:t>
      </w:r>
      <w:r w:rsidRPr="008516D1">
        <w:t>effective</w:t>
      </w:r>
      <w:r>
        <w:t xml:space="preserve"> </w:t>
      </w:r>
      <w:r w:rsidRPr="008516D1">
        <w:t>de</w:t>
      </w:r>
      <w:r>
        <w:t xml:space="preserve"> </w:t>
      </w:r>
      <w:r w:rsidRPr="008516D1">
        <w:t>ces</w:t>
      </w:r>
      <w:r>
        <w:t xml:space="preserve"> </w:t>
      </w:r>
      <w:r w:rsidRPr="008516D1">
        <w:t>personnes,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témoins</w:t>
      </w:r>
      <w:r>
        <w:t xml:space="preserve"> </w:t>
      </w:r>
      <w:r w:rsidRPr="008516D1">
        <w:t>intervenant</w:t>
      </w:r>
      <w:r>
        <w:t xml:space="preserve"> </w:t>
      </w:r>
      <w:r w:rsidRPr="008516D1">
        <w:t>dans</w:t>
      </w:r>
      <w:r>
        <w:t xml:space="preserve"> </w:t>
      </w:r>
      <w:r w:rsidRPr="008516D1">
        <w:t>la</w:t>
      </w:r>
      <w:r>
        <w:t xml:space="preserve"> </w:t>
      </w:r>
      <w:r w:rsidRPr="008516D1">
        <w:t>procédure</w:t>
      </w:r>
      <w:r>
        <w:t xml:space="preserve"> </w:t>
      </w:r>
      <w:r w:rsidRPr="008516D1">
        <w:t>pénale</w:t>
      </w:r>
      <w:r>
        <w:t xml:space="preserve"> </w:t>
      </w:r>
      <w:r w:rsidRPr="008516D1">
        <w:t>et</w:t>
      </w:r>
      <w:r>
        <w:t xml:space="preserve"> </w:t>
      </w:r>
      <w:r w:rsidRPr="008516D1">
        <w:t>son</w:t>
      </w:r>
      <w:r>
        <w:t xml:space="preserve"> </w:t>
      </w:r>
      <w:r w:rsidRPr="008516D1">
        <w:t>règlement</w:t>
      </w:r>
      <w:r>
        <w:t xml:space="preserve"> </w:t>
      </w:r>
      <w:r w:rsidRPr="008516D1">
        <w:t>spécial</w:t>
      </w:r>
      <w:r>
        <w:t xml:space="preserve"> </w:t>
      </w:r>
      <w:r w:rsidRPr="008516D1">
        <w:t>sont</w:t>
      </w:r>
      <w:r>
        <w:t xml:space="preserve"> </w:t>
      </w:r>
      <w:r w:rsidRPr="008516D1">
        <w:t>essentiels</w:t>
      </w:r>
      <w:r>
        <w:t xml:space="preserve"> </w:t>
      </w:r>
      <w:r w:rsidRPr="008516D1">
        <w:t>pour</w:t>
      </w:r>
      <w:r>
        <w:t xml:space="preserve"> </w:t>
      </w:r>
      <w:r w:rsidRPr="008516D1">
        <w:t>améliorer</w:t>
      </w:r>
      <w:r>
        <w:t xml:space="preserve"> </w:t>
      </w:r>
      <w:r w:rsidRPr="008516D1">
        <w:t>l</w:t>
      </w:r>
      <w:r>
        <w:t>’</w:t>
      </w:r>
      <w:r w:rsidRPr="008516D1">
        <w:t>administration</w:t>
      </w:r>
      <w:r>
        <w:t xml:space="preserve"> </w:t>
      </w:r>
      <w:r w:rsidRPr="008516D1">
        <w:t>de</w:t>
      </w:r>
      <w:r>
        <w:t xml:space="preserve"> </w:t>
      </w:r>
      <w:r w:rsidRPr="008516D1">
        <w:t>la</w:t>
      </w:r>
      <w:r>
        <w:t xml:space="preserve"> </w:t>
      </w:r>
      <w:r w:rsidRPr="008516D1">
        <w:t>justice</w:t>
      </w:r>
      <w:r>
        <w:t xml:space="preserve"> </w:t>
      </w:r>
      <w:r w:rsidRPr="008516D1">
        <w:t>et</w:t>
      </w:r>
      <w:r>
        <w:t xml:space="preserve"> </w:t>
      </w:r>
      <w:r w:rsidRPr="008516D1">
        <w:t>prendre</w:t>
      </w:r>
      <w:r>
        <w:t xml:space="preserve"> </w:t>
      </w:r>
      <w:r w:rsidRPr="008516D1">
        <w:t>en</w:t>
      </w:r>
      <w:r>
        <w:t xml:space="preserve"> </w:t>
      </w:r>
      <w:r w:rsidRPr="008516D1">
        <w:t>charge,</w:t>
      </w:r>
      <w:r>
        <w:t xml:space="preserve"> </w:t>
      </w:r>
      <w:r w:rsidRPr="008516D1">
        <w:t>protéger</w:t>
      </w:r>
      <w:r>
        <w:t xml:space="preserve"> </w:t>
      </w:r>
      <w:r w:rsidRPr="008516D1">
        <w:t>et</w:t>
      </w:r>
      <w:r>
        <w:t xml:space="preserve"> </w:t>
      </w:r>
      <w:r w:rsidRPr="008516D1">
        <w:t>assister</w:t>
      </w:r>
      <w:r>
        <w:t xml:space="preserve"> </w:t>
      </w:r>
      <w:r w:rsidRPr="008516D1">
        <w:t>les</w:t>
      </w:r>
      <w:r>
        <w:t xml:space="preserve"> </w:t>
      </w:r>
      <w:r w:rsidRPr="008516D1">
        <w:t>témoins</w:t>
      </w:r>
      <w:r>
        <w:t xml:space="preserve"> </w:t>
      </w:r>
      <w:r w:rsidRPr="008516D1">
        <w:t>qui</w:t>
      </w:r>
      <w:r>
        <w:t xml:space="preserve"> </w:t>
      </w:r>
      <w:r w:rsidRPr="008516D1">
        <w:t>interviennent</w:t>
      </w:r>
      <w:r>
        <w:t xml:space="preserve"> </w:t>
      </w:r>
      <w:r w:rsidRPr="008516D1">
        <w:t>dans</w:t>
      </w:r>
      <w:r>
        <w:t xml:space="preserve"> </w:t>
      </w:r>
      <w:r w:rsidRPr="008516D1">
        <w:t>les</w:t>
      </w:r>
      <w:r>
        <w:t xml:space="preserve"> </w:t>
      </w:r>
      <w:r w:rsidRPr="008516D1">
        <w:t>procédures</w:t>
      </w:r>
      <w:r>
        <w:t xml:space="preserve"> </w:t>
      </w:r>
      <w:r w:rsidRPr="008516D1">
        <w:t>pénales</w:t>
      </w:r>
      <w:r>
        <w:t xml:space="preserve"> </w:t>
      </w:r>
      <w:r w:rsidRPr="008516D1">
        <w:t>relevant</w:t>
      </w:r>
      <w:r>
        <w:t xml:space="preserve"> </w:t>
      </w:r>
      <w:r w:rsidRPr="008516D1">
        <w:t>du</w:t>
      </w:r>
      <w:r>
        <w:t xml:space="preserve"> </w:t>
      </w:r>
      <w:r w:rsidRPr="008516D1">
        <w:t>programme</w:t>
      </w:r>
      <w:r>
        <w:t xml:space="preserve"> </w:t>
      </w:r>
      <w:r w:rsidRPr="008516D1">
        <w:t>de</w:t>
      </w:r>
      <w:r>
        <w:t xml:space="preserve"> </w:t>
      </w:r>
      <w:r w:rsidRPr="008516D1">
        <w:t>protection</w:t>
      </w:r>
      <w:r>
        <w:t xml:space="preserve"> </w:t>
      </w:r>
      <w:r w:rsidRPr="008516D1">
        <w:t>des</w:t>
      </w:r>
      <w:r>
        <w:t xml:space="preserve"> </w:t>
      </w:r>
      <w:r w:rsidRPr="008516D1">
        <w:t>témoins,</w:t>
      </w:r>
      <w:r>
        <w:t xml:space="preserve"> </w:t>
      </w:r>
      <w:r w:rsidRPr="008516D1">
        <w:t>ainsi</w:t>
      </w:r>
      <w:r>
        <w:t xml:space="preserve"> </w:t>
      </w:r>
      <w:r w:rsidRPr="008516D1">
        <w:t>que</w:t>
      </w:r>
      <w:r>
        <w:t xml:space="preserve"> </w:t>
      </w:r>
      <w:r w:rsidRPr="008516D1">
        <w:t>les</w:t>
      </w:r>
      <w:r>
        <w:t xml:space="preserve"> </w:t>
      </w:r>
      <w:r w:rsidRPr="008516D1">
        <w:t>membres</w:t>
      </w:r>
      <w:r>
        <w:t xml:space="preserve"> </w:t>
      </w:r>
      <w:r w:rsidRPr="008516D1">
        <w:t>de</w:t>
      </w:r>
      <w:r>
        <w:t xml:space="preserve"> </w:t>
      </w:r>
      <w:r w:rsidRPr="008516D1">
        <w:t>leur</w:t>
      </w:r>
      <w:r>
        <w:t xml:space="preserve"> </w:t>
      </w:r>
      <w:r w:rsidRPr="008516D1">
        <w:t>famille</w:t>
      </w:r>
      <w:r>
        <w:t xml:space="preserve"> </w:t>
      </w:r>
      <w:r w:rsidRPr="008516D1">
        <w:t>nucléaire</w:t>
      </w:r>
      <w:r>
        <w:t xml:space="preserve"> </w:t>
      </w:r>
      <w:r w:rsidRPr="008516D1">
        <w:t>et</w:t>
      </w:r>
      <w:r>
        <w:t xml:space="preserve"> </w:t>
      </w:r>
      <w:r w:rsidRPr="008516D1">
        <w:t>autres</w:t>
      </w:r>
      <w:r>
        <w:t xml:space="preserve"> </w:t>
      </w:r>
      <w:r w:rsidRPr="008516D1">
        <w:t>proches</w:t>
      </w:r>
      <w:r>
        <w:t xml:space="preserve"> </w:t>
      </w:r>
      <w:r w:rsidRPr="008516D1">
        <w:t>se</w:t>
      </w:r>
      <w:r>
        <w:t xml:space="preserve"> </w:t>
      </w:r>
      <w:r w:rsidRPr="008516D1">
        <w:t>trouvant</w:t>
      </w:r>
      <w:r>
        <w:t xml:space="preserve"> </w:t>
      </w:r>
      <w:r w:rsidRPr="008516D1">
        <w:t>en</w:t>
      </w:r>
      <w:r>
        <w:t xml:space="preserve"> </w:t>
      </w:r>
      <w:r w:rsidRPr="008516D1">
        <w:t>danger</w:t>
      </w:r>
      <w:r>
        <w:t xml:space="preserve"> </w:t>
      </w:r>
      <w:r w:rsidRPr="008516D1">
        <w:t>en</w:t>
      </w:r>
      <w:r>
        <w:t xml:space="preserve"> </w:t>
      </w:r>
      <w:r w:rsidRPr="008516D1">
        <w:t>raison</w:t>
      </w:r>
      <w:r>
        <w:t xml:space="preserve"> </w:t>
      </w:r>
      <w:r w:rsidRPr="008516D1">
        <w:t>de</w:t>
      </w:r>
      <w:r>
        <w:t xml:space="preserve"> </w:t>
      </w:r>
      <w:r w:rsidRPr="008516D1">
        <w:t>leur</w:t>
      </w:r>
      <w:r>
        <w:t xml:space="preserve"> </w:t>
      </w:r>
      <w:r w:rsidRPr="008516D1">
        <w:t>témoignage.</w:t>
      </w:r>
    </w:p>
    <w:p w14:paraId="346ED7C2" w14:textId="539DBC4C" w:rsidR="00286956" w:rsidRPr="008516D1" w:rsidRDefault="00286956" w:rsidP="00286956">
      <w:pPr>
        <w:pStyle w:val="SingleTxtG"/>
      </w:pPr>
      <w:r w:rsidRPr="008516D1">
        <w:t>75.</w:t>
      </w:r>
      <w:r w:rsidRPr="008516D1">
        <w:tab/>
        <w:t>Parmi</w:t>
      </w:r>
      <w:r>
        <w:t xml:space="preserve"> </w:t>
      </w:r>
      <w:r w:rsidRPr="008516D1">
        <w:t>les</w:t>
      </w:r>
      <w:r>
        <w:t xml:space="preserve"> </w:t>
      </w:r>
      <w:r w:rsidRPr="008516D1">
        <w:t>mesures</w:t>
      </w:r>
      <w:r>
        <w:t xml:space="preserve"> </w:t>
      </w:r>
      <w:r w:rsidRPr="008516D1">
        <w:t>de</w:t>
      </w:r>
      <w:r>
        <w:t xml:space="preserve"> </w:t>
      </w:r>
      <w:r w:rsidRPr="008516D1">
        <w:t>protection</w:t>
      </w:r>
      <w:r>
        <w:t xml:space="preserve"> </w:t>
      </w:r>
      <w:r w:rsidRPr="008516D1">
        <w:t>prévues</w:t>
      </w:r>
      <w:r>
        <w:t xml:space="preserve"> </w:t>
      </w:r>
      <w:r w:rsidRPr="008516D1">
        <w:t>par</w:t>
      </w:r>
      <w:r>
        <w:t xml:space="preserve"> </w:t>
      </w:r>
      <w:r w:rsidRPr="008516D1">
        <w:t>le</w:t>
      </w:r>
      <w:r>
        <w:t xml:space="preserve"> </w:t>
      </w:r>
      <w:r w:rsidRPr="008516D1">
        <w:t>Programme</w:t>
      </w:r>
      <w:r>
        <w:t xml:space="preserve"> </w:t>
      </w:r>
      <w:r w:rsidRPr="008516D1">
        <w:t>de</w:t>
      </w:r>
      <w:r>
        <w:t xml:space="preserve"> </w:t>
      </w:r>
      <w:r w:rsidRPr="008516D1">
        <w:t>protection</w:t>
      </w:r>
      <w:r>
        <w:t xml:space="preserve"> </w:t>
      </w:r>
      <w:r w:rsidRPr="008516D1">
        <w:t>des</w:t>
      </w:r>
      <w:r>
        <w:t xml:space="preserve"> </w:t>
      </w:r>
      <w:r w:rsidRPr="008516D1">
        <w:t>témoins</w:t>
      </w:r>
      <w:r>
        <w:t xml:space="preserve"> </w:t>
      </w:r>
      <w:r w:rsidRPr="008516D1">
        <w:t>dans</w:t>
      </w:r>
      <w:r>
        <w:t xml:space="preserve"> </w:t>
      </w:r>
      <w:r w:rsidRPr="008516D1">
        <w:t>les</w:t>
      </w:r>
      <w:r>
        <w:t xml:space="preserve"> </w:t>
      </w:r>
      <w:r w:rsidRPr="008516D1">
        <w:t>procédures</w:t>
      </w:r>
      <w:r>
        <w:t xml:space="preserve"> </w:t>
      </w:r>
      <w:r w:rsidRPr="008516D1">
        <w:t>pénales,</w:t>
      </w:r>
      <w:r>
        <w:t xml:space="preserve"> </w:t>
      </w:r>
      <w:r w:rsidRPr="008516D1">
        <w:t>il</w:t>
      </w:r>
      <w:r>
        <w:t xml:space="preserve"> </w:t>
      </w:r>
      <w:r w:rsidRPr="008516D1">
        <w:t>convient</w:t>
      </w:r>
      <w:r>
        <w:t xml:space="preserve"> </w:t>
      </w:r>
      <w:r w:rsidRPr="008516D1">
        <w:t>de</w:t>
      </w:r>
      <w:r>
        <w:t xml:space="preserve"> </w:t>
      </w:r>
      <w:r w:rsidRPr="008516D1">
        <w:t>citer,</w:t>
      </w:r>
      <w:r>
        <w:t xml:space="preserve"> </w:t>
      </w:r>
      <w:r w:rsidRPr="008516D1">
        <w:t>entre</w:t>
      </w:r>
      <w:r>
        <w:t xml:space="preserve"> </w:t>
      </w:r>
      <w:r w:rsidRPr="008516D1">
        <w:t>autres,</w:t>
      </w:r>
      <w:r>
        <w:t xml:space="preserve"> </w:t>
      </w:r>
      <w:r w:rsidRPr="008516D1">
        <w:t>l</w:t>
      </w:r>
      <w:r>
        <w:t>’</w:t>
      </w:r>
      <w:r w:rsidRPr="008516D1">
        <w:t>évacuation</w:t>
      </w:r>
      <w:r>
        <w:t xml:space="preserve"> </w:t>
      </w:r>
      <w:r w:rsidRPr="008516D1">
        <w:t>d</w:t>
      </w:r>
      <w:r>
        <w:t>’</w:t>
      </w:r>
      <w:r w:rsidRPr="008516D1">
        <w:t>urgence,</w:t>
      </w:r>
      <w:r>
        <w:t xml:space="preserve"> </w:t>
      </w:r>
      <w:r w:rsidRPr="008516D1">
        <w:t>le</w:t>
      </w:r>
      <w:r>
        <w:t xml:space="preserve"> </w:t>
      </w:r>
      <w:r w:rsidRPr="008516D1">
        <w:t>relogement</w:t>
      </w:r>
      <w:r>
        <w:t xml:space="preserve"> </w:t>
      </w:r>
      <w:r w:rsidRPr="008516D1">
        <w:t>temporaire</w:t>
      </w:r>
      <w:r>
        <w:t xml:space="preserve"> </w:t>
      </w:r>
      <w:r w:rsidRPr="008516D1">
        <w:t>(pour</w:t>
      </w:r>
      <w:r>
        <w:t xml:space="preserve"> </w:t>
      </w:r>
      <w:r w:rsidRPr="008516D1">
        <w:t>une</w:t>
      </w:r>
      <w:r>
        <w:t xml:space="preserve"> </w:t>
      </w:r>
      <w:r w:rsidRPr="008516D1">
        <w:t>durée</w:t>
      </w:r>
      <w:r>
        <w:t xml:space="preserve"> </w:t>
      </w:r>
      <w:r w:rsidRPr="008516D1">
        <w:t>de</w:t>
      </w:r>
      <w:r>
        <w:t xml:space="preserve"> </w:t>
      </w:r>
      <w:r w:rsidR="00ED5AA3">
        <w:t>six</w:t>
      </w:r>
      <w:r>
        <w:t xml:space="preserve"> </w:t>
      </w:r>
      <w:r w:rsidRPr="008516D1">
        <w:t>mois),</w:t>
      </w:r>
      <w:r>
        <w:t xml:space="preserve"> </w:t>
      </w:r>
      <w:r w:rsidRPr="008516D1">
        <w:t>le</w:t>
      </w:r>
      <w:r>
        <w:t xml:space="preserve"> </w:t>
      </w:r>
      <w:r w:rsidRPr="008516D1">
        <w:t>relogement</w:t>
      </w:r>
      <w:r>
        <w:t xml:space="preserve"> </w:t>
      </w:r>
      <w:r w:rsidRPr="008516D1">
        <w:t>définitif,</w:t>
      </w:r>
      <w:r>
        <w:t xml:space="preserve"> </w:t>
      </w:r>
      <w:r w:rsidRPr="008516D1">
        <w:t>le</w:t>
      </w:r>
      <w:r>
        <w:t xml:space="preserve"> </w:t>
      </w:r>
      <w:r w:rsidRPr="008516D1">
        <w:t>changement</w:t>
      </w:r>
      <w:r>
        <w:t xml:space="preserve"> </w:t>
      </w:r>
      <w:r w:rsidRPr="008516D1">
        <w:t>d</w:t>
      </w:r>
      <w:r>
        <w:t>’</w:t>
      </w:r>
      <w:r w:rsidRPr="008516D1">
        <w:t>identité,</w:t>
      </w:r>
      <w:r>
        <w:t xml:space="preserve"> </w:t>
      </w:r>
      <w:r w:rsidRPr="008516D1">
        <w:t>l</w:t>
      </w:r>
      <w:r>
        <w:t>’</w:t>
      </w:r>
      <w:r w:rsidRPr="008516D1">
        <w:t>escorte</w:t>
      </w:r>
      <w:r>
        <w:t xml:space="preserve"> </w:t>
      </w:r>
      <w:r w:rsidRPr="008516D1">
        <w:t>par</w:t>
      </w:r>
      <w:r>
        <w:t xml:space="preserve"> </w:t>
      </w:r>
      <w:r w:rsidRPr="008516D1">
        <w:t>des</w:t>
      </w:r>
      <w:r>
        <w:t xml:space="preserve"> </w:t>
      </w:r>
      <w:r w:rsidRPr="008516D1">
        <w:t>personnes</w:t>
      </w:r>
      <w:r>
        <w:t xml:space="preserve"> </w:t>
      </w:r>
      <w:r w:rsidRPr="008516D1">
        <w:t>en</w:t>
      </w:r>
      <w:r>
        <w:t xml:space="preserve"> </w:t>
      </w:r>
      <w:r w:rsidRPr="008516D1">
        <w:t>qui</w:t>
      </w:r>
      <w:r>
        <w:t xml:space="preserve"> </w:t>
      </w:r>
      <w:r w:rsidRPr="008516D1">
        <w:t>le</w:t>
      </w:r>
      <w:r>
        <w:t xml:space="preserve"> </w:t>
      </w:r>
      <w:r w:rsidRPr="008516D1">
        <w:t>bénéficiaire</w:t>
      </w:r>
      <w:r>
        <w:t xml:space="preserve"> </w:t>
      </w:r>
      <w:r w:rsidRPr="008516D1">
        <w:t>a</w:t>
      </w:r>
      <w:r>
        <w:t xml:space="preserve"> </w:t>
      </w:r>
      <w:r w:rsidRPr="008516D1">
        <w:t>confiance,</w:t>
      </w:r>
      <w:r>
        <w:t xml:space="preserve"> </w:t>
      </w:r>
      <w:r w:rsidRPr="008516D1">
        <w:t>avec</w:t>
      </w:r>
      <w:r>
        <w:t xml:space="preserve"> </w:t>
      </w:r>
      <w:r w:rsidRPr="008516D1">
        <w:t>son</w:t>
      </w:r>
      <w:r>
        <w:t xml:space="preserve"> </w:t>
      </w:r>
      <w:r w:rsidRPr="008516D1">
        <w:t>consentement,</w:t>
      </w:r>
      <w:r>
        <w:t xml:space="preserve"> </w:t>
      </w:r>
      <w:r w:rsidRPr="008516D1">
        <w:t>les</w:t>
      </w:r>
      <w:r>
        <w:t xml:space="preserve"> </w:t>
      </w:r>
      <w:r w:rsidRPr="008516D1">
        <w:t>mesures</w:t>
      </w:r>
      <w:r>
        <w:t xml:space="preserve"> </w:t>
      </w:r>
      <w:r w:rsidRPr="008516D1">
        <w:t>applicables</w:t>
      </w:r>
      <w:r>
        <w:t xml:space="preserve"> </w:t>
      </w:r>
      <w:r w:rsidRPr="008516D1">
        <w:t>aux</w:t>
      </w:r>
      <w:r>
        <w:t xml:space="preserve"> </w:t>
      </w:r>
      <w:r w:rsidRPr="008516D1">
        <w:t>personnes</w:t>
      </w:r>
      <w:r>
        <w:t xml:space="preserve"> </w:t>
      </w:r>
      <w:r w:rsidRPr="008516D1">
        <w:t>placées</w:t>
      </w:r>
      <w:r>
        <w:t xml:space="preserve"> </w:t>
      </w:r>
      <w:r w:rsidRPr="008516D1">
        <w:t>en</w:t>
      </w:r>
      <w:r>
        <w:t xml:space="preserve"> </w:t>
      </w:r>
      <w:r w:rsidRPr="008516D1">
        <w:t>détention</w:t>
      </w:r>
      <w:r>
        <w:t xml:space="preserve"> </w:t>
      </w:r>
      <w:r w:rsidRPr="008516D1">
        <w:t>provisoire</w:t>
      </w:r>
      <w:r>
        <w:t xml:space="preserve"> </w:t>
      </w:r>
      <w:r w:rsidRPr="008516D1">
        <w:t>ou</w:t>
      </w:r>
      <w:r>
        <w:t xml:space="preserve"> </w:t>
      </w:r>
      <w:r w:rsidRPr="008516D1">
        <w:t>condamnées</w:t>
      </w:r>
      <w:r>
        <w:t xml:space="preserve"> </w:t>
      </w:r>
      <w:r w:rsidRPr="008516D1">
        <w:t>à</w:t>
      </w:r>
      <w:r>
        <w:t xml:space="preserve"> </w:t>
      </w:r>
      <w:r w:rsidRPr="008516D1">
        <w:t>une</w:t>
      </w:r>
      <w:r>
        <w:t xml:space="preserve"> </w:t>
      </w:r>
      <w:r w:rsidRPr="008516D1">
        <w:t>peine</w:t>
      </w:r>
      <w:r>
        <w:t xml:space="preserve"> </w:t>
      </w:r>
      <w:r w:rsidRPr="008516D1">
        <w:t>d</w:t>
      </w:r>
      <w:r>
        <w:t>’</w:t>
      </w:r>
      <w:r w:rsidRPr="008516D1">
        <w:t>emprisonnement,</w:t>
      </w:r>
      <w:r>
        <w:t xml:space="preserve"> </w:t>
      </w:r>
      <w:r w:rsidRPr="008516D1">
        <w:t>la</w:t>
      </w:r>
      <w:r>
        <w:t xml:space="preserve"> </w:t>
      </w:r>
      <w:r w:rsidRPr="008516D1">
        <w:t>fourniture</w:t>
      </w:r>
      <w:r>
        <w:t xml:space="preserve"> </w:t>
      </w:r>
      <w:r w:rsidRPr="008516D1">
        <w:t>d</w:t>
      </w:r>
      <w:r>
        <w:t>’</w:t>
      </w:r>
      <w:r w:rsidRPr="008516D1">
        <w:t>équipements</w:t>
      </w:r>
      <w:r>
        <w:t xml:space="preserve"> </w:t>
      </w:r>
      <w:r w:rsidRPr="008516D1">
        <w:t>de</w:t>
      </w:r>
      <w:r>
        <w:t xml:space="preserve"> </w:t>
      </w:r>
      <w:r w:rsidRPr="008516D1">
        <w:t>sécurité</w:t>
      </w:r>
      <w:r>
        <w:t xml:space="preserve"> </w:t>
      </w:r>
      <w:r w:rsidRPr="008516D1">
        <w:t>et</w:t>
      </w:r>
      <w:r>
        <w:t xml:space="preserve"> </w:t>
      </w:r>
      <w:r w:rsidRPr="008516D1">
        <w:t>d</w:t>
      </w:r>
      <w:r>
        <w:t>’</w:t>
      </w:r>
      <w:r w:rsidRPr="008516D1">
        <w:t>équipements</w:t>
      </w:r>
      <w:r>
        <w:t xml:space="preserve"> </w:t>
      </w:r>
      <w:r w:rsidRPr="008516D1">
        <w:t>technologiques.</w:t>
      </w:r>
    </w:p>
    <w:p w14:paraId="1B5803DF" w14:textId="77777777" w:rsidR="00286956" w:rsidRPr="008516D1" w:rsidRDefault="00286956" w:rsidP="00286956">
      <w:pPr>
        <w:pStyle w:val="SingleTxtG"/>
      </w:pPr>
      <w:r w:rsidRPr="008516D1">
        <w:t>76.</w:t>
      </w:r>
      <w:r w:rsidRPr="008516D1">
        <w:tab/>
        <w:t>En</w:t>
      </w:r>
      <w:r>
        <w:t xml:space="preserve"> </w:t>
      </w:r>
      <w:r w:rsidRPr="008516D1">
        <w:t>ce</w:t>
      </w:r>
      <w:r>
        <w:t xml:space="preserve"> </w:t>
      </w:r>
      <w:r w:rsidRPr="008516D1">
        <w:t>qui</w:t>
      </w:r>
      <w:r>
        <w:t xml:space="preserve"> </w:t>
      </w:r>
      <w:r w:rsidRPr="008516D1">
        <w:t>concerne</w:t>
      </w:r>
      <w:r>
        <w:t xml:space="preserve"> </w:t>
      </w:r>
      <w:r w:rsidRPr="008516D1">
        <w:t>la</w:t>
      </w:r>
      <w:r>
        <w:t xml:space="preserve"> </w:t>
      </w:r>
      <w:r w:rsidRPr="008516D1">
        <w:t>protection</w:t>
      </w:r>
      <w:r>
        <w:t xml:space="preserve"> </w:t>
      </w:r>
      <w:r w:rsidRPr="008516D1">
        <w:t>des</w:t>
      </w:r>
      <w:r>
        <w:t xml:space="preserve"> </w:t>
      </w:r>
      <w:r w:rsidRPr="008516D1">
        <w:t>personnes</w:t>
      </w:r>
      <w:r>
        <w:t xml:space="preserve"> </w:t>
      </w:r>
      <w:r w:rsidRPr="008516D1">
        <w:t>et</w:t>
      </w:r>
      <w:r>
        <w:t xml:space="preserve"> </w:t>
      </w:r>
      <w:r w:rsidRPr="008516D1">
        <w:t>des</w:t>
      </w:r>
      <w:r>
        <w:t xml:space="preserve"> </w:t>
      </w:r>
      <w:r w:rsidRPr="008516D1">
        <w:t>organisations</w:t>
      </w:r>
      <w:r>
        <w:t xml:space="preserve"> </w:t>
      </w:r>
      <w:r w:rsidRPr="008516D1">
        <w:t>qui</w:t>
      </w:r>
      <w:r>
        <w:t xml:space="preserve"> </w:t>
      </w:r>
      <w:r w:rsidRPr="008516D1">
        <w:t>défendent</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des</w:t>
      </w:r>
      <w:r>
        <w:t xml:space="preserve"> </w:t>
      </w:r>
      <w:r w:rsidRPr="008516D1">
        <w:t>agents</w:t>
      </w:r>
      <w:r>
        <w:t xml:space="preserve"> </w:t>
      </w:r>
      <w:r w:rsidRPr="008516D1">
        <w:t>des</w:t>
      </w:r>
      <w:r>
        <w:t xml:space="preserve"> </w:t>
      </w:r>
      <w:r w:rsidRPr="008516D1">
        <w:t>services</w:t>
      </w:r>
      <w:r>
        <w:t xml:space="preserve"> </w:t>
      </w:r>
      <w:r w:rsidRPr="008516D1">
        <w:t>judiciaires</w:t>
      </w:r>
      <w:r>
        <w:t xml:space="preserve"> </w:t>
      </w:r>
      <w:r w:rsidRPr="008516D1">
        <w:t>qui</w:t>
      </w:r>
      <w:r>
        <w:t xml:space="preserve"> </w:t>
      </w:r>
      <w:r w:rsidRPr="008516D1">
        <w:t>se</w:t>
      </w:r>
      <w:r>
        <w:t xml:space="preserve"> </w:t>
      </w:r>
      <w:r w:rsidRPr="008516D1">
        <w:t>trouvent</w:t>
      </w:r>
      <w:r>
        <w:t xml:space="preserve"> </w:t>
      </w:r>
      <w:r w:rsidRPr="008516D1">
        <w:t>en</w:t>
      </w:r>
      <w:r>
        <w:t xml:space="preserve"> </w:t>
      </w:r>
      <w:r w:rsidRPr="008516D1">
        <w:t>situation</w:t>
      </w:r>
      <w:r>
        <w:t xml:space="preserve"> </w:t>
      </w:r>
      <w:r w:rsidRPr="008516D1">
        <w:t>de</w:t>
      </w:r>
      <w:r>
        <w:t xml:space="preserve"> </w:t>
      </w:r>
      <w:r w:rsidRPr="008516D1">
        <w:t>danger,</w:t>
      </w:r>
      <w:r>
        <w:t xml:space="preserve"> </w:t>
      </w:r>
      <w:r w:rsidRPr="008516D1">
        <w:t>ou</w:t>
      </w:r>
      <w:r>
        <w:t xml:space="preserve"> </w:t>
      </w:r>
      <w:r w:rsidRPr="008516D1">
        <w:t>font</w:t>
      </w:r>
      <w:r>
        <w:t xml:space="preserve"> </w:t>
      </w:r>
      <w:r w:rsidRPr="008516D1">
        <w:t>l</w:t>
      </w:r>
      <w:r>
        <w:t>’</w:t>
      </w:r>
      <w:r w:rsidRPr="008516D1">
        <w:t>objet</w:t>
      </w:r>
      <w:r>
        <w:t xml:space="preserve"> </w:t>
      </w:r>
      <w:r w:rsidRPr="008516D1">
        <w:t>d</w:t>
      </w:r>
      <w:r>
        <w:t>’</w:t>
      </w:r>
      <w:r w:rsidRPr="008516D1">
        <w:t>intimidations</w:t>
      </w:r>
      <w:r>
        <w:t xml:space="preserve"> </w:t>
      </w:r>
      <w:r w:rsidRPr="008516D1">
        <w:t>ou</w:t>
      </w:r>
      <w:r>
        <w:t xml:space="preserve"> </w:t>
      </w:r>
      <w:r w:rsidRPr="008516D1">
        <w:t>de</w:t>
      </w:r>
      <w:r>
        <w:t xml:space="preserve"> </w:t>
      </w:r>
      <w:r w:rsidRPr="008516D1">
        <w:t>menaces,</w:t>
      </w:r>
      <w:r>
        <w:t xml:space="preserve"> </w:t>
      </w:r>
      <w:r w:rsidRPr="008516D1">
        <w:t>afin</w:t>
      </w:r>
      <w:r>
        <w:t xml:space="preserve"> </w:t>
      </w:r>
      <w:r w:rsidRPr="008516D1">
        <w:t>qu</w:t>
      </w:r>
      <w:r>
        <w:t>’</w:t>
      </w:r>
      <w:r w:rsidRPr="008516D1">
        <w:t>ils</w:t>
      </w:r>
      <w:r>
        <w:t xml:space="preserve"> </w:t>
      </w:r>
      <w:r w:rsidRPr="008516D1">
        <w:t>soient</w:t>
      </w:r>
      <w:r>
        <w:t xml:space="preserve"> </w:t>
      </w:r>
      <w:r w:rsidRPr="008516D1">
        <w:t>en</w:t>
      </w:r>
      <w:r>
        <w:t xml:space="preserve"> </w:t>
      </w:r>
      <w:r w:rsidRPr="008516D1">
        <w:t>mesure</w:t>
      </w:r>
      <w:r>
        <w:t xml:space="preserve"> </w:t>
      </w:r>
      <w:r w:rsidRPr="008516D1">
        <w:t>de</w:t>
      </w:r>
      <w:r>
        <w:t xml:space="preserve"> </w:t>
      </w:r>
      <w:r w:rsidRPr="008516D1">
        <w:t>continuer</w:t>
      </w:r>
      <w:r>
        <w:t xml:space="preserve"> </w:t>
      </w:r>
      <w:r w:rsidRPr="008516D1">
        <w:t>à</w:t>
      </w:r>
      <w:r>
        <w:t xml:space="preserve"> </w:t>
      </w:r>
      <w:r w:rsidRPr="008516D1">
        <w:t>exercer</w:t>
      </w:r>
      <w:r>
        <w:t xml:space="preserve"> </w:t>
      </w:r>
      <w:r w:rsidRPr="008516D1">
        <w:t>librement</w:t>
      </w:r>
      <w:r>
        <w:t xml:space="preserve"> </w:t>
      </w:r>
      <w:r w:rsidRPr="008516D1">
        <w:t>et</w:t>
      </w:r>
      <w:r>
        <w:t xml:space="preserve"> </w:t>
      </w:r>
      <w:r w:rsidRPr="008516D1">
        <w:t>pleinement</w:t>
      </w:r>
      <w:r>
        <w:t xml:space="preserve"> </w:t>
      </w:r>
      <w:r w:rsidRPr="008516D1">
        <w:t>leurs</w:t>
      </w:r>
      <w:r>
        <w:t xml:space="preserve"> </w:t>
      </w:r>
      <w:r w:rsidRPr="008516D1">
        <w:t>fonctions,</w:t>
      </w:r>
      <w:r>
        <w:t xml:space="preserve"> </w:t>
      </w:r>
      <w:r w:rsidRPr="008516D1">
        <w:t>il</w:t>
      </w:r>
      <w:r>
        <w:t xml:space="preserve"> </w:t>
      </w:r>
      <w:r w:rsidRPr="008516D1">
        <w:t>convient</w:t>
      </w:r>
      <w:r>
        <w:t xml:space="preserve"> </w:t>
      </w:r>
      <w:r w:rsidRPr="008516D1">
        <w:t>de</w:t>
      </w:r>
      <w:r>
        <w:t xml:space="preserve"> </w:t>
      </w:r>
      <w:r w:rsidRPr="008516D1">
        <w:t>mentionner</w:t>
      </w:r>
      <w:r>
        <w:t xml:space="preserve"> </w:t>
      </w:r>
      <w:r w:rsidRPr="008516D1">
        <w:t>la</w:t>
      </w:r>
      <w:r>
        <w:t xml:space="preserve"> </w:t>
      </w:r>
      <w:r w:rsidRPr="008516D1">
        <w:t>loi</w:t>
      </w:r>
      <w:r>
        <w:t xml:space="preserve"> </w:t>
      </w:r>
      <w:r w:rsidRPr="008516D1">
        <w:t>relative</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journalistes,</w:t>
      </w:r>
      <w:r>
        <w:t xml:space="preserve"> </w:t>
      </w:r>
      <w:r w:rsidRPr="008516D1">
        <w:t>des</w:t>
      </w:r>
      <w:r>
        <w:t xml:space="preserve"> </w:t>
      </w:r>
      <w:r w:rsidRPr="008516D1">
        <w:t>professionnels</w:t>
      </w:r>
      <w:r>
        <w:t xml:space="preserve"> </w:t>
      </w:r>
      <w:r w:rsidRPr="008516D1">
        <w:t>des</w:t>
      </w:r>
      <w:r>
        <w:t xml:space="preserve"> </w:t>
      </w:r>
      <w:r w:rsidRPr="008516D1">
        <w:t>médias</w:t>
      </w:r>
      <w:r>
        <w:t xml:space="preserve"> </w:t>
      </w:r>
      <w:r w:rsidRPr="008516D1">
        <w:t>et</w:t>
      </w:r>
      <w:r>
        <w:t xml:space="preserve"> </w:t>
      </w:r>
      <w:r w:rsidRPr="008516D1">
        <w:t>des</w:t>
      </w:r>
      <w:r>
        <w:t xml:space="preserve"> </w:t>
      </w:r>
      <w:r w:rsidRPr="008516D1">
        <w:t>agents</w:t>
      </w:r>
      <w:r>
        <w:t xml:space="preserve"> </w:t>
      </w:r>
      <w:r w:rsidRPr="008516D1">
        <w:t>du</w:t>
      </w:r>
      <w:r>
        <w:t xml:space="preserve"> </w:t>
      </w:r>
      <w:r w:rsidRPr="008516D1">
        <w:t>système</w:t>
      </w:r>
      <w:r>
        <w:t xml:space="preserve"> </w:t>
      </w:r>
      <w:r w:rsidRPr="008516D1">
        <w:t>judiciaire</w:t>
      </w:r>
      <w:r>
        <w:t xml:space="preserve"> </w:t>
      </w:r>
      <w:r w:rsidRPr="008516D1">
        <w:t>et</w:t>
      </w:r>
      <w:r>
        <w:t xml:space="preserve"> </w:t>
      </w:r>
      <w:r w:rsidRPr="008516D1">
        <w:t>son</w:t>
      </w:r>
      <w:r>
        <w:t xml:space="preserve"> </w:t>
      </w:r>
      <w:r w:rsidRPr="008516D1">
        <w:t>règlement</w:t>
      </w:r>
      <w:r>
        <w:t xml:space="preserve"> </w:t>
      </w:r>
      <w:r w:rsidRPr="008516D1">
        <w:t>d</w:t>
      </w:r>
      <w:r>
        <w:t>’</w:t>
      </w:r>
      <w:r w:rsidRPr="008516D1">
        <w:t>application</w:t>
      </w:r>
      <w:r w:rsidRPr="008516D1">
        <w:rPr>
          <w:rStyle w:val="Appelnotedebasdep"/>
        </w:rPr>
        <w:footnoteReference w:id="74"/>
      </w:r>
      <w:r w:rsidRPr="008516D1">
        <w:t>,</w:t>
      </w:r>
      <w:r>
        <w:t xml:space="preserve"> </w:t>
      </w:r>
      <w:r w:rsidRPr="008516D1">
        <w:t>tous</w:t>
      </w:r>
      <w:r>
        <w:t xml:space="preserve"> </w:t>
      </w:r>
      <w:r w:rsidRPr="008516D1">
        <w:t>deux</w:t>
      </w:r>
      <w:r>
        <w:t xml:space="preserve"> </w:t>
      </w:r>
      <w:r w:rsidRPr="008516D1">
        <w:t>mis</w:t>
      </w:r>
      <w:r>
        <w:t xml:space="preserve"> </w:t>
      </w:r>
      <w:r w:rsidRPr="008516D1">
        <w:t>en</w:t>
      </w:r>
      <w:r>
        <w:t xml:space="preserve"> </w:t>
      </w:r>
      <w:r w:rsidRPr="008516D1">
        <w:t>œuvre</w:t>
      </w:r>
      <w:r>
        <w:t xml:space="preserve"> </w:t>
      </w:r>
      <w:r w:rsidRPr="008516D1">
        <w:t>par</w:t>
      </w:r>
      <w:r>
        <w:t xml:space="preserve"> </w:t>
      </w:r>
      <w:r w:rsidRPr="008516D1">
        <w:t>toutes</w:t>
      </w:r>
      <w:r>
        <w:t xml:space="preserve"> </w:t>
      </w:r>
      <w:r w:rsidRPr="008516D1">
        <w:t>les</w:t>
      </w:r>
      <w:r>
        <w:t xml:space="preserve"> </w:t>
      </w:r>
      <w:r w:rsidRPr="008516D1">
        <w:t>institutions</w:t>
      </w:r>
      <w:r>
        <w:t xml:space="preserve"> </w:t>
      </w:r>
      <w:r w:rsidRPr="008516D1">
        <w:t>qui</w:t>
      </w:r>
      <w:r>
        <w:t xml:space="preserve"> </w:t>
      </w:r>
      <w:r w:rsidRPr="008516D1">
        <w:t>composent</w:t>
      </w:r>
      <w:r>
        <w:t xml:space="preserve"> </w:t>
      </w:r>
      <w:r w:rsidRPr="008516D1">
        <w:t>le</w:t>
      </w:r>
      <w:r>
        <w:t xml:space="preserve"> </w:t>
      </w:r>
      <w:r w:rsidRPr="008516D1">
        <w:t>Système</w:t>
      </w:r>
      <w:r>
        <w:t xml:space="preserve"> </w:t>
      </w:r>
      <w:r w:rsidRPr="008516D1">
        <w:t>national</w:t>
      </w:r>
      <w:r>
        <w:t xml:space="preserve"> </w:t>
      </w:r>
      <w:r w:rsidRPr="008516D1">
        <w:t>de</w:t>
      </w:r>
      <w:r>
        <w:t xml:space="preserve"> </w:t>
      </w:r>
      <w:r w:rsidRPr="008516D1">
        <w:t>protection,</w:t>
      </w:r>
      <w:r>
        <w:t xml:space="preserve"> </w:t>
      </w:r>
      <w:r w:rsidRPr="008516D1">
        <w:t>et</w:t>
      </w:r>
      <w:r>
        <w:t xml:space="preserve"> </w:t>
      </w:r>
      <w:r w:rsidRPr="008516D1">
        <w:t>sur</w:t>
      </w:r>
      <w:r>
        <w:t xml:space="preserve"> </w:t>
      </w:r>
      <w:r w:rsidRPr="008516D1">
        <w:t>lesquels</w:t>
      </w:r>
      <w:r>
        <w:t xml:space="preserve"> </w:t>
      </w:r>
      <w:r w:rsidRPr="008516D1">
        <w:t>se</w:t>
      </w:r>
      <w:r>
        <w:t xml:space="preserve"> </w:t>
      </w:r>
      <w:r w:rsidRPr="008516D1">
        <w:t>basent</w:t>
      </w:r>
      <w:r>
        <w:t xml:space="preserve"> </w:t>
      </w:r>
      <w:r w:rsidRPr="008516D1">
        <w:t>les</w:t>
      </w:r>
      <w:r>
        <w:t xml:space="preserve"> </w:t>
      </w:r>
      <w:r w:rsidRPr="008516D1">
        <w:t>procédures</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1A99460D" w14:textId="77777777" w:rsidR="00286956" w:rsidRPr="008516D1" w:rsidRDefault="00286956" w:rsidP="00286956">
      <w:pPr>
        <w:pStyle w:val="SingleTxtG"/>
      </w:pPr>
      <w:r w:rsidRPr="008516D1">
        <w:t>77.</w:t>
      </w:r>
      <w:r w:rsidRPr="008516D1">
        <w:tab/>
        <w:t>Afin</w:t>
      </w:r>
      <w:r>
        <w:t xml:space="preserve"> </w:t>
      </w:r>
      <w:r w:rsidRPr="008516D1">
        <w:t>que</w:t>
      </w:r>
      <w:r>
        <w:t xml:space="preserve"> </w:t>
      </w:r>
      <w:r w:rsidRPr="008516D1">
        <w:t>les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sachent</w:t>
      </w:r>
      <w:r>
        <w:t xml:space="preserve"> </w:t>
      </w:r>
      <w:r w:rsidRPr="008516D1">
        <w:t>comment</w:t>
      </w:r>
      <w:r>
        <w:t xml:space="preserve"> </w:t>
      </w:r>
      <w:r w:rsidRPr="008516D1">
        <w:t>fonctionne</w:t>
      </w:r>
      <w:r>
        <w:t xml:space="preserve"> </w:t>
      </w:r>
      <w:r w:rsidRPr="008516D1">
        <w:t>le</w:t>
      </w:r>
      <w:r>
        <w:t xml:space="preserve"> </w:t>
      </w:r>
      <w:r w:rsidRPr="008516D1">
        <w:t>mécanisme</w:t>
      </w:r>
      <w:r>
        <w:t xml:space="preserve"> </w:t>
      </w:r>
      <w:r w:rsidRPr="008516D1">
        <w:t>de</w:t>
      </w:r>
      <w:r>
        <w:t xml:space="preserve"> </w:t>
      </w:r>
      <w:r w:rsidRPr="008516D1">
        <w:t>protection</w:t>
      </w:r>
      <w:r>
        <w:t xml:space="preserve"> </w:t>
      </w:r>
      <w:r w:rsidRPr="008516D1">
        <w:t>et</w:t>
      </w:r>
      <w:r>
        <w:t xml:space="preserve"> </w:t>
      </w:r>
      <w:r w:rsidRPr="008516D1">
        <w:t>ce</w:t>
      </w:r>
      <w:r>
        <w:t xml:space="preserve"> </w:t>
      </w:r>
      <w:r w:rsidRPr="008516D1">
        <w:t>qu</w:t>
      </w:r>
      <w:r>
        <w:t>’</w:t>
      </w:r>
      <w:r w:rsidRPr="008516D1">
        <w:t>il</w:t>
      </w:r>
      <w:r>
        <w:t xml:space="preserve"> </w:t>
      </w:r>
      <w:r w:rsidRPr="008516D1">
        <w:t>faut</w:t>
      </w:r>
      <w:r>
        <w:t xml:space="preserve"> </w:t>
      </w:r>
      <w:r w:rsidRPr="008516D1">
        <w:t>faire</w:t>
      </w:r>
      <w:r>
        <w:t xml:space="preserve"> </w:t>
      </w:r>
      <w:r w:rsidRPr="008516D1">
        <w:t>en</w:t>
      </w:r>
      <w:r>
        <w:t xml:space="preserve"> </w:t>
      </w:r>
      <w:r w:rsidRPr="008516D1">
        <w:t>cas</w:t>
      </w:r>
      <w:r>
        <w:t xml:space="preserve"> </w:t>
      </w:r>
      <w:r w:rsidRPr="008516D1">
        <w:t>de</w:t>
      </w:r>
      <w:r>
        <w:t xml:space="preserve"> </w:t>
      </w:r>
      <w:r w:rsidRPr="008516D1">
        <w:t>risque</w:t>
      </w:r>
      <w:r>
        <w:t xml:space="preserve"> </w:t>
      </w:r>
      <w:r w:rsidRPr="008516D1">
        <w:t>ou</w:t>
      </w:r>
      <w:r>
        <w:t xml:space="preserve"> </w:t>
      </w:r>
      <w:r w:rsidRPr="008516D1">
        <w:t>de</w:t>
      </w:r>
      <w:r>
        <w:t xml:space="preserve"> </w:t>
      </w:r>
      <w:r w:rsidRPr="008516D1">
        <w:t>menace</w:t>
      </w:r>
      <w:r>
        <w:t xml:space="preserve"> </w:t>
      </w:r>
      <w:r w:rsidRPr="008516D1">
        <w:t>pour</w:t>
      </w:r>
      <w:r>
        <w:t xml:space="preserve"> </w:t>
      </w:r>
      <w:r w:rsidRPr="008516D1">
        <w:t>leur</w:t>
      </w:r>
      <w:r>
        <w:t xml:space="preserve"> </w:t>
      </w:r>
      <w:r w:rsidRPr="008516D1">
        <w:t>vie</w:t>
      </w:r>
      <w:r>
        <w:t xml:space="preserve"> </w:t>
      </w:r>
      <w:r w:rsidRPr="008516D1">
        <w:t>et</w:t>
      </w:r>
      <w:r>
        <w:t xml:space="preserve"> </w:t>
      </w:r>
      <w:r w:rsidRPr="008516D1">
        <w:t>leur</w:t>
      </w:r>
      <w:r>
        <w:t xml:space="preserve"> </w:t>
      </w:r>
      <w:r w:rsidRPr="008516D1">
        <w:t>intégrité</w:t>
      </w:r>
      <w:r>
        <w:t xml:space="preserve"> </w:t>
      </w:r>
      <w:r w:rsidRPr="008516D1">
        <w:t>physique,</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organise</w:t>
      </w:r>
      <w:r>
        <w:t xml:space="preserve"> </w:t>
      </w:r>
      <w:r w:rsidRPr="008516D1">
        <w:t>des</w:t>
      </w:r>
      <w:r>
        <w:t xml:space="preserve"> </w:t>
      </w:r>
      <w:r w:rsidRPr="008516D1">
        <w:t>formations</w:t>
      </w:r>
      <w:r>
        <w:t xml:space="preserve"> </w:t>
      </w:r>
      <w:r w:rsidRPr="008516D1">
        <w:t>sur</w:t>
      </w:r>
      <w:r>
        <w:t xml:space="preserve"> </w:t>
      </w:r>
      <w:r w:rsidRPr="008516D1">
        <w:t>la</w:t>
      </w:r>
      <w:r>
        <w:t xml:space="preserve"> </w:t>
      </w:r>
      <w:r w:rsidRPr="008516D1">
        <w:t>loi</w:t>
      </w:r>
      <w:r>
        <w:t xml:space="preserve"> </w:t>
      </w:r>
      <w:r w:rsidRPr="008516D1">
        <w:t>relative</w:t>
      </w:r>
      <w:r>
        <w:t xml:space="preserve"> </w:t>
      </w:r>
      <w:r w:rsidRPr="008516D1">
        <w:t>aux</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sur</w:t>
      </w:r>
      <w:r>
        <w:t xml:space="preserve"> </w:t>
      </w:r>
      <w:r w:rsidRPr="008516D1">
        <w:t>le</w:t>
      </w:r>
      <w:r>
        <w:t xml:space="preserve"> </w:t>
      </w:r>
      <w:r w:rsidRPr="008516D1">
        <w:t>travail</w:t>
      </w:r>
      <w:r>
        <w:t xml:space="preserve"> </w:t>
      </w:r>
      <w:r w:rsidRPr="008516D1">
        <w:t>du</w:t>
      </w:r>
      <w:r>
        <w:t xml:space="preserve"> </w:t>
      </w:r>
      <w:r w:rsidRPr="008516D1">
        <w:t>Mécanisme</w:t>
      </w:r>
      <w:r>
        <w:t xml:space="preserve"> </w:t>
      </w:r>
      <w:r w:rsidRPr="008516D1">
        <w:t>national</w:t>
      </w:r>
      <w:r>
        <w:t xml:space="preserve"> </w:t>
      </w:r>
      <w:r w:rsidRPr="008516D1">
        <w:t>de</w:t>
      </w:r>
      <w:r>
        <w:t xml:space="preserve"> </w:t>
      </w:r>
      <w:r w:rsidRPr="008516D1">
        <w:t>protection</w:t>
      </w:r>
      <w:r>
        <w:t xml:space="preserve"> </w:t>
      </w:r>
      <w:r w:rsidRPr="008516D1">
        <w:t>des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et</w:t>
      </w:r>
      <w:r>
        <w:t xml:space="preserve"> </w:t>
      </w:r>
      <w:r w:rsidRPr="008516D1">
        <w:t>des</w:t>
      </w:r>
      <w:r>
        <w:t xml:space="preserve"> </w:t>
      </w:r>
      <w:r w:rsidRPr="008516D1">
        <w:t>fonctionnaires</w:t>
      </w:r>
      <w:r>
        <w:t xml:space="preserve"> </w:t>
      </w:r>
      <w:r w:rsidRPr="008516D1">
        <w:t>chargés</w:t>
      </w:r>
      <w:r>
        <w:t xml:space="preserve"> </w:t>
      </w:r>
      <w:r w:rsidRPr="008516D1">
        <w:t>de</w:t>
      </w:r>
      <w:r>
        <w:t xml:space="preserve"> </w:t>
      </w:r>
      <w:r w:rsidRPr="008516D1">
        <w:t>l</w:t>
      </w:r>
      <w:r>
        <w:t>’</w:t>
      </w:r>
      <w:r w:rsidRPr="008516D1">
        <w:t>application</w:t>
      </w:r>
      <w:r>
        <w:t xml:space="preserve"> </w:t>
      </w:r>
      <w:r w:rsidRPr="008516D1">
        <w:t>de</w:t>
      </w:r>
      <w:r>
        <w:t xml:space="preserve"> </w:t>
      </w:r>
      <w:r w:rsidRPr="008516D1">
        <w:t>la</w:t>
      </w:r>
      <w:r>
        <w:t xml:space="preserve"> </w:t>
      </w:r>
      <w:r w:rsidRPr="008516D1">
        <w:t>loi.</w:t>
      </w:r>
      <w:r>
        <w:t xml:space="preserve"> </w:t>
      </w:r>
      <w:r w:rsidRPr="008516D1">
        <w:t>Elle</w:t>
      </w:r>
      <w:r>
        <w:t xml:space="preserve"> </w:t>
      </w:r>
      <w:r w:rsidRPr="008516D1">
        <w:t>sensibilise</w:t>
      </w:r>
      <w:r>
        <w:t xml:space="preserve"> </w:t>
      </w:r>
      <w:r w:rsidRPr="008516D1">
        <w:t>également</w:t>
      </w:r>
      <w:r>
        <w:t xml:space="preserve"> </w:t>
      </w:r>
      <w:r w:rsidRPr="008516D1">
        <w:t>le</w:t>
      </w:r>
      <w:r>
        <w:t xml:space="preserve"> </w:t>
      </w:r>
      <w:r w:rsidRPr="008516D1">
        <w:t>grand</w:t>
      </w:r>
      <w:r>
        <w:t xml:space="preserve"> </w:t>
      </w:r>
      <w:r w:rsidRPr="008516D1">
        <w:t>public</w:t>
      </w:r>
      <w:r>
        <w:t xml:space="preserve"> </w:t>
      </w:r>
      <w:r w:rsidRPr="008516D1">
        <w:t>à</w:t>
      </w:r>
      <w:r>
        <w:t xml:space="preserve"> </w:t>
      </w:r>
      <w:r w:rsidRPr="008516D1">
        <w:t>l</w:t>
      </w:r>
      <w:r>
        <w:t>’</w:t>
      </w:r>
      <w:r w:rsidRPr="008516D1">
        <w:t>importance</w:t>
      </w:r>
      <w:r>
        <w:t xml:space="preserve"> </w:t>
      </w:r>
      <w:r w:rsidRPr="008516D1">
        <w:t>du</w:t>
      </w:r>
      <w:r>
        <w:t xml:space="preserve"> </w:t>
      </w:r>
      <w:r w:rsidRPr="008516D1">
        <w:t>travail</w:t>
      </w:r>
      <w:r>
        <w:t xml:space="preserve"> </w:t>
      </w:r>
      <w:r w:rsidRPr="008516D1">
        <w:t>accompli</w:t>
      </w:r>
      <w:r>
        <w:t xml:space="preserve"> </w:t>
      </w:r>
      <w:r w:rsidRPr="008516D1">
        <w:t>par</w:t>
      </w:r>
      <w:r>
        <w:t xml:space="preserve"> </w:t>
      </w:r>
      <w:r w:rsidRPr="008516D1">
        <w:t>les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diffusant</w:t>
      </w:r>
      <w:r>
        <w:t xml:space="preserve"> </w:t>
      </w:r>
      <w:r w:rsidRPr="008516D1">
        <w:t>des</w:t>
      </w:r>
      <w:r>
        <w:t xml:space="preserve"> </w:t>
      </w:r>
      <w:r w:rsidRPr="008516D1">
        <w:t>communiqués</w:t>
      </w:r>
      <w:r>
        <w:t xml:space="preserve"> </w:t>
      </w:r>
      <w:r w:rsidRPr="008516D1">
        <w:t>reconnaissant</w:t>
      </w:r>
      <w:r>
        <w:t xml:space="preserve"> </w:t>
      </w:r>
      <w:r w:rsidRPr="008516D1">
        <w:t>leur</w:t>
      </w:r>
      <w:r>
        <w:t xml:space="preserve"> </w:t>
      </w:r>
      <w:r w:rsidRPr="008516D1">
        <w:t>travail</w:t>
      </w:r>
      <w:r>
        <w:t xml:space="preserve"> </w:t>
      </w:r>
      <w:r w:rsidRPr="008516D1">
        <w:t>et</w:t>
      </w:r>
      <w:r>
        <w:t xml:space="preserve"> </w:t>
      </w:r>
      <w:r w:rsidRPr="008516D1">
        <w:t>soutenant</w:t>
      </w:r>
      <w:r>
        <w:t xml:space="preserve"> </w:t>
      </w:r>
      <w:r w:rsidRPr="008516D1">
        <w:t>la</w:t>
      </w:r>
      <w:r>
        <w:t xml:space="preserve"> </w:t>
      </w:r>
      <w:r w:rsidRPr="008516D1">
        <w:t>lutte</w:t>
      </w:r>
      <w:r>
        <w:t xml:space="preserve"> </w:t>
      </w:r>
      <w:r w:rsidRPr="008516D1">
        <w:t>contre</w:t>
      </w:r>
      <w:r>
        <w:t xml:space="preserve"> </w:t>
      </w:r>
      <w:r w:rsidRPr="008516D1">
        <w:t>la</w:t>
      </w:r>
      <w:r>
        <w:t xml:space="preserve"> </w:t>
      </w:r>
      <w:r w:rsidRPr="008516D1">
        <w:t>discrimination.</w:t>
      </w:r>
    </w:p>
    <w:p w14:paraId="05211181" w14:textId="0A4ED185" w:rsidR="00286956" w:rsidRPr="008516D1" w:rsidRDefault="00286956" w:rsidP="00286956">
      <w:pPr>
        <w:pStyle w:val="SingleTxtG"/>
      </w:pPr>
      <w:r w:rsidRPr="008516D1">
        <w:lastRenderedPageBreak/>
        <w:t>78.</w:t>
      </w:r>
      <w:r w:rsidRPr="008516D1">
        <w:tab/>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la</w:t>
      </w:r>
      <w:r>
        <w:t xml:space="preserve"> </w:t>
      </w:r>
      <w:r w:rsidRPr="008516D1">
        <w:t>décision</w:t>
      </w:r>
      <w:r>
        <w:t xml:space="preserve"> </w:t>
      </w:r>
      <w:r w:rsidRPr="008516D1">
        <w:t>de</w:t>
      </w:r>
      <w:r>
        <w:t xml:space="preserve"> </w:t>
      </w:r>
      <w:r w:rsidRPr="008516D1">
        <w:t>la</w:t>
      </w:r>
      <w:r>
        <w:t xml:space="preserve"> </w:t>
      </w:r>
      <w:r w:rsidR="000B0754" w:rsidRPr="008516D1">
        <w:t>Présidente</w:t>
      </w:r>
      <w:r w:rsidR="000B0754">
        <w:t xml:space="preserve"> </w:t>
      </w:r>
      <w:r w:rsidRPr="008516D1">
        <w:t>de</w:t>
      </w:r>
      <w:r>
        <w:t xml:space="preserve"> </w:t>
      </w:r>
      <w:r w:rsidRPr="008516D1">
        <w:t>la</w:t>
      </w:r>
      <w:r>
        <w:t xml:space="preserve"> </w:t>
      </w:r>
      <w:r w:rsidRPr="008516D1">
        <w:t>Cour</w:t>
      </w:r>
      <w:r>
        <w:t xml:space="preserve"> </w:t>
      </w:r>
      <w:r w:rsidRPr="008516D1">
        <w:t>interaméricaine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du</w:t>
      </w:r>
      <w:r>
        <w:t xml:space="preserve"> </w:t>
      </w:r>
      <w:r w:rsidRPr="008516D1">
        <w:t>6</w:t>
      </w:r>
      <w:r w:rsidR="00ED5AA3">
        <w:t> </w:t>
      </w:r>
      <w:r w:rsidRPr="008516D1">
        <w:t>août</w:t>
      </w:r>
      <w:r>
        <w:t xml:space="preserve"> </w:t>
      </w:r>
      <w:r w:rsidRPr="008516D1">
        <w:t>2020,</w:t>
      </w:r>
      <w:r>
        <w:t xml:space="preserve"> </w:t>
      </w:r>
      <w:r w:rsidRPr="008516D1">
        <w:t>qui</w:t>
      </w:r>
      <w:r>
        <w:t xml:space="preserve"> </w:t>
      </w:r>
      <w:r w:rsidRPr="008516D1">
        <w:t>appelle</w:t>
      </w:r>
      <w:r>
        <w:t xml:space="preserve"> </w:t>
      </w:r>
      <w:r w:rsidRPr="008516D1">
        <w:t>l</w:t>
      </w:r>
      <w:r>
        <w:t>’</w:t>
      </w:r>
      <w:r w:rsidRPr="008516D1">
        <w:t>État</w:t>
      </w:r>
      <w:r>
        <w:t xml:space="preserve"> </w:t>
      </w:r>
      <w:r w:rsidRPr="008516D1">
        <w:t>à</w:t>
      </w:r>
      <w:r>
        <w:t xml:space="preserve"> </w:t>
      </w:r>
      <w:r w:rsidRPr="008516D1">
        <w:t>adopter</w:t>
      </w:r>
      <w:r>
        <w:t xml:space="preserve"> </w:t>
      </w:r>
      <w:r w:rsidRPr="008516D1">
        <w:t>des</w:t>
      </w:r>
      <w:r>
        <w:t xml:space="preserve"> </w:t>
      </w:r>
      <w:r w:rsidRPr="008516D1">
        <w:t>mesures</w:t>
      </w:r>
      <w:r>
        <w:t xml:space="preserve"> </w:t>
      </w:r>
      <w:r w:rsidRPr="008516D1">
        <w:t>adéquates</w:t>
      </w:r>
      <w:r>
        <w:t xml:space="preserve"> </w:t>
      </w:r>
      <w:r w:rsidRPr="008516D1">
        <w:t>pour</w:t>
      </w:r>
      <w:r>
        <w:t xml:space="preserve"> </w:t>
      </w:r>
      <w:r w:rsidRPr="008516D1">
        <w:t>protéger</w:t>
      </w:r>
      <w:r>
        <w:t xml:space="preserve"> </w:t>
      </w:r>
      <w:r w:rsidRPr="008516D1">
        <w:t>la</w:t>
      </w:r>
      <w:r>
        <w:t xml:space="preserve"> </w:t>
      </w:r>
      <w:r w:rsidRPr="008516D1">
        <w:t>vie</w:t>
      </w:r>
      <w:r>
        <w:t xml:space="preserve"> </w:t>
      </w:r>
      <w:r w:rsidRPr="008516D1">
        <w:t>et</w:t>
      </w:r>
      <w:r>
        <w:t xml:space="preserve"> </w:t>
      </w:r>
      <w:r w:rsidRPr="008516D1">
        <w:t>l</w:t>
      </w:r>
      <w:r>
        <w:t>’</w:t>
      </w:r>
      <w:r w:rsidRPr="008516D1">
        <w:t>intégrité</w:t>
      </w:r>
      <w:r>
        <w:t xml:space="preserve"> </w:t>
      </w:r>
      <w:r w:rsidRPr="008516D1">
        <w:t>personnelle</w:t>
      </w:r>
      <w:r>
        <w:t xml:space="preserve"> </w:t>
      </w:r>
      <w:r w:rsidRPr="008516D1">
        <w:t>des</w:t>
      </w:r>
      <w:r>
        <w:t xml:space="preserve"> </w:t>
      </w:r>
      <w:r w:rsidRPr="008516D1">
        <w:t>membres</w:t>
      </w:r>
      <w:r>
        <w:t xml:space="preserve"> </w:t>
      </w:r>
      <w:r w:rsidRPr="008516D1">
        <w:t>des</w:t>
      </w:r>
      <w:r>
        <w:t xml:space="preserve"> </w:t>
      </w:r>
      <w:r w:rsidRPr="008516D1">
        <w:t>communautés</w:t>
      </w:r>
      <w:r>
        <w:t xml:space="preserve"> </w:t>
      </w:r>
      <w:r w:rsidRPr="008516D1">
        <w:t>garifunas</w:t>
      </w:r>
      <w:r>
        <w:t xml:space="preserve"> </w:t>
      </w:r>
      <w:r w:rsidRPr="008516D1">
        <w:t>de</w:t>
      </w:r>
      <w:r>
        <w:t xml:space="preserve"> </w:t>
      </w:r>
      <w:proofErr w:type="spellStart"/>
      <w:r w:rsidRPr="008516D1">
        <w:t>Triunfo</w:t>
      </w:r>
      <w:proofErr w:type="spellEnd"/>
      <w:r>
        <w:t xml:space="preserve"> </w:t>
      </w:r>
      <w:r w:rsidRPr="008516D1">
        <w:t>de</w:t>
      </w:r>
      <w:r>
        <w:t xml:space="preserve"> </w:t>
      </w:r>
      <w:r w:rsidRPr="008516D1">
        <w:t>la</w:t>
      </w:r>
      <w:r>
        <w:t xml:space="preserve"> </w:t>
      </w:r>
      <w:r w:rsidRPr="008516D1">
        <w:t>Cruz</w:t>
      </w:r>
      <w:r>
        <w:t xml:space="preserve"> </w:t>
      </w:r>
      <w:r w:rsidRPr="008516D1">
        <w:t>et</w:t>
      </w:r>
      <w:r>
        <w:t xml:space="preserve"> </w:t>
      </w:r>
      <w:r w:rsidRPr="008516D1">
        <w:t>de</w:t>
      </w:r>
      <w:r>
        <w:t xml:space="preserve"> </w:t>
      </w:r>
      <w:r w:rsidRPr="008516D1">
        <w:t>Punta</w:t>
      </w:r>
      <w:r>
        <w:t xml:space="preserve"> </w:t>
      </w:r>
      <w:proofErr w:type="spellStart"/>
      <w:r w:rsidRPr="008516D1">
        <w:t>Piedra</w:t>
      </w:r>
      <w:proofErr w:type="spellEnd"/>
      <w:r w:rsidRPr="008516D1">
        <w:t>,</w:t>
      </w:r>
      <w:r>
        <w:t xml:space="preserve"> </w:t>
      </w:r>
      <w:r w:rsidRPr="008516D1">
        <w:t>qui</w:t>
      </w:r>
      <w:r>
        <w:t xml:space="preserve"> </w:t>
      </w:r>
      <w:r w:rsidRPr="008516D1">
        <w:t>mènent</w:t>
      </w:r>
      <w:r>
        <w:t xml:space="preserve"> </w:t>
      </w:r>
      <w:r w:rsidRPr="008516D1">
        <w:t>collectivement</w:t>
      </w:r>
      <w:r>
        <w:t xml:space="preserve"> </w:t>
      </w:r>
      <w:r w:rsidRPr="008516D1">
        <w:t>des</w:t>
      </w:r>
      <w:r>
        <w:t xml:space="preserve"> </w:t>
      </w:r>
      <w:r w:rsidRPr="008516D1">
        <w:t>actions</w:t>
      </w:r>
      <w:r>
        <w:t xml:space="preserve"> </w:t>
      </w:r>
      <w:r w:rsidRPr="008516D1">
        <w:t>de</w:t>
      </w:r>
      <w:r>
        <w:t xml:space="preserve"> </w:t>
      </w:r>
      <w:r w:rsidRPr="008516D1">
        <w:t>défense</w:t>
      </w:r>
      <w:r>
        <w:t xml:space="preserve"> </w:t>
      </w:r>
      <w:r w:rsidRPr="008516D1">
        <w:t>des</w:t>
      </w:r>
      <w:r>
        <w:t xml:space="preserve"> </w:t>
      </w:r>
      <w:r w:rsidRPr="008516D1">
        <w:t>droits</w:t>
      </w:r>
      <w:r>
        <w:t xml:space="preserve"> </w:t>
      </w:r>
      <w:r w:rsidRPr="008516D1">
        <w:t>du</w:t>
      </w:r>
      <w:r>
        <w:t xml:space="preserve"> </w:t>
      </w:r>
      <w:r w:rsidRPr="008516D1">
        <w:t>peuple</w:t>
      </w:r>
      <w:r>
        <w:t xml:space="preserve"> </w:t>
      </w:r>
      <w:r w:rsidRPr="008516D1">
        <w:t>garifuna,</w:t>
      </w:r>
      <w:r>
        <w:t xml:space="preserve"> </w:t>
      </w:r>
      <w:r w:rsidRPr="008516D1">
        <w:t>et</w:t>
      </w:r>
      <w:r>
        <w:t xml:space="preserve"> </w:t>
      </w:r>
      <w:r w:rsidRPr="008516D1">
        <w:t>à</w:t>
      </w:r>
      <w:r>
        <w:t xml:space="preserve"> </w:t>
      </w:r>
      <w:r w:rsidRPr="008516D1">
        <w:t>prendre</w:t>
      </w:r>
      <w:r>
        <w:t xml:space="preserve"> </w:t>
      </w:r>
      <w:r w:rsidRPr="008516D1">
        <w:t>toutes</w:t>
      </w:r>
      <w:r>
        <w:t xml:space="preserve"> </w:t>
      </w:r>
      <w:r w:rsidRPr="008516D1">
        <w:t>mesures</w:t>
      </w:r>
      <w:r>
        <w:t xml:space="preserve"> </w:t>
      </w:r>
      <w:r w:rsidRPr="008516D1">
        <w:t>nécessaires</w:t>
      </w:r>
      <w:r>
        <w:t xml:space="preserve"> </w:t>
      </w:r>
      <w:r w:rsidRPr="008516D1">
        <w:t>et</w:t>
      </w:r>
      <w:r>
        <w:t xml:space="preserve"> </w:t>
      </w:r>
      <w:r w:rsidRPr="008516D1">
        <w:t>appropriées</w:t>
      </w:r>
      <w:r>
        <w:t xml:space="preserve"> </w:t>
      </w:r>
      <w:r w:rsidRPr="008516D1">
        <w:t>pour</w:t>
      </w:r>
      <w:r>
        <w:t xml:space="preserve"> </w:t>
      </w:r>
      <w:r w:rsidRPr="008516D1">
        <w:t>localiser</w:t>
      </w:r>
      <w:r>
        <w:t xml:space="preserve"> </w:t>
      </w:r>
      <w:r w:rsidRPr="008516D1">
        <w:t>quatre</w:t>
      </w:r>
      <w:r>
        <w:t xml:space="preserve"> </w:t>
      </w:r>
      <w:r w:rsidRPr="008516D1">
        <w:t>membres</w:t>
      </w:r>
      <w:r>
        <w:t xml:space="preserve"> </w:t>
      </w:r>
      <w:r w:rsidRPr="008516D1">
        <w:t>de</w:t>
      </w:r>
      <w:r>
        <w:t xml:space="preserve"> </w:t>
      </w:r>
      <w:r w:rsidRPr="008516D1">
        <w:t>la</w:t>
      </w:r>
      <w:r>
        <w:t xml:space="preserve"> </w:t>
      </w:r>
      <w:r w:rsidRPr="008516D1">
        <w:t>communauté</w:t>
      </w:r>
      <w:r>
        <w:t xml:space="preserve"> </w:t>
      </w:r>
      <w:r w:rsidRPr="008516D1">
        <w:t>garifuna</w:t>
      </w:r>
      <w:r>
        <w:t xml:space="preserve"> </w:t>
      </w:r>
      <w:r w:rsidRPr="008516D1">
        <w:t>disparus</w:t>
      </w:r>
      <w:r>
        <w:t xml:space="preserve"> </w:t>
      </w:r>
      <w:r w:rsidRPr="008516D1">
        <w:t>depuis</w:t>
      </w:r>
      <w:r>
        <w:t xml:space="preserve"> </w:t>
      </w:r>
      <w:r w:rsidRPr="008516D1">
        <w:t>juillet</w:t>
      </w:r>
      <w:r>
        <w:t xml:space="preserve"> </w:t>
      </w:r>
      <w:r w:rsidRPr="008516D1">
        <w:t>2020,</w:t>
      </w:r>
      <w:r>
        <w:t xml:space="preserve"> </w:t>
      </w:r>
      <w:r w:rsidRPr="008516D1">
        <w:t>a</w:t>
      </w:r>
      <w:r>
        <w:t xml:space="preserve"> </w:t>
      </w:r>
      <w:r w:rsidRPr="008516D1">
        <w:t>été</w:t>
      </w:r>
      <w:r>
        <w:t xml:space="preserve"> </w:t>
      </w:r>
      <w:r w:rsidRPr="008516D1">
        <w:t>publiée</w:t>
      </w:r>
      <w:r>
        <w:t xml:space="preserve"> </w:t>
      </w:r>
      <w:r w:rsidRPr="008516D1">
        <w:t>sur</w:t>
      </w:r>
      <w:r>
        <w:t xml:space="preserve"> </w:t>
      </w:r>
      <w:r w:rsidRPr="008516D1">
        <w:t>le</w:t>
      </w:r>
      <w:r>
        <w:t xml:space="preserve"> </w:t>
      </w:r>
      <w:r w:rsidRPr="008516D1">
        <w:t>site</w:t>
      </w:r>
      <w:r>
        <w:t xml:space="preserve"> </w:t>
      </w:r>
      <w:r w:rsidRPr="008516D1">
        <w:t>officiel</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traduite</w:t>
      </w:r>
      <w:r>
        <w:t xml:space="preserve"> </w:t>
      </w:r>
      <w:r w:rsidRPr="008516D1">
        <w:t>en</w:t>
      </w:r>
      <w:r>
        <w:t xml:space="preserve"> </w:t>
      </w:r>
      <w:r w:rsidRPr="008516D1">
        <w:t>langue</w:t>
      </w:r>
      <w:r>
        <w:t xml:space="preserve"> </w:t>
      </w:r>
      <w:r w:rsidRPr="008516D1">
        <w:t>garifuna,</w:t>
      </w:r>
      <w:r>
        <w:t xml:space="preserve"> </w:t>
      </w:r>
      <w:r w:rsidRPr="008516D1">
        <w:t>afin</w:t>
      </w:r>
      <w:r>
        <w:t xml:space="preserve"> </w:t>
      </w:r>
      <w:r w:rsidRPr="008516D1">
        <w:t>que</w:t>
      </w:r>
      <w:r>
        <w:t xml:space="preserve"> </w:t>
      </w:r>
      <w:r w:rsidRPr="008516D1">
        <w:t>les</w:t>
      </w:r>
      <w:r>
        <w:t xml:space="preserve"> </w:t>
      </w:r>
      <w:r w:rsidRPr="008516D1">
        <w:t>citoyens</w:t>
      </w:r>
      <w:r>
        <w:t xml:space="preserve"> </w:t>
      </w:r>
      <w:r w:rsidRPr="008516D1">
        <w:t>en</w:t>
      </w:r>
      <w:r>
        <w:t xml:space="preserve"> </w:t>
      </w:r>
      <w:r w:rsidRPr="008516D1">
        <w:t>soient</w:t>
      </w:r>
      <w:r>
        <w:t xml:space="preserve"> </w:t>
      </w:r>
      <w:r w:rsidRPr="008516D1">
        <w:t>informés</w:t>
      </w:r>
      <w:r w:rsidRPr="008516D1">
        <w:rPr>
          <w:rStyle w:val="Appelnotedebasdep"/>
        </w:rPr>
        <w:footnoteReference w:id="75"/>
      </w:r>
      <w:r w:rsidRPr="008516D1">
        <w:t>.</w:t>
      </w:r>
    </w:p>
    <w:p w14:paraId="60A93EDA" w14:textId="061AA7E9" w:rsidR="00286956" w:rsidRPr="008516D1" w:rsidRDefault="00286956" w:rsidP="00286956">
      <w:pPr>
        <w:pStyle w:val="SingleTxtG"/>
      </w:pPr>
      <w:r w:rsidRPr="008516D1">
        <w:t>79.</w:t>
      </w:r>
      <w:r w:rsidRPr="008516D1">
        <w:tab/>
        <w:t>Avec</w:t>
      </w:r>
      <w:r>
        <w:t xml:space="preserve"> </w:t>
      </w:r>
      <w:r w:rsidRPr="008516D1">
        <w:t>l</w:t>
      </w:r>
      <w:r>
        <w:t>’</w:t>
      </w:r>
      <w:r w:rsidRPr="008516D1">
        <w:t>assistance</w:t>
      </w:r>
      <w:r>
        <w:t xml:space="preserve"> </w:t>
      </w:r>
      <w:r w:rsidRPr="008516D1">
        <w:t>technique</w:t>
      </w:r>
      <w:r>
        <w:t xml:space="preserve"> </w:t>
      </w:r>
      <w:r w:rsidRPr="008516D1">
        <w:t>de</w:t>
      </w:r>
      <w:r>
        <w:t xml:space="preserve"> </w:t>
      </w:r>
      <w:r w:rsidRPr="008516D1">
        <w:t>l</w:t>
      </w:r>
      <w:r>
        <w:t>’</w:t>
      </w:r>
      <w:r w:rsidRPr="008516D1">
        <w:t>Union</w:t>
      </w:r>
      <w:r>
        <w:t xml:space="preserve"> </w:t>
      </w:r>
      <w:r w:rsidRPr="008516D1">
        <w:t>européenne</w:t>
      </w:r>
      <w:r>
        <w:t xml:space="preserve"> </w:t>
      </w:r>
      <w:r w:rsidRPr="008516D1">
        <w:t>(2016)</w:t>
      </w:r>
      <w:r>
        <w:t xml:space="preserve"> </w:t>
      </w:r>
      <w:r w:rsidRPr="008516D1">
        <w:t>et</w:t>
      </w:r>
      <w:r>
        <w:t xml:space="preserve"> </w:t>
      </w:r>
      <w:r w:rsidRPr="008516D1">
        <w:t>de</w:t>
      </w:r>
      <w:r>
        <w:t xml:space="preserve"> </w:t>
      </w:r>
      <w:r w:rsidRPr="008516D1">
        <w:t>l</w:t>
      </w:r>
      <w:r>
        <w:t>’</w:t>
      </w:r>
      <w:r w:rsidRPr="008516D1">
        <w:t>Agence</w:t>
      </w:r>
      <w:r>
        <w:t xml:space="preserve"> </w:t>
      </w:r>
      <w:r w:rsidRPr="008516D1">
        <w:t>des</w:t>
      </w:r>
      <w:r>
        <w:t xml:space="preserve"> </w:t>
      </w:r>
      <w:r w:rsidRPr="008516D1">
        <w:t>États</w:t>
      </w:r>
      <w:r w:rsidR="000B0754">
        <w:noBreakHyphen/>
      </w:r>
      <w:r w:rsidRPr="008516D1">
        <w:t>Unis</w:t>
      </w:r>
      <w:r>
        <w:t xml:space="preserve"> </w:t>
      </w:r>
      <w:r w:rsidRPr="008516D1">
        <w:t>pour</w:t>
      </w:r>
      <w:r>
        <w:t xml:space="preserve"> </w:t>
      </w:r>
      <w:r w:rsidRPr="008516D1">
        <w:t>le</w:t>
      </w:r>
      <w:r>
        <w:t xml:space="preserve"> </w:t>
      </w:r>
      <w:r w:rsidRPr="008516D1">
        <w:t>développement</w:t>
      </w:r>
      <w:r>
        <w:t xml:space="preserve"> </w:t>
      </w:r>
      <w:r w:rsidRPr="008516D1">
        <w:t>international</w:t>
      </w:r>
      <w:r>
        <w:t xml:space="preserve"> </w:t>
      </w:r>
      <w:r w:rsidRPr="008516D1">
        <w:t>(2017-2019),</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a</w:t>
      </w:r>
      <w:r>
        <w:t xml:space="preserve"> </w:t>
      </w:r>
      <w:r w:rsidRPr="008516D1">
        <w:t>créé</w:t>
      </w:r>
      <w:r>
        <w:t xml:space="preserve"> </w:t>
      </w:r>
      <w:r w:rsidRPr="008516D1">
        <w:t>et</w:t>
      </w:r>
      <w:r>
        <w:t xml:space="preserve"> </w:t>
      </w:r>
      <w:r w:rsidRPr="008516D1">
        <w:t>renforcé</w:t>
      </w:r>
      <w:r>
        <w:t xml:space="preserve"> </w:t>
      </w:r>
      <w:r w:rsidRPr="008516D1">
        <w:t>l</w:t>
      </w:r>
      <w:r>
        <w:t>’</w:t>
      </w:r>
      <w:r w:rsidRPr="008516D1">
        <w:t>Unité</w:t>
      </w:r>
      <w:r>
        <w:t xml:space="preserve"> </w:t>
      </w:r>
      <w:r w:rsidRPr="008516D1">
        <w:t>de</w:t>
      </w:r>
      <w:r>
        <w:t xml:space="preserve"> </w:t>
      </w:r>
      <w:r w:rsidRPr="008516D1">
        <w:t>recueil</w:t>
      </w:r>
      <w:r>
        <w:t xml:space="preserve"> </w:t>
      </w:r>
      <w:r w:rsidRPr="008516D1">
        <w:t>des</w:t>
      </w:r>
      <w:r>
        <w:t xml:space="preserve"> </w:t>
      </w:r>
      <w:r w:rsidRPr="008516D1">
        <w:t>plaintes</w:t>
      </w:r>
      <w:r>
        <w:t xml:space="preserve"> </w:t>
      </w:r>
      <w:r w:rsidRPr="008516D1">
        <w:t>et</w:t>
      </w:r>
      <w:r>
        <w:t xml:space="preserve"> </w:t>
      </w:r>
      <w:r w:rsidRPr="008516D1">
        <w:t>d</w:t>
      </w:r>
      <w:r>
        <w:t>’</w:t>
      </w:r>
      <w:r w:rsidRPr="008516D1">
        <w:t>intervention</w:t>
      </w:r>
      <w:r>
        <w:t xml:space="preserve"> </w:t>
      </w:r>
      <w:r w:rsidRPr="008516D1">
        <w:t>immédiate,</w:t>
      </w:r>
      <w:r>
        <w:t xml:space="preserve"> </w:t>
      </w:r>
      <w:r w:rsidRPr="008516D1">
        <w:t>l</w:t>
      </w:r>
      <w:r>
        <w:t>’</w:t>
      </w:r>
      <w:r w:rsidRPr="008516D1">
        <w:t>Unité</w:t>
      </w:r>
      <w:r>
        <w:t xml:space="preserve"> </w:t>
      </w:r>
      <w:r w:rsidRPr="008516D1">
        <w:t>d</w:t>
      </w:r>
      <w:r>
        <w:t>’</w:t>
      </w:r>
      <w:r w:rsidRPr="008516D1">
        <w:t>analyse</w:t>
      </w:r>
      <w:r>
        <w:t xml:space="preserve"> </w:t>
      </w:r>
      <w:r w:rsidRPr="008516D1">
        <w:t>des</w:t>
      </w:r>
      <w:r>
        <w:t xml:space="preserve"> </w:t>
      </w:r>
      <w:r w:rsidRPr="008516D1">
        <w:t>risques</w:t>
      </w:r>
      <w:r>
        <w:t xml:space="preserve"> </w:t>
      </w:r>
      <w:r w:rsidRPr="008516D1">
        <w:t>et</w:t>
      </w:r>
      <w:r>
        <w:t xml:space="preserve"> </w:t>
      </w:r>
      <w:r w:rsidRPr="008516D1">
        <w:t>l</w:t>
      </w:r>
      <w:r>
        <w:t>’</w:t>
      </w:r>
      <w:r w:rsidRPr="008516D1">
        <w:t>Unité</w:t>
      </w:r>
      <w:r>
        <w:t xml:space="preserve"> </w:t>
      </w:r>
      <w:r w:rsidRPr="008516D1">
        <w:t>de</w:t>
      </w:r>
      <w:r>
        <w:t xml:space="preserve"> </w:t>
      </w:r>
      <w:r w:rsidRPr="008516D1">
        <w:t>mise</w:t>
      </w:r>
      <w:r>
        <w:t xml:space="preserve"> </w:t>
      </w:r>
      <w:r w:rsidRPr="008516D1">
        <w:t>en</w:t>
      </w:r>
      <w:r>
        <w:t xml:space="preserve"> </w:t>
      </w:r>
      <w:r w:rsidRPr="008516D1">
        <w:t>œuvre</w:t>
      </w:r>
      <w:r>
        <w:t xml:space="preserve"> </w:t>
      </w:r>
      <w:r w:rsidRPr="008516D1">
        <w:t>et</w:t>
      </w:r>
      <w:r>
        <w:t xml:space="preserve"> </w:t>
      </w:r>
      <w:r w:rsidRPr="008516D1">
        <w:t>de</w:t>
      </w:r>
      <w:r>
        <w:t xml:space="preserve"> </w:t>
      </w:r>
      <w:r w:rsidRPr="008516D1">
        <w:t>suivi.</w:t>
      </w:r>
      <w:r>
        <w:t xml:space="preserve"> </w:t>
      </w:r>
      <w:r w:rsidRPr="008516D1">
        <w:t>L</w:t>
      </w:r>
      <w:r>
        <w:t>’</w:t>
      </w:r>
      <w:r w:rsidRPr="008516D1">
        <w:t>Unité</w:t>
      </w:r>
      <w:r>
        <w:t xml:space="preserve"> </w:t>
      </w:r>
      <w:r w:rsidRPr="008516D1">
        <w:t>chargée</w:t>
      </w:r>
      <w:r>
        <w:t xml:space="preserve"> </w:t>
      </w:r>
      <w:r w:rsidRPr="008516D1">
        <w:t>de</w:t>
      </w:r>
      <w:r>
        <w:t xml:space="preserve"> </w:t>
      </w:r>
      <w:r w:rsidRPr="008516D1">
        <w:t>la</w:t>
      </w:r>
      <w:r>
        <w:t xml:space="preserve"> </w:t>
      </w:r>
      <w:r w:rsidRPr="008516D1">
        <w:t>prévention</w:t>
      </w:r>
      <w:r>
        <w:t xml:space="preserve"> </w:t>
      </w:r>
      <w:r w:rsidRPr="008516D1">
        <w:t>et</w:t>
      </w:r>
      <w:r>
        <w:t xml:space="preserve"> </w:t>
      </w:r>
      <w:r w:rsidRPr="008516D1">
        <w:t>de</w:t>
      </w:r>
      <w:r>
        <w:t xml:space="preserve"> </w:t>
      </w:r>
      <w:r w:rsidRPr="008516D1">
        <w:t>l</w:t>
      </w:r>
      <w:r>
        <w:t>’</w:t>
      </w:r>
      <w:r w:rsidRPr="008516D1">
        <w:t>analyse</w:t>
      </w:r>
      <w:r>
        <w:t xml:space="preserve"> </w:t>
      </w:r>
      <w:r w:rsidRPr="008516D1">
        <w:t>du</w:t>
      </w:r>
      <w:r>
        <w:t xml:space="preserve"> </w:t>
      </w:r>
      <w:r w:rsidRPr="008516D1">
        <w:t>contexte</w:t>
      </w:r>
      <w:r>
        <w:t xml:space="preserve"> </w:t>
      </w:r>
      <w:r w:rsidRPr="008516D1">
        <w:t>a</w:t>
      </w:r>
      <w:r>
        <w:t xml:space="preserve"> </w:t>
      </w:r>
      <w:r w:rsidRPr="008516D1">
        <w:t>été</w:t>
      </w:r>
      <w:r>
        <w:t xml:space="preserve"> </w:t>
      </w:r>
      <w:r w:rsidRPr="008516D1">
        <w:t>créée</w:t>
      </w:r>
      <w:r>
        <w:t xml:space="preserve"> </w:t>
      </w:r>
      <w:r w:rsidRPr="008516D1">
        <w:t>en</w:t>
      </w:r>
      <w:r>
        <w:t xml:space="preserve"> </w:t>
      </w:r>
      <w:r w:rsidRPr="008516D1">
        <w:t>mai</w:t>
      </w:r>
      <w:r>
        <w:t xml:space="preserve"> </w:t>
      </w:r>
      <w:r w:rsidRPr="008516D1">
        <w:t>2018.</w:t>
      </w:r>
    </w:p>
    <w:p w14:paraId="57DD2BDA" w14:textId="711C4485" w:rsidR="00286956" w:rsidRPr="008516D1" w:rsidRDefault="00286956" w:rsidP="00286956">
      <w:pPr>
        <w:pStyle w:val="SingleTxtG"/>
      </w:pPr>
      <w:r w:rsidRPr="008516D1">
        <w:t>80.</w:t>
      </w:r>
      <w:r w:rsidRPr="008516D1">
        <w:tab/>
        <w:t>Une</w:t>
      </w:r>
      <w:r>
        <w:t xml:space="preserve"> </w:t>
      </w:r>
      <w:r w:rsidRPr="008516D1">
        <w:t>méthode</w:t>
      </w:r>
      <w:r>
        <w:t xml:space="preserve"> </w:t>
      </w:r>
      <w:r w:rsidRPr="008516D1">
        <w:t>d</w:t>
      </w:r>
      <w:r>
        <w:t>’</w:t>
      </w:r>
      <w:r w:rsidRPr="008516D1">
        <w:t>analyse</w:t>
      </w:r>
      <w:r>
        <w:t xml:space="preserve"> </w:t>
      </w:r>
      <w:r w:rsidRPr="008516D1">
        <w:t>du</w:t>
      </w:r>
      <w:r>
        <w:t xml:space="preserve"> </w:t>
      </w:r>
      <w:r w:rsidRPr="008516D1">
        <w:t>contexte</w:t>
      </w:r>
      <w:r>
        <w:t xml:space="preserve"> </w:t>
      </w:r>
      <w:r w:rsidRPr="008516D1">
        <w:t>et</w:t>
      </w:r>
      <w:r>
        <w:t xml:space="preserve"> </w:t>
      </w:r>
      <w:r w:rsidRPr="008516D1">
        <w:t>des</w:t>
      </w:r>
      <w:r>
        <w:t xml:space="preserve"> </w:t>
      </w:r>
      <w:r w:rsidRPr="008516D1">
        <w:t>risques</w:t>
      </w:r>
      <w:r>
        <w:t xml:space="preserve"> </w:t>
      </w:r>
      <w:r w:rsidRPr="008516D1">
        <w:t>a</w:t>
      </w:r>
      <w:r>
        <w:t xml:space="preserve"> </w:t>
      </w:r>
      <w:r w:rsidRPr="008516D1">
        <w:t>été</w:t>
      </w:r>
      <w:r>
        <w:t xml:space="preserve"> </w:t>
      </w:r>
      <w:r w:rsidRPr="008516D1">
        <w:t>élaborée</w:t>
      </w:r>
      <w:r>
        <w:t xml:space="preserve"> </w:t>
      </w:r>
      <w:r w:rsidRPr="008516D1">
        <w:t>pour</w:t>
      </w:r>
      <w:r>
        <w:t xml:space="preserve"> </w:t>
      </w:r>
      <w:r w:rsidRPr="008516D1">
        <w:t>déterminer</w:t>
      </w:r>
      <w:r>
        <w:t xml:space="preserve"> </w:t>
      </w:r>
      <w:r w:rsidRPr="008516D1">
        <w:t>les</w:t>
      </w:r>
      <w:r>
        <w:t xml:space="preserve"> </w:t>
      </w:r>
      <w:r w:rsidRPr="008516D1">
        <w:t>circonstances</w:t>
      </w:r>
      <w:r>
        <w:t xml:space="preserve"> </w:t>
      </w:r>
      <w:r w:rsidRPr="008516D1">
        <w:t>dans</w:t>
      </w:r>
      <w:r>
        <w:t xml:space="preserve"> </w:t>
      </w:r>
      <w:r w:rsidRPr="008516D1">
        <w:t>lesquelles</w:t>
      </w:r>
      <w:r>
        <w:t xml:space="preserve"> </w:t>
      </w:r>
      <w:r w:rsidRPr="008516D1">
        <w:t>les</w:t>
      </w:r>
      <w:r>
        <w:t xml:space="preserve"> </w:t>
      </w:r>
      <w:r w:rsidRPr="008516D1">
        <w:t>défenseurs</w:t>
      </w:r>
      <w:r>
        <w:t xml:space="preserve"> </w:t>
      </w:r>
      <w:r w:rsidRPr="008516D1">
        <w:t>exercent</w:t>
      </w:r>
      <w:r>
        <w:t xml:space="preserve"> </w:t>
      </w:r>
      <w:r w:rsidRPr="008516D1">
        <w:t>leur</w:t>
      </w:r>
      <w:r>
        <w:t xml:space="preserve"> </w:t>
      </w:r>
      <w:r w:rsidRPr="008516D1">
        <w:t>activité</w:t>
      </w:r>
      <w:r>
        <w:t xml:space="preserve"> </w:t>
      </w:r>
      <w:r w:rsidRPr="008516D1">
        <w:t>et</w:t>
      </w:r>
      <w:r>
        <w:t xml:space="preserve"> </w:t>
      </w:r>
      <w:r w:rsidRPr="008516D1">
        <w:t>les</w:t>
      </w:r>
      <w:r>
        <w:t xml:space="preserve"> </w:t>
      </w:r>
      <w:r w:rsidRPr="008516D1">
        <w:t>types</w:t>
      </w:r>
      <w:r>
        <w:t xml:space="preserve"> </w:t>
      </w:r>
      <w:r w:rsidRPr="008516D1">
        <w:t>de</w:t>
      </w:r>
      <w:r>
        <w:t xml:space="preserve"> </w:t>
      </w:r>
      <w:r w:rsidRPr="008516D1">
        <w:t>risque</w:t>
      </w:r>
      <w:r>
        <w:t xml:space="preserve"> </w:t>
      </w:r>
      <w:r w:rsidRPr="008516D1">
        <w:t>auxquels</w:t>
      </w:r>
      <w:r>
        <w:t xml:space="preserve"> </w:t>
      </w:r>
      <w:r w:rsidRPr="008516D1">
        <w:t>ils</w:t>
      </w:r>
      <w:r>
        <w:t xml:space="preserve"> </w:t>
      </w:r>
      <w:r w:rsidRPr="008516D1">
        <w:t>sont</w:t>
      </w:r>
      <w:r>
        <w:t xml:space="preserve"> </w:t>
      </w:r>
      <w:r w:rsidRPr="008516D1">
        <w:t>exposés.</w:t>
      </w:r>
      <w:r>
        <w:t xml:space="preserve"> </w:t>
      </w:r>
      <w:r w:rsidRPr="008516D1">
        <w:t>Sur</w:t>
      </w:r>
      <w:r>
        <w:t xml:space="preserve"> </w:t>
      </w:r>
      <w:r w:rsidRPr="008516D1">
        <w:t>cette</w:t>
      </w:r>
      <w:r>
        <w:t xml:space="preserve"> </w:t>
      </w:r>
      <w:r w:rsidRPr="008516D1">
        <w:t>base,</w:t>
      </w:r>
      <w:r>
        <w:t xml:space="preserve"> </w:t>
      </w:r>
      <w:r w:rsidRPr="008516D1">
        <w:t>entre</w:t>
      </w:r>
      <w:r>
        <w:t xml:space="preserve"> </w:t>
      </w:r>
      <w:r w:rsidRPr="008516D1">
        <w:t>2018</w:t>
      </w:r>
      <w:r>
        <w:t xml:space="preserve"> </w:t>
      </w:r>
      <w:r w:rsidRPr="008516D1">
        <w:t>et</w:t>
      </w:r>
      <w:r>
        <w:t xml:space="preserve"> </w:t>
      </w:r>
      <w:r w:rsidRPr="008516D1">
        <w:t>mai</w:t>
      </w:r>
      <w:r>
        <w:t xml:space="preserve"> </w:t>
      </w:r>
      <w:r w:rsidRPr="008516D1">
        <w:t>2021,</w:t>
      </w:r>
      <w:r>
        <w:t xml:space="preserve"> </w:t>
      </w:r>
      <w:r w:rsidRPr="008516D1">
        <w:t>l</w:t>
      </w:r>
      <w:r>
        <w:t>’</w:t>
      </w:r>
      <w:r w:rsidRPr="008516D1">
        <w:t>Unité</w:t>
      </w:r>
      <w:r>
        <w:t xml:space="preserve"> </w:t>
      </w:r>
      <w:r w:rsidRPr="008516D1">
        <w:t>chargée</w:t>
      </w:r>
      <w:r>
        <w:t xml:space="preserve"> </w:t>
      </w:r>
      <w:r w:rsidRPr="008516D1">
        <w:t>de</w:t>
      </w:r>
      <w:r>
        <w:t xml:space="preserve"> </w:t>
      </w:r>
      <w:r w:rsidRPr="008516D1">
        <w:t>la</w:t>
      </w:r>
      <w:r>
        <w:t xml:space="preserve"> </w:t>
      </w:r>
      <w:r w:rsidRPr="008516D1">
        <w:t>prévention</w:t>
      </w:r>
      <w:r>
        <w:t xml:space="preserve"> </w:t>
      </w:r>
      <w:r w:rsidRPr="008516D1">
        <w:t>et</w:t>
      </w:r>
      <w:r>
        <w:t xml:space="preserve"> </w:t>
      </w:r>
      <w:r w:rsidRPr="008516D1">
        <w:t>de</w:t>
      </w:r>
      <w:r>
        <w:t xml:space="preserve"> </w:t>
      </w:r>
      <w:r w:rsidRPr="008516D1">
        <w:t>l</w:t>
      </w:r>
      <w:r>
        <w:t>’</w:t>
      </w:r>
      <w:r w:rsidRPr="008516D1">
        <w:t>analyse</w:t>
      </w:r>
      <w:r>
        <w:t xml:space="preserve"> </w:t>
      </w:r>
      <w:r w:rsidRPr="008516D1">
        <w:t>du</w:t>
      </w:r>
      <w:r>
        <w:t xml:space="preserve"> </w:t>
      </w:r>
      <w:r w:rsidRPr="008516D1">
        <w:t>contexte</w:t>
      </w:r>
      <w:r>
        <w:t xml:space="preserve"> </w:t>
      </w:r>
      <w:r w:rsidRPr="008516D1">
        <w:t>a</w:t>
      </w:r>
      <w:r>
        <w:t xml:space="preserve"> </w:t>
      </w:r>
      <w:r w:rsidRPr="008516D1">
        <w:t>élaboré</w:t>
      </w:r>
      <w:r>
        <w:t xml:space="preserve"> </w:t>
      </w:r>
      <w:r w:rsidRPr="008516D1">
        <w:t>14</w:t>
      </w:r>
      <w:r w:rsidR="00ED5AA3">
        <w:t> </w:t>
      </w:r>
      <w:r w:rsidRPr="008516D1">
        <w:t>plans</w:t>
      </w:r>
      <w:r>
        <w:t xml:space="preserve"> </w:t>
      </w:r>
      <w:r w:rsidRPr="008516D1">
        <w:t>de</w:t>
      </w:r>
      <w:r>
        <w:t xml:space="preserve"> </w:t>
      </w:r>
      <w:r w:rsidRPr="008516D1">
        <w:t>prévention,</w:t>
      </w:r>
      <w:r>
        <w:t xml:space="preserve"> </w:t>
      </w:r>
      <w:r w:rsidRPr="008516D1">
        <w:t>avec</w:t>
      </w:r>
      <w:r>
        <w:t xml:space="preserve"> </w:t>
      </w:r>
      <w:r w:rsidRPr="008516D1">
        <w:t>la</w:t>
      </w:r>
      <w:r>
        <w:t xml:space="preserve"> </w:t>
      </w:r>
      <w:r w:rsidRPr="008516D1">
        <w:t>participation</w:t>
      </w:r>
      <w:r>
        <w:t xml:space="preserve"> </w:t>
      </w:r>
      <w:r w:rsidRPr="008516D1">
        <w:t>active</w:t>
      </w:r>
      <w:r>
        <w:t xml:space="preserve"> </w:t>
      </w:r>
      <w:r w:rsidRPr="008516D1">
        <w:t>des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De</w:t>
      </w:r>
      <w:r>
        <w:t xml:space="preserve"> </w:t>
      </w:r>
      <w:r w:rsidRPr="008516D1">
        <w:t>même,</w:t>
      </w:r>
      <w:r>
        <w:t xml:space="preserve"> </w:t>
      </w:r>
      <w:r w:rsidRPr="008516D1">
        <w:t>le</w:t>
      </w:r>
      <w:r>
        <w:t xml:space="preserve"> </w:t>
      </w:r>
      <w:r w:rsidRPr="008516D1">
        <w:t>Manuel</w:t>
      </w:r>
      <w:r>
        <w:t xml:space="preserve"> </w:t>
      </w:r>
      <w:r w:rsidRPr="008516D1">
        <w:t>pour</w:t>
      </w:r>
      <w:r>
        <w:t xml:space="preserve"> </w:t>
      </w:r>
      <w:r w:rsidRPr="008516D1">
        <w:t>l</w:t>
      </w:r>
      <w:r>
        <w:t>’</w:t>
      </w:r>
      <w:r w:rsidRPr="008516D1">
        <w:t>introduction</w:t>
      </w:r>
      <w:r>
        <w:t xml:space="preserve"> </w:t>
      </w:r>
      <w:r w:rsidRPr="008516D1">
        <w:t>d</w:t>
      </w:r>
      <w:r>
        <w:t>’</w:t>
      </w:r>
      <w:r w:rsidRPr="008516D1">
        <w:t>une</w:t>
      </w:r>
      <w:r>
        <w:t xml:space="preserve"> </w:t>
      </w:r>
      <w:r w:rsidRPr="008516D1">
        <w:t>approche</w:t>
      </w:r>
      <w:r>
        <w:t xml:space="preserve"> </w:t>
      </w:r>
      <w:proofErr w:type="spellStart"/>
      <w:r w:rsidRPr="008516D1">
        <w:t>intersectionnelle</w:t>
      </w:r>
      <w:proofErr w:type="spellEnd"/>
      <w:r>
        <w:t xml:space="preserve"> </w:t>
      </w:r>
      <w:r w:rsidRPr="008516D1">
        <w:t>et</w:t>
      </w:r>
      <w:r>
        <w:t xml:space="preserve"> </w:t>
      </w:r>
      <w:r w:rsidRPr="008516D1">
        <w:t>tenant</w:t>
      </w:r>
      <w:r>
        <w:t xml:space="preserve"> </w:t>
      </w:r>
      <w:r w:rsidRPr="008516D1">
        <w:t>compte</w:t>
      </w:r>
      <w:r>
        <w:t xml:space="preserve"> </w:t>
      </w:r>
      <w:r w:rsidRPr="008516D1">
        <w:t>du</w:t>
      </w:r>
      <w:r>
        <w:t xml:space="preserve"> </w:t>
      </w:r>
      <w:r w:rsidRPr="008516D1">
        <w:t>genre</w:t>
      </w:r>
      <w:r>
        <w:t xml:space="preserve"> </w:t>
      </w:r>
      <w:r w:rsidRPr="008516D1">
        <w:t>dans</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assurée</w:t>
      </w:r>
      <w:r>
        <w:t xml:space="preserve"> </w:t>
      </w:r>
      <w:r w:rsidRPr="008516D1">
        <w:t>par</w:t>
      </w:r>
      <w:r>
        <w:t xml:space="preserve"> </w:t>
      </w:r>
      <w:r w:rsidRPr="008516D1">
        <w:t>le</w:t>
      </w:r>
      <w:r>
        <w:t xml:space="preserve"> </w:t>
      </w:r>
      <w:r w:rsidRPr="008516D1">
        <w:t>personnel</w:t>
      </w:r>
      <w:r>
        <w:t xml:space="preserve"> </w:t>
      </w:r>
      <w:r w:rsidRPr="008516D1">
        <w:t>de</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a</w:t>
      </w:r>
      <w:r>
        <w:t xml:space="preserve"> </w:t>
      </w:r>
      <w:r w:rsidRPr="008516D1">
        <w:t>été</w:t>
      </w:r>
      <w:r>
        <w:t xml:space="preserve"> </w:t>
      </w:r>
      <w:r w:rsidRPr="008516D1">
        <w:t>élaboré</w:t>
      </w:r>
      <w:r>
        <w:t xml:space="preserve"> </w:t>
      </w:r>
      <w:r w:rsidRPr="008516D1">
        <w:t>avec</w:t>
      </w:r>
      <w:r>
        <w:t xml:space="preserve"> </w:t>
      </w:r>
      <w:r w:rsidRPr="008516D1">
        <w:t>l</w:t>
      </w:r>
      <w:r>
        <w:t>’</w:t>
      </w:r>
      <w:r w:rsidRPr="008516D1">
        <w:t>assistance</w:t>
      </w:r>
      <w:r>
        <w:t xml:space="preserve"> </w:t>
      </w:r>
      <w:r w:rsidRPr="008516D1">
        <w:t>technique</w:t>
      </w:r>
      <w:r>
        <w:t xml:space="preserve"> </w:t>
      </w:r>
      <w:r w:rsidRPr="008516D1">
        <w:t>du</w:t>
      </w:r>
      <w:r>
        <w:t xml:space="preserve"> </w:t>
      </w:r>
      <w:r w:rsidRPr="008516D1">
        <w:t>Haut-Commissariat</w:t>
      </w:r>
      <w:r>
        <w:t xml:space="preserve"> </w:t>
      </w:r>
      <w:r w:rsidRPr="008516D1">
        <w:t>des</w:t>
      </w:r>
      <w:r>
        <w:t xml:space="preserve"> </w:t>
      </w:r>
      <w:r w:rsidRPr="008516D1">
        <w:t>Nations</w:t>
      </w:r>
      <w:r>
        <w:t xml:space="preserve"> </w:t>
      </w:r>
      <w:r w:rsidRPr="008516D1">
        <w:t>Unies.</w:t>
      </w:r>
      <w:r>
        <w:t xml:space="preserve"> </w:t>
      </w:r>
      <w:r w:rsidRPr="008516D1">
        <w:t>En</w:t>
      </w:r>
      <w:r>
        <w:t xml:space="preserve"> </w:t>
      </w:r>
      <w:r w:rsidRPr="008516D1">
        <w:t>2021,</w:t>
      </w:r>
      <w:r>
        <w:t xml:space="preserve"> </w:t>
      </w:r>
      <w:r w:rsidRPr="008516D1">
        <w:t>l</w:t>
      </w:r>
      <w:r>
        <w:t>’</w:t>
      </w:r>
      <w:r w:rsidRPr="008516D1">
        <w:t>ensemble</w:t>
      </w:r>
      <w:r>
        <w:t xml:space="preserve"> </w:t>
      </w:r>
      <w:r w:rsidRPr="008516D1">
        <w:t>du</w:t>
      </w:r>
      <w:r>
        <w:t xml:space="preserve"> </w:t>
      </w:r>
      <w:r w:rsidRPr="008516D1">
        <w:t>personnel</w:t>
      </w:r>
      <w:r>
        <w:t xml:space="preserve"> </w:t>
      </w:r>
      <w:r w:rsidRPr="008516D1">
        <w:t>opérationnel</w:t>
      </w:r>
      <w:r>
        <w:t xml:space="preserve"> </w:t>
      </w:r>
      <w:r w:rsidRPr="008516D1">
        <w:t>sera</w:t>
      </w:r>
      <w:r>
        <w:t xml:space="preserve"> </w:t>
      </w:r>
      <w:r w:rsidRPr="008516D1">
        <w:t>formé</w:t>
      </w:r>
      <w:r>
        <w:t xml:space="preserve"> </w:t>
      </w:r>
      <w:r w:rsidRPr="008516D1">
        <w:t>pour</w:t>
      </w:r>
      <w:r>
        <w:t xml:space="preserve"> </w:t>
      </w:r>
      <w:r w:rsidRPr="008516D1">
        <w:t>appliquer</w:t>
      </w:r>
      <w:r>
        <w:t xml:space="preserve"> </w:t>
      </w:r>
      <w:r w:rsidRPr="008516D1">
        <w:t>ce</w:t>
      </w:r>
      <w:r>
        <w:t xml:space="preserve"> </w:t>
      </w:r>
      <w:r w:rsidRPr="008516D1">
        <w:t>manuel.</w:t>
      </w:r>
    </w:p>
    <w:p w14:paraId="5AE8314C" w14:textId="1F076E59" w:rsidR="00286956" w:rsidRPr="008516D1" w:rsidRDefault="00286956" w:rsidP="00286956">
      <w:pPr>
        <w:pStyle w:val="SingleTxtG"/>
      </w:pPr>
      <w:r w:rsidRPr="008516D1">
        <w:t>81.</w:t>
      </w:r>
      <w:r w:rsidRPr="008516D1">
        <w:tab/>
        <w:t>Entre</w:t>
      </w:r>
      <w:r>
        <w:t xml:space="preserve"> </w:t>
      </w:r>
      <w:r w:rsidRPr="008516D1">
        <w:t>2015</w:t>
      </w:r>
      <w:r>
        <w:t xml:space="preserve"> </w:t>
      </w:r>
      <w:r w:rsidRPr="008516D1">
        <w:t>et</w:t>
      </w:r>
      <w:r>
        <w:t xml:space="preserve"> </w:t>
      </w:r>
      <w:r w:rsidRPr="008516D1">
        <w:t>le</w:t>
      </w:r>
      <w:r>
        <w:t xml:space="preserve"> </w:t>
      </w:r>
      <w:r w:rsidRPr="008516D1">
        <w:t>31</w:t>
      </w:r>
      <w:r w:rsidR="00ED5AA3">
        <w:t> </w:t>
      </w:r>
      <w:r w:rsidRPr="008516D1">
        <w:t>mai</w:t>
      </w:r>
      <w:r>
        <w:t xml:space="preserve"> </w:t>
      </w:r>
      <w:r w:rsidRPr="008516D1">
        <w:t>2021,</w:t>
      </w:r>
      <w:r>
        <w:t xml:space="preserve"> </w:t>
      </w:r>
      <w:r w:rsidRPr="008516D1">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a</w:t>
      </w:r>
      <w:r>
        <w:t xml:space="preserve"> </w:t>
      </w:r>
      <w:r w:rsidRPr="008516D1">
        <w:t>reçu</w:t>
      </w:r>
      <w:r>
        <w:t xml:space="preserve"> </w:t>
      </w:r>
      <w:r w:rsidRPr="008516D1">
        <w:t>416</w:t>
      </w:r>
      <w:r w:rsidR="00ED5AA3">
        <w:t> </w:t>
      </w:r>
      <w:r w:rsidRPr="008516D1">
        <w:t>demandes</w:t>
      </w:r>
      <w:r>
        <w:t xml:space="preserve"> </w:t>
      </w:r>
      <w:r w:rsidRPr="008516D1">
        <w:t>de</w:t>
      </w:r>
      <w:r>
        <w:t xml:space="preserve"> </w:t>
      </w:r>
      <w:r w:rsidRPr="008516D1">
        <w:t>mesures</w:t>
      </w:r>
      <w:r>
        <w:t xml:space="preserve"> </w:t>
      </w:r>
      <w:r w:rsidRPr="008516D1">
        <w:t>de</w:t>
      </w:r>
      <w:r>
        <w:t xml:space="preserve"> </w:t>
      </w:r>
      <w:r w:rsidRPr="008516D1">
        <w:t>protection.</w:t>
      </w:r>
      <w:r>
        <w:t xml:space="preserve"> </w:t>
      </w:r>
      <w:r w:rsidRPr="008516D1">
        <w:t>Parmi</w:t>
      </w:r>
      <w:r>
        <w:t xml:space="preserve"> </w:t>
      </w:r>
      <w:r w:rsidRPr="008516D1">
        <w:t>ces</w:t>
      </w:r>
      <w:r>
        <w:t xml:space="preserve"> </w:t>
      </w:r>
      <w:r w:rsidRPr="008516D1">
        <w:t>demandes,</w:t>
      </w:r>
      <w:r>
        <w:t xml:space="preserve"> </w:t>
      </w:r>
      <w:r w:rsidRPr="008516D1">
        <w:t>157</w:t>
      </w:r>
      <w:r>
        <w:t xml:space="preserve"> </w:t>
      </w:r>
      <w:r w:rsidRPr="008516D1">
        <w:t>sont</w:t>
      </w:r>
      <w:r>
        <w:t xml:space="preserve"> </w:t>
      </w:r>
      <w:r w:rsidRPr="008516D1">
        <w:t>en</w:t>
      </w:r>
      <w:r>
        <w:t xml:space="preserve"> </w:t>
      </w:r>
      <w:r w:rsidRPr="008516D1">
        <w:t>vigueur,</w:t>
      </w:r>
      <w:r>
        <w:t xml:space="preserve"> </w:t>
      </w:r>
      <w:r w:rsidRPr="008516D1">
        <w:t>dont</w:t>
      </w:r>
      <w:r>
        <w:t xml:space="preserve"> </w:t>
      </w:r>
      <w:r w:rsidRPr="008516D1">
        <w:t>90</w:t>
      </w:r>
      <w:r>
        <w:t xml:space="preserve"> </w:t>
      </w:r>
      <w:r w:rsidRPr="008516D1">
        <w:t>correspondent</w:t>
      </w:r>
      <w:r>
        <w:t xml:space="preserve"> </w:t>
      </w:r>
      <w:r w:rsidRPr="008516D1">
        <w:t>à</w:t>
      </w:r>
      <w:r>
        <w:t xml:space="preserve"> </w:t>
      </w:r>
      <w:r w:rsidRPr="008516D1">
        <w:t>des</w:t>
      </w:r>
      <w:r>
        <w:t xml:space="preserve"> </w:t>
      </w:r>
      <w:r w:rsidRPr="008516D1">
        <w:t>cas</w:t>
      </w:r>
      <w:r>
        <w:t xml:space="preserve"> </w:t>
      </w:r>
      <w:r w:rsidRPr="008516D1">
        <w:t>individuels</w:t>
      </w:r>
      <w:r>
        <w:t xml:space="preserve"> </w:t>
      </w:r>
      <w:r w:rsidRPr="008516D1">
        <w:t>(63</w:t>
      </w:r>
      <w:r w:rsidR="00ED5AA3">
        <w:t> </w:t>
      </w:r>
      <w:r w:rsidRPr="008516D1">
        <w:t>hommes,</w:t>
      </w:r>
      <w:r>
        <w:t xml:space="preserve"> </w:t>
      </w:r>
      <w:r w:rsidRPr="008516D1">
        <w:t>26</w:t>
      </w:r>
      <w:r w:rsidR="00ED5AA3">
        <w:t> </w:t>
      </w:r>
      <w:r w:rsidRPr="008516D1">
        <w:t>femmes</w:t>
      </w:r>
      <w:r>
        <w:t xml:space="preserve"> </w:t>
      </w:r>
      <w:r w:rsidRPr="008516D1">
        <w:t>et</w:t>
      </w:r>
      <w:r>
        <w:t xml:space="preserve"> </w:t>
      </w:r>
      <w:r w:rsidRPr="008516D1">
        <w:t>1</w:t>
      </w:r>
      <w:r w:rsidR="00ED5AA3">
        <w:t> </w:t>
      </w:r>
      <w:r w:rsidRPr="008516D1">
        <w:t>femme</w:t>
      </w:r>
      <w:r>
        <w:t xml:space="preserve"> </w:t>
      </w:r>
      <w:r w:rsidRPr="008516D1">
        <w:t>trans)</w:t>
      </w:r>
      <w:r>
        <w:t xml:space="preserve"> </w:t>
      </w:r>
      <w:r w:rsidRPr="008516D1">
        <w:t>et</w:t>
      </w:r>
      <w:r>
        <w:t xml:space="preserve"> </w:t>
      </w:r>
      <w:r w:rsidRPr="008516D1">
        <w:t>67</w:t>
      </w:r>
      <w:r>
        <w:t xml:space="preserve"> </w:t>
      </w:r>
      <w:r w:rsidRPr="008516D1">
        <w:t>à</w:t>
      </w:r>
      <w:r>
        <w:t xml:space="preserve"> </w:t>
      </w:r>
      <w:r w:rsidRPr="008516D1">
        <w:t>des</w:t>
      </w:r>
      <w:r>
        <w:t xml:space="preserve"> </w:t>
      </w:r>
      <w:r w:rsidRPr="008516D1">
        <w:t>cas</w:t>
      </w:r>
      <w:r>
        <w:t xml:space="preserve"> </w:t>
      </w:r>
      <w:r w:rsidRPr="008516D1">
        <w:t>collectifs.</w:t>
      </w:r>
    </w:p>
    <w:p w14:paraId="18B8080E" w14:textId="3C671558" w:rsidR="00286956" w:rsidRPr="008516D1" w:rsidRDefault="00286956" w:rsidP="00286956">
      <w:pPr>
        <w:pStyle w:val="SingleTxtG"/>
      </w:pPr>
      <w:r w:rsidRPr="000B0754">
        <w:t>82.</w:t>
      </w:r>
      <w:r w:rsidRPr="000B0754">
        <w:tab/>
        <w:t>Parmi les mesures de protection en vigueur, 119 concernent des défenseurs des droits de l’homme, 28 des journalistes et des personnes travaillant dans le secteur des médias et 10 des agents des services judiciaires. Il convient de souligner que 25</w:t>
      </w:r>
      <w:r w:rsidR="00ED5AA3" w:rsidRPr="000B0754">
        <w:t> </w:t>
      </w:r>
      <w:r w:rsidRPr="000B0754">
        <w:t>mesures concernent des défenseurs des peuples autochtones et 9 des défenseurs des peuples afro-honduriens, 31 correspondent à des mesures de précaution ordonnées par la Commission interaméricaine des droits de l’homme et 2 à des mesures provisoires collectives ordonnées par cette même cour.</w:t>
      </w:r>
    </w:p>
    <w:p w14:paraId="6719B396" w14:textId="77777777" w:rsidR="00286956" w:rsidRPr="008516D1" w:rsidRDefault="00286956" w:rsidP="00286956">
      <w:pPr>
        <w:pStyle w:val="SingleTxtG"/>
      </w:pPr>
      <w:r w:rsidRPr="008516D1">
        <w:t>83.</w:t>
      </w:r>
      <w:r w:rsidRPr="008516D1">
        <w:tab/>
        <w:t>La</w:t>
      </w:r>
      <w:r>
        <w:t xml:space="preserve"> </w:t>
      </w:r>
      <w:r w:rsidRPr="008516D1">
        <w:t>Direction</w:t>
      </w:r>
      <w:r>
        <w:t xml:space="preserve"> </w:t>
      </w:r>
      <w:r w:rsidRPr="008516D1">
        <w:t>générale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gère</w:t>
      </w:r>
      <w:r>
        <w:t xml:space="preserve"> </w:t>
      </w:r>
      <w:r w:rsidRPr="008516D1">
        <w:t>également</w:t>
      </w:r>
      <w:r>
        <w:t xml:space="preserve"> </w:t>
      </w:r>
      <w:r w:rsidRPr="008516D1">
        <w:t>un</w:t>
      </w:r>
      <w:r>
        <w:t xml:space="preserve"> </w:t>
      </w:r>
      <w:r w:rsidRPr="008516D1">
        <w:t>dossier</w:t>
      </w:r>
      <w:r>
        <w:t xml:space="preserve"> </w:t>
      </w:r>
      <w:r w:rsidRPr="008516D1">
        <w:t>concernant</w:t>
      </w:r>
      <w:r>
        <w:t xml:space="preserve"> </w:t>
      </w:r>
      <w:r w:rsidRPr="008516D1">
        <w:t>des</w:t>
      </w:r>
      <w:r>
        <w:t xml:space="preserve"> </w:t>
      </w:r>
      <w:r w:rsidRPr="008516D1">
        <w:t>personnes</w:t>
      </w:r>
      <w:r>
        <w:t xml:space="preserve"> </w:t>
      </w:r>
      <w:r w:rsidRPr="008516D1">
        <w:t>qui</w:t>
      </w:r>
      <w:r>
        <w:t xml:space="preserve"> </w:t>
      </w:r>
      <w:r w:rsidRPr="008516D1">
        <w:t>agissent</w:t>
      </w:r>
      <w:r>
        <w:t xml:space="preserve"> </w:t>
      </w:r>
      <w:r w:rsidRPr="008516D1">
        <w:t>pour</w:t>
      </w:r>
      <w:r>
        <w:t xml:space="preserve"> </w:t>
      </w:r>
      <w:r w:rsidRPr="008516D1">
        <w:t>défendre</w:t>
      </w:r>
      <w:r>
        <w:t xml:space="preserve"> </w:t>
      </w:r>
      <w:r w:rsidRPr="008516D1">
        <w:t>les</w:t>
      </w:r>
      <w:r>
        <w:t xml:space="preserve"> </w:t>
      </w:r>
      <w:r w:rsidRPr="008516D1">
        <w:t>familles</w:t>
      </w:r>
      <w:r>
        <w:t xml:space="preserve"> </w:t>
      </w:r>
      <w:r w:rsidRPr="008516D1">
        <w:t>de</w:t>
      </w:r>
      <w:r>
        <w:t xml:space="preserve"> </w:t>
      </w:r>
      <w:r w:rsidRPr="008516D1">
        <w:t>personnes</w:t>
      </w:r>
      <w:r>
        <w:t xml:space="preserve"> </w:t>
      </w:r>
      <w:r w:rsidRPr="008516D1">
        <w:t>disparues,</w:t>
      </w:r>
      <w:r>
        <w:t xml:space="preserve"> </w:t>
      </w:r>
      <w:r w:rsidRPr="008516D1">
        <w:t>dans</w:t>
      </w:r>
      <w:r>
        <w:t xml:space="preserve"> </w:t>
      </w:r>
      <w:r w:rsidRPr="008516D1">
        <w:t>lequel</w:t>
      </w:r>
      <w:r>
        <w:t xml:space="preserve"> </w:t>
      </w:r>
      <w:r w:rsidRPr="008516D1">
        <w:t>sont</w:t>
      </w:r>
      <w:r>
        <w:t xml:space="preserve"> </w:t>
      </w:r>
      <w:r w:rsidRPr="008516D1">
        <w:t>mises</w:t>
      </w:r>
      <w:r>
        <w:t xml:space="preserve"> </w:t>
      </w:r>
      <w:r w:rsidRPr="008516D1">
        <w:t>en</w:t>
      </w:r>
      <w:r>
        <w:t xml:space="preserve"> </w:t>
      </w:r>
      <w:r w:rsidRPr="008516D1">
        <w:t>place</w:t>
      </w:r>
      <w:r>
        <w:t xml:space="preserve"> </w:t>
      </w:r>
      <w:r w:rsidRPr="008516D1">
        <w:t>des</w:t>
      </w:r>
      <w:r>
        <w:t xml:space="preserve"> </w:t>
      </w:r>
      <w:r w:rsidRPr="008516D1">
        <w:t>mesures</w:t>
      </w:r>
      <w:r>
        <w:t xml:space="preserve"> </w:t>
      </w:r>
      <w:r w:rsidRPr="008516D1">
        <w:t>de</w:t>
      </w:r>
      <w:r>
        <w:t xml:space="preserve"> </w:t>
      </w:r>
      <w:r w:rsidRPr="008516D1">
        <w:t>protection</w:t>
      </w:r>
      <w:r>
        <w:t xml:space="preserve"> </w:t>
      </w:r>
      <w:r w:rsidRPr="008516D1">
        <w:t>policière,</w:t>
      </w:r>
      <w:r>
        <w:t xml:space="preserve"> </w:t>
      </w:r>
      <w:r w:rsidRPr="008516D1">
        <w:t>avec</w:t>
      </w:r>
      <w:r>
        <w:t xml:space="preserve"> </w:t>
      </w:r>
      <w:r w:rsidRPr="008516D1">
        <w:t>l</w:t>
      </w:r>
      <w:r>
        <w:t>’</w:t>
      </w:r>
      <w:r w:rsidRPr="008516D1">
        <w:t>accord</w:t>
      </w:r>
      <w:r>
        <w:t xml:space="preserve"> </w:t>
      </w:r>
      <w:r w:rsidRPr="008516D1">
        <w:t>des</w:t>
      </w:r>
      <w:r>
        <w:t xml:space="preserve"> </w:t>
      </w:r>
      <w:r w:rsidRPr="008516D1">
        <w:t>bénéficiaires.</w:t>
      </w:r>
    </w:p>
    <w:p w14:paraId="600B6BAA" w14:textId="747DF978" w:rsidR="00286956" w:rsidRPr="008516D1" w:rsidRDefault="00286956" w:rsidP="00286956">
      <w:pPr>
        <w:pStyle w:val="SingleTxtG"/>
      </w:pPr>
      <w:r w:rsidRPr="008516D1">
        <w:t>84.</w:t>
      </w:r>
      <w:r w:rsidRPr="008516D1">
        <w:tab/>
        <w:t>La</w:t>
      </w:r>
      <w:r>
        <w:t xml:space="preserve"> </w:t>
      </w:r>
      <w:r w:rsidRPr="008516D1">
        <w:t>création,</w:t>
      </w:r>
      <w:r>
        <w:t xml:space="preserve"> </w:t>
      </w:r>
      <w:r w:rsidRPr="008516D1">
        <w:t>le</w:t>
      </w:r>
      <w:r>
        <w:t xml:space="preserve"> </w:t>
      </w:r>
      <w:r w:rsidRPr="008516D1">
        <w:t>15</w:t>
      </w:r>
      <w:r w:rsidR="00ED5AA3">
        <w:t> </w:t>
      </w:r>
      <w:r w:rsidRPr="008516D1">
        <w:t>mars</w:t>
      </w:r>
      <w:r>
        <w:t xml:space="preserve"> </w:t>
      </w:r>
      <w:r w:rsidRPr="008516D1">
        <w:t>2018,</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w:t>
      </w:r>
      <w:r>
        <w:t xml:space="preserve"> </w:t>
      </w:r>
      <w:r w:rsidRPr="008516D1">
        <w:t>la</w:t>
      </w:r>
      <w:r>
        <w:t xml:space="preserve"> </w:t>
      </w:r>
      <w:r w:rsidRPr="008516D1">
        <w:t>protection</w:t>
      </w:r>
      <w:r>
        <w:t xml:space="preserve"> </w:t>
      </w:r>
      <w:r w:rsidRPr="008516D1">
        <w:t>des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journalistes,</w:t>
      </w:r>
      <w:r>
        <w:t xml:space="preserve"> </w:t>
      </w:r>
      <w:r w:rsidRPr="008516D1">
        <w:t>des</w:t>
      </w:r>
      <w:r>
        <w:t xml:space="preserve"> </w:t>
      </w:r>
      <w:r w:rsidRPr="008516D1">
        <w:t>personnes</w:t>
      </w:r>
      <w:r>
        <w:t xml:space="preserve"> </w:t>
      </w:r>
      <w:r w:rsidRPr="008516D1">
        <w:t>travaillant</w:t>
      </w:r>
      <w:r>
        <w:t xml:space="preserve"> </w:t>
      </w:r>
      <w:r w:rsidRPr="008516D1">
        <w:t>dans</w:t>
      </w:r>
      <w:r>
        <w:t xml:space="preserve"> </w:t>
      </w:r>
      <w:r w:rsidRPr="008516D1">
        <w:t>le</w:t>
      </w:r>
      <w:r>
        <w:t xml:space="preserve"> </w:t>
      </w:r>
      <w:r w:rsidRPr="008516D1">
        <w:t>secteur</w:t>
      </w:r>
      <w:r>
        <w:t xml:space="preserve"> </w:t>
      </w:r>
      <w:r w:rsidRPr="008516D1">
        <w:t>des</w:t>
      </w:r>
      <w:r>
        <w:t xml:space="preserve"> </w:t>
      </w:r>
      <w:r w:rsidRPr="008516D1">
        <w:t>médias</w:t>
      </w:r>
      <w:r>
        <w:t xml:space="preserve"> </w:t>
      </w:r>
      <w:r w:rsidRPr="008516D1">
        <w:t>et</w:t>
      </w:r>
      <w:r>
        <w:t xml:space="preserve"> </w:t>
      </w:r>
      <w:r w:rsidRPr="008516D1">
        <w:t>des</w:t>
      </w:r>
      <w:r>
        <w:t xml:space="preserve"> </w:t>
      </w:r>
      <w:r w:rsidRPr="008516D1">
        <w:t>agents</w:t>
      </w:r>
      <w:r>
        <w:t xml:space="preserve"> </w:t>
      </w:r>
      <w:r w:rsidRPr="008516D1">
        <w:t>du</w:t>
      </w:r>
      <w:r>
        <w:t xml:space="preserve"> </w:t>
      </w:r>
      <w:r w:rsidRPr="008516D1">
        <w:t>système</w:t>
      </w:r>
      <w:r>
        <w:t xml:space="preserve"> </w:t>
      </w:r>
      <w:r w:rsidRPr="008516D1">
        <w:t>judiciaire</w:t>
      </w:r>
      <w:r>
        <w:t xml:space="preserve"> </w:t>
      </w:r>
      <w:r w:rsidRPr="008516D1">
        <w:t>constitue</w:t>
      </w:r>
      <w:r>
        <w:t xml:space="preserve"> </w:t>
      </w:r>
      <w:r w:rsidRPr="008516D1">
        <w:t>un</w:t>
      </w:r>
      <w:r>
        <w:t xml:space="preserve"> </w:t>
      </w:r>
      <w:r w:rsidRPr="008516D1">
        <w:t>progrès</w:t>
      </w:r>
      <w:r>
        <w:t xml:space="preserve"> </w:t>
      </w:r>
      <w:r w:rsidRPr="008516D1">
        <w:t>important</w:t>
      </w:r>
      <w:r>
        <w:t xml:space="preserve"> </w:t>
      </w:r>
      <w:r w:rsidRPr="008516D1">
        <w:t>pour</w:t>
      </w:r>
      <w:r>
        <w:t xml:space="preserve"> </w:t>
      </w:r>
      <w:r w:rsidRPr="008516D1">
        <w:t>garantir</w:t>
      </w:r>
      <w:r>
        <w:t xml:space="preserve"> </w:t>
      </w:r>
      <w:r w:rsidRPr="008516D1">
        <w:t>les</w:t>
      </w:r>
      <w:r>
        <w:t xml:space="preserve"> </w:t>
      </w:r>
      <w:r w:rsidRPr="008516D1">
        <w:t>enquêtes</w:t>
      </w:r>
      <w:r>
        <w:t xml:space="preserve"> </w:t>
      </w:r>
      <w:r w:rsidRPr="008516D1">
        <w:t>et</w:t>
      </w:r>
      <w:r>
        <w:t xml:space="preserve"> </w:t>
      </w:r>
      <w:r w:rsidRPr="008516D1">
        <w:t>les</w:t>
      </w:r>
      <w:r>
        <w:t xml:space="preserve"> </w:t>
      </w:r>
      <w:r w:rsidRPr="008516D1">
        <w:t>poursuites</w:t>
      </w:r>
      <w:r>
        <w:t xml:space="preserve"> </w:t>
      </w:r>
      <w:r w:rsidRPr="008516D1">
        <w:t>en</w:t>
      </w:r>
      <w:r>
        <w:t xml:space="preserve"> </w:t>
      </w:r>
      <w:r w:rsidRPr="008516D1">
        <w:t>cas</w:t>
      </w:r>
      <w:r>
        <w:t xml:space="preserve"> </w:t>
      </w:r>
      <w:r w:rsidRPr="008516D1">
        <w:t>de</w:t>
      </w:r>
      <w:r>
        <w:t xml:space="preserve"> </w:t>
      </w:r>
      <w:r w:rsidRPr="008516D1">
        <w:t>menaces</w:t>
      </w:r>
      <w:r>
        <w:t xml:space="preserve"> </w:t>
      </w:r>
      <w:r w:rsidRPr="008516D1">
        <w:t>et</w:t>
      </w:r>
      <w:r>
        <w:t xml:space="preserve"> </w:t>
      </w:r>
      <w:r w:rsidRPr="008516D1">
        <w:t>d</w:t>
      </w:r>
      <w:r>
        <w:t>’</w:t>
      </w:r>
      <w:r w:rsidRPr="008516D1">
        <w:t>agressions</w:t>
      </w:r>
      <w:r>
        <w:t xml:space="preserve"> </w:t>
      </w:r>
      <w:r w:rsidRPr="008516D1">
        <w:t>contre</w:t>
      </w:r>
      <w:r>
        <w:t xml:space="preserve"> </w:t>
      </w:r>
      <w:r w:rsidRPr="008516D1">
        <w:t>les</w:t>
      </w:r>
      <w:r>
        <w:t xml:space="preserve"> </w:t>
      </w:r>
      <w:r w:rsidRPr="008516D1">
        <w:t>défenseurs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les</w:t>
      </w:r>
      <w:r>
        <w:t xml:space="preserve"> </w:t>
      </w:r>
      <w:r w:rsidRPr="008516D1">
        <w:t>journalistes</w:t>
      </w:r>
      <w:r>
        <w:t xml:space="preserve"> </w:t>
      </w:r>
      <w:r w:rsidRPr="008516D1">
        <w:t>et</w:t>
      </w:r>
      <w:r>
        <w:t xml:space="preserve"> </w:t>
      </w:r>
      <w:r w:rsidRPr="008516D1">
        <w:t>les</w:t>
      </w:r>
      <w:r>
        <w:t xml:space="preserve"> </w:t>
      </w:r>
      <w:r w:rsidRPr="008516D1">
        <w:t>membres</w:t>
      </w:r>
      <w:r>
        <w:t xml:space="preserve"> </w:t>
      </w:r>
      <w:r w:rsidRPr="008516D1">
        <w:t>d</w:t>
      </w:r>
      <w:r>
        <w:t>’</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Ce</w:t>
      </w:r>
      <w:r>
        <w:t xml:space="preserve"> </w:t>
      </w:r>
      <w:r w:rsidRPr="008516D1">
        <w:t>bureau</w:t>
      </w:r>
      <w:r>
        <w:t xml:space="preserve"> </w:t>
      </w:r>
      <w:r w:rsidRPr="008516D1">
        <w:t>comporte</w:t>
      </w:r>
      <w:r>
        <w:t xml:space="preserve"> </w:t>
      </w:r>
      <w:r w:rsidRPr="008516D1">
        <w:t>trois</w:t>
      </w:r>
      <w:r>
        <w:t xml:space="preserve"> </w:t>
      </w:r>
      <w:r w:rsidRPr="008516D1">
        <w:t>sections</w:t>
      </w:r>
      <w:r>
        <w:t xml:space="preserve"> </w:t>
      </w:r>
      <w:r w:rsidRPr="008516D1">
        <w:t>spécialisées</w:t>
      </w:r>
      <w:r>
        <w:t xml:space="preserve"> </w:t>
      </w:r>
      <w:r w:rsidRPr="008516D1">
        <w:t>dans</w:t>
      </w:r>
      <w:r>
        <w:t xml:space="preserve"> </w:t>
      </w:r>
      <w:r w:rsidRPr="008516D1">
        <w:t>le</w:t>
      </w:r>
      <w:r>
        <w:t xml:space="preserve"> </w:t>
      </w:r>
      <w:r w:rsidRPr="008516D1">
        <w:t>recueil</w:t>
      </w:r>
      <w:r>
        <w:t xml:space="preserve"> </w:t>
      </w:r>
      <w:r w:rsidRPr="008516D1">
        <w:t>des</w:t>
      </w:r>
      <w:r>
        <w:t xml:space="preserve"> </w:t>
      </w:r>
      <w:r w:rsidRPr="008516D1">
        <w:t>plaintes,</w:t>
      </w:r>
      <w:r>
        <w:t xml:space="preserve"> </w:t>
      </w:r>
      <w:r w:rsidRPr="008516D1">
        <w:t>les</w:t>
      </w:r>
      <w:r>
        <w:t xml:space="preserve"> </w:t>
      </w:r>
      <w:r w:rsidRPr="008516D1">
        <w:t>poursuites</w:t>
      </w:r>
      <w:r>
        <w:t xml:space="preserve"> </w:t>
      </w:r>
      <w:r w:rsidRPr="008516D1">
        <w:t>engagées</w:t>
      </w:r>
      <w:r>
        <w:t xml:space="preserve"> </w:t>
      </w:r>
      <w:r w:rsidRPr="008516D1">
        <w:t>contre</w:t>
      </w:r>
      <w:r>
        <w:t xml:space="preserve"> </w:t>
      </w:r>
      <w:r w:rsidRPr="008516D1">
        <w:t>des</w:t>
      </w:r>
      <w:r>
        <w:t xml:space="preserve"> </w:t>
      </w:r>
      <w:r w:rsidRPr="008516D1">
        <w:t>agents</w:t>
      </w:r>
      <w:r>
        <w:t xml:space="preserve"> </w:t>
      </w:r>
      <w:r w:rsidRPr="008516D1">
        <w:t>de</w:t>
      </w:r>
      <w:r>
        <w:t xml:space="preserve"> </w:t>
      </w:r>
      <w:r w:rsidRPr="008516D1">
        <w:t>la</w:t>
      </w:r>
      <w:r>
        <w:t xml:space="preserve"> </w:t>
      </w:r>
      <w:r w:rsidRPr="008516D1">
        <w:t>fonction</w:t>
      </w:r>
      <w:r>
        <w:t xml:space="preserve"> </w:t>
      </w:r>
      <w:r w:rsidRPr="008516D1">
        <w:t>publique</w:t>
      </w:r>
      <w:r>
        <w:t xml:space="preserve"> </w:t>
      </w:r>
      <w:r w:rsidRPr="008516D1">
        <w:t>et</w:t>
      </w:r>
      <w:r>
        <w:t xml:space="preserve"> </w:t>
      </w:r>
      <w:r w:rsidRPr="008516D1">
        <w:t>les</w:t>
      </w:r>
      <w:r>
        <w:t xml:space="preserve"> </w:t>
      </w:r>
      <w:r w:rsidRPr="008516D1">
        <w:t>poursuites</w:t>
      </w:r>
      <w:r>
        <w:t xml:space="preserve"> </w:t>
      </w:r>
      <w:r w:rsidRPr="008516D1">
        <w:t>engagées</w:t>
      </w:r>
      <w:r>
        <w:t xml:space="preserve"> </w:t>
      </w:r>
      <w:r w:rsidRPr="008516D1">
        <w:t>contre</w:t>
      </w:r>
      <w:r>
        <w:t xml:space="preserve"> </w:t>
      </w:r>
      <w:r w:rsidRPr="008516D1">
        <w:t>des</w:t>
      </w:r>
      <w:r w:rsidR="00ED5AA3">
        <w:t> </w:t>
      </w:r>
      <w:r w:rsidRPr="008516D1">
        <w:t>particuliers.</w:t>
      </w:r>
    </w:p>
    <w:p w14:paraId="312E415C" w14:textId="77777777" w:rsidR="00286956" w:rsidRPr="008516D1" w:rsidRDefault="00286956" w:rsidP="00286956">
      <w:pPr>
        <w:pStyle w:val="SingleTxtG"/>
      </w:pPr>
      <w:r w:rsidRPr="008516D1">
        <w:t>85.</w:t>
      </w:r>
      <w:r w:rsidRPr="008516D1">
        <w:tab/>
        <w:t>Il</w:t>
      </w:r>
      <w:r>
        <w:t xml:space="preserve"> </w:t>
      </w:r>
      <w:r w:rsidRPr="008516D1">
        <w:t>convient</w:t>
      </w:r>
      <w:r>
        <w:t xml:space="preserve"> </w:t>
      </w:r>
      <w:r w:rsidRPr="008516D1">
        <w:t>de</w:t>
      </w:r>
      <w:r>
        <w:t xml:space="preserve"> </w:t>
      </w:r>
      <w:r w:rsidRPr="008516D1">
        <w:t>préciser</w:t>
      </w:r>
      <w:r>
        <w:t xml:space="preserve"> </w:t>
      </w:r>
      <w:r w:rsidRPr="008516D1">
        <w:t>qu</w:t>
      </w:r>
      <w:r>
        <w:t>’</w:t>
      </w:r>
      <w:r w:rsidRPr="008516D1">
        <w:t>en</w:t>
      </w:r>
      <w:r>
        <w:t xml:space="preserve"> </w:t>
      </w:r>
      <w:r w:rsidRPr="008516D1">
        <w:t>application</w:t>
      </w:r>
      <w:r>
        <w:t xml:space="preserve"> </w:t>
      </w:r>
      <w:r w:rsidRPr="008516D1">
        <w:t>de</w:t>
      </w:r>
      <w:r>
        <w:t xml:space="preserve"> </w:t>
      </w:r>
      <w:r w:rsidRPr="008516D1">
        <w:t>l</w:t>
      </w:r>
      <w:r>
        <w:t>’</w:t>
      </w:r>
      <w:r w:rsidRPr="008516D1">
        <w:t>article</w:t>
      </w:r>
      <w:r>
        <w:t xml:space="preserve"> </w:t>
      </w:r>
      <w:r w:rsidRPr="008516D1">
        <w:t>64</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aux</w:t>
      </w:r>
      <w:r>
        <w:t xml:space="preserve"> </w:t>
      </w:r>
      <w:r w:rsidRPr="008516D1">
        <w:t>défenseurs</w:t>
      </w:r>
      <w:r>
        <w:t xml:space="preserve"> </w:t>
      </w:r>
      <w:r w:rsidRPr="008516D1">
        <w:t>publics,</w:t>
      </w:r>
      <w:r>
        <w:t xml:space="preserve"> </w:t>
      </w:r>
      <w:r w:rsidRPr="008516D1">
        <w:t>le</w:t>
      </w:r>
      <w:r>
        <w:t xml:space="preserve"> </w:t>
      </w:r>
      <w:r w:rsidRPr="008516D1">
        <w:t>pouvoir</w:t>
      </w:r>
      <w:r>
        <w:t xml:space="preserve"> </w:t>
      </w:r>
      <w:r w:rsidRPr="008516D1">
        <w:t>judiciaire</w:t>
      </w:r>
      <w:r>
        <w:t xml:space="preserve"> </w:t>
      </w:r>
      <w:r w:rsidRPr="008516D1">
        <w:t>a</w:t>
      </w:r>
      <w:r>
        <w:t xml:space="preserve"> </w:t>
      </w:r>
      <w:r w:rsidRPr="008516D1">
        <w:t>créé</w:t>
      </w:r>
      <w:r>
        <w:t xml:space="preserve"> </w:t>
      </w:r>
      <w:r w:rsidRPr="008516D1">
        <w:t>l</w:t>
      </w:r>
      <w:r>
        <w:t>’</w:t>
      </w:r>
      <w:r w:rsidRPr="008516D1">
        <w:t>Unité</w:t>
      </w:r>
      <w:r>
        <w:t xml:space="preserve"> </w:t>
      </w:r>
      <w:r w:rsidRPr="008516D1">
        <w:t>spéciale</w:t>
      </w:r>
      <w:r>
        <w:t xml:space="preserve"> </w:t>
      </w:r>
      <w:r w:rsidRPr="008516D1">
        <w:t>de</w:t>
      </w:r>
      <w:r>
        <w:t xml:space="preserve"> </w:t>
      </w:r>
      <w:r w:rsidRPr="008516D1">
        <w:t>protection</w:t>
      </w:r>
      <w:r>
        <w:t xml:space="preserve"> </w:t>
      </w:r>
      <w:r w:rsidRPr="008516D1">
        <w:t>des</w:t>
      </w:r>
      <w:r>
        <w:t xml:space="preserve"> </w:t>
      </w:r>
      <w:r w:rsidRPr="008516D1">
        <w:t>juges,</w:t>
      </w:r>
      <w:r>
        <w:t xml:space="preserve"> </w:t>
      </w:r>
      <w:r w:rsidRPr="008516D1">
        <w:t>des</w:t>
      </w:r>
      <w:r>
        <w:t xml:space="preserve"> </w:t>
      </w:r>
      <w:r w:rsidRPr="008516D1">
        <w:t>procureurs</w:t>
      </w:r>
      <w:r>
        <w:t xml:space="preserve"> </w:t>
      </w:r>
      <w:r w:rsidRPr="008516D1">
        <w:t>et</w:t>
      </w:r>
      <w:r>
        <w:t xml:space="preserve"> </w:t>
      </w:r>
      <w:r w:rsidRPr="008516D1">
        <w:t>des</w:t>
      </w:r>
      <w:r>
        <w:t xml:space="preserve"> </w:t>
      </w:r>
      <w:r w:rsidRPr="008516D1">
        <w:t>défenseurs</w:t>
      </w:r>
      <w:r>
        <w:t xml:space="preserve"> </w:t>
      </w:r>
      <w:r w:rsidRPr="008516D1">
        <w:t>publics</w:t>
      </w:r>
      <w:r w:rsidRPr="008516D1">
        <w:rPr>
          <w:rStyle w:val="Appelnotedebasdep"/>
        </w:rPr>
        <w:footnoteReference w:id="76"/>
      </w:r>
      <w:r w:rsidRPr="008516D1">
        <w:t>,</w:t>
      </w:r>
      <w:r>
        <w:t xml:space="preserve"> </w:t>
      </w:r>
      <w:r w:rsidRPr="008516D1">
        <w:t>organe</w:t>
      </w:r>
      <w:r>
        <w:t xml:space="preserve"> </w:t>
      </w:r>
      <w:r w:rsidRPr="008516D1">
        <w:t>technique</w:t>
      </w:r>
      <w:r>
        <w:t xml:space="preserve"> </w:t>
      </w:r>
      <w:r w:rsidRPr="008516D1">
        <w:t>d</w:t>
      </w:r>
      <w:r>
        <w:t>’</w:t>
      </w:r>
      <w:r w:rsidRPr="008516D1">
        <w:t>appui</w:t>
      </w:r>
      <w:r>
        <w:t xml:space="preserve"> </w:t>
      </w:r>
      <w:r w:rsidRPr="008516D1">
        <w:t>technique</w:t>
      </w:r>
      <w:r>
        <w:t xml:space="preserve"> </w:t>
      </w:r>
      <w:r w:rsidRPr="008516D1">
        <w:t>chargé</w:t>
      </w:r>
      <w:r>
        <w:t xml:space="preserve"> </w:t>
      </w:r>
      <w:r w:rsidRPr="008516D1">
        <w:t>de</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du</w:t>
      </w:r>
      <w:r>
        <w:t xml:space="preserve"> </w:t>
      </w:r>
      <w:r w:rsidRPr="008516D1">
        <w:t>mécanisme</w:t>
      </w:r>
      <w:r>
        <w:t xml:space="preserve"> </w:t>
      </w:r>
      <w:r w:rsidRPr="008516D1">
        <w:t>spécial</w:t>
      </w:r>
      <w:r>
        <w:t xml:space="preserve"> </w:t>
      </w:r>
      <w:r w:rsidRPr="008516D1">
        <w:t>de</w:t>
      </w:r>
      <w:r>
        <w:t xml:space="preserve"> </w:t>
      </w:r>
      <w:r w:rsidRPr="008516D1">
        <w:t>protection</w:t>
      </w:r>
      <w:r>
        <w:t xml:space="preserve"> </w:t>
      </w:r>
      <w:r w:rsidRPr="008516D1">
        <w:t>des</w:t>
      </w:r>
      <w:r>
        <w:t xml:space="preserve"> </w:t>
      </w:r>
      <w:r w:rsidRPr="008516D1">
        <w:t>agents</w:t>
      </w:r>
      <w:r>
        <w:t xml:space="preserve"> </w:t>
      </w:r>
      <w:r w:rsidRPr="008516D1">
        <w:t>des</w:t>
      </w:r>
      <w:r>
        <w:t xml:space="preserve"> </w:t>
      </w:r>
      <w:r w:rsidRPr="008516D1">
        <w:t>services</w:t>
      </w:r>
      <w:r>
        <w:t xml:space="preserve"> </w:t>
      </w:r>
      <w:r w:rsidRPr="008516D1">
        <w:t>judiciaires.</w:t>
      </w:r>
      <w:r>
        <w:t xml:space="preserve"> </w:t>
      </w:r>
      <w:r w:rsidRPr="008516D1">
        <w:t>Cette</w:t>
      </w:r>
      <w:r>
        <w:t xml:space="preserve"> </w:t>
      </w:r>
      <w:r w:rsidRPr="008516D1">
        <w:t>unité</w:t>
      </w:r>
      <w:r>
        <w:t xml:space="preserve"> </w:t>
      </w:r>
      <w:r w:rsidRPr="008516D1">
        <w:t>a</w:t>
      </w:r>
      <w:r>
        <w:t xml:space="preserve"> </w:t>
      </w:r>
      <w:r w:rsidRPr="008516D1">
        <w:t>adopté</w:t>
      </w:r>
      <w:r>
        <w:t xml:space="preserve"> </w:t>
      </w:r>
      <w:r w:rsidRPr="008516D1">
        <w:t>son</w:t>
      </w:r>
      <w:r>
        <w:t xml:space="preserve"> </w:t>
      </w:r>
      <w:r w:rsidRPr="008516D1">
        <w:t>propre</w:t>
      </w:r>
      <w:r>
        <w:t xml:space="preserve"> </w:t>
      </w:r>
      <w:r w:rsidRPr="008516D1">
        <w:t>règlement.</w:t>
      </w:r>
    </w:p>
    <w:p w14:paraId="568E2FC7" w14:textId="77777777" w:rsidR="00286956" w:rsidRPr="001A447E" w:rsidRDefault="00286956" w:rsidP="00286956">
      <w:pPr>
        <w:pStyle w:val="H1G"/>
      </w:pPr>
      <w:bookmarkStart w:id="23" w:name="_Toc76740430"/>
      <w:r w:rsidRPr="008516D1">
        <w:lastRenderedPageBreak/>
        <w:tab/>
      </w:r>
      <w:r w:rsidRPr="001A447E">
        <w:t>J.</w:t>
      </w:r>
      <w:r w:rsidRPr="001A447E">
        <w:tab/>
        <w:t>Enquête sur les cas de disparition de migrants</w:t>
      </w:r>
      <w:bookmarkEnd w:id="23"/>
    </w:p>
    <w:p w14:paraId="27CBB877" w14:textId="28F6055C" w:rsidR="00286956" w:rsidRPr="008516D1" w:rsidRDefault="00286956" w:rsidP="00286956">
      <w:pPr>
        <w:pStyle w:val="SingleTxtG"/>
      </w:pPr>
      <w:r w:rsidRPr="001A447E">
        <w:t>86.</w:t>
      </w:r>
      <w:r w:rsidRPr="001A447E">
        <w:tab/>
        <w:t>Concernant la recommandation formulée au paragraphe 29 des observations finales sur les mesures que l’État doit prendre, en coopération avec les pays d’origine, de transit et de destination des migrants et avec la participation des victimes et des organisations de la société civile, notamment pour prévenir les disparitions de migrants, enquêter à leur sujet et engager des poursuites pénales contre les responsables (</w:t>
      </w:r>
      <w:r w:rsidR="003A61DD" w:rsidRPr="001A447E">
        <w:t>par. </w:t>
      </w:r>
      <w:r w:rsidRPr="001A447E">
        <w:t>29</w:t>
      </w:r>
      <w:r w:rsidR="00A74554" w:rsidRPr="001A447E">
        <w:t> a</w:t>
      </w:r>
      <w:r w:rsidR="009B75A4">
        <w:t>)</w:t>
      </w:r>
      <w:r w:rsidR="00A74554" w:rsidRPr="001A447E">
        <w:t>)</w:t>
      </w:r>
      <w:r w:rsidRPr="001A447E">
        <w:t>, il convient de préciser qu’en 2015, afin de renforcer les institutions chargées de la prise en charge spécialisée des migrants honduriens, le Ministère des relations extérieures et de la coopération internationale a créé le Sous-</w:t>
      </w:r>
      <w:r w:rsidR="009B75A4">
        <w:t>S</w:t>
      </w:r>
      <w:r w:rsidRPr="001A447E">
        <w:t>ecrétariat aux affaires consulaires et migratoires</w:t>
      </w:r>
      <w:r w:rsidRPr="001A447E">
        <w:rPr>
          <w:rStyle w:val="Appelnotedebasdep"/>
        </w:rPr>
        <w:footnoteReference w:id="77"/>
      </w:r>
      <w:r w:rsidRPr="001A447E">
        <w:t>, qui a pour mission de coordonner, promouvoir, harmoniser et diffuser les politiques prévues par les lois relatives aux questions consulaires et migratoires. De même, la Direction générale pour la protection des migrants honduriens a été créée en application de la loi relative à la protection des migrants honduriens et de leurs familles. Rattachée au Sous-</w:t>
      </w:r>
      <w:r w:rsidR="009B75A4">
        <w:t>S</w:t>
      </w:r>
      <w:r w:rsidRPr="001A447E">
        <w:t>ecrétariat aux affaires consulaires et migratoires, elle a pour mission de protéger et d’aider les migrants honduriens à l’étranger, ainsi que ceux qui reviennent au pays.</w:t>
      </w:r>
    </w:p>
    <w:p w14:paraId="4D707888" w14:textId="77777777" w:rsidR="00286956" w:rsidRPr="008516D1" w:rsidRDefault="00286956" w:rsidP="00286956">
      <w:pPr>
        <w:pStyle w:val="SingleTxtG"/>
        <w:rPr>
          <w:i/>
        </w:rPr>
      </w:pPr>
      <w:r w:rsidRPr="008516D1">
        <w:t>87.</w:t>
      </w:r>
      <w:r w:rsidRPr="008516D1">
        <w:tab/>
        <w:t>La</w:t>
      </w:r>
      <w:r>
        <w:t xml:space="preserve"> </w:t>
      </w:r>
      <w:r w:rsidRPr="008516D1">
        <w:t>Direction</w:t>
      </w:r>
      <w:r>
        <w:t xml:space="preserve"> </w:t>
      </w:r>
      <w:r w:rsidRPr="008516D1">
        <w:t>générale</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assure</w:t>
      </w:r>
      <w:r>
        <w:t xml:space="preserve"> </w:t>
      </w:r>
      <w:r w:rsidRPr="008516D1">
        <w:t>divers</w:t>
      </w:r>
      <w:r>
        <w:t xml:space="preserve"> </w:t>
      </w:r>
      <w:r w:rsidRPr="008516D1">
        <w:t>services</w:t>
      </w:r>
      <w:r>
        <w:t xml:space="preserve"> </w:t>
      </w:r>
      <w:r w:rsidRPr="008516D1">
        <w:t>de</w:t>
      </w:r>
      <w:r>
        <w:t xml:space="preserve"> </w:t>
      </w:r>
      <w:r w:rsidRPr="008516D1">
        <w:t>protection</w:t>
      </w:r>
      <w:r>
        <w:t xml:space="preserve"> </w:t>
      </w:r>
      <w:r w:rsidRPr="008516D1">
        <w:t>aux</w:t>
      </w:r>
      <w:r>
        <w:t xml:space="preserve"> </w:t>
      </w:r>
      <w:r w:rsidRPr="008516D1">
        <w:t>Honduriens</w:t>
      </w:r>
      <w:r>
        <w:t xml:space="preserve"> </w:t>
      </w:r>
      <w:r w:rsidRPr="008516D1">
        <w:t>à</w:t>
      </w:r>
      <w:r>
        <w:t xml:space="preserve"> </w:t>
      </w:r>
      <w:r w:rsidRPr="008516D1">
        <w:t>l</w:t>
      </w:r>
      <w:r>
        <w:t>’</w:t>
      </w:r>
      <w:r w:rsidRPr="008516D1">
        <w:t>étranger</w:t>
      </w:r>
      <w:r>
        <w:t xml:space="preserve"> </w:t>
      </w:r>
      <w:r w:rsidRPr="008516D1">
        <w:t>(conseil,</w:t>
      </w:r>
      <w:r>
        <w:t xml:space="preserve"> </w:t>
      </w:r>
      <w:r w:rsidRPr="008516D1">
        <w:t>assistance,</w:t>
      </w:r>
      <w:r>
        <w:t xml:space="preserve"> </w:t>
      </w:r>
      <w:r w:rsidRPr="008516D1">
        <w:t>aide</w:t>
      </w:r>
      <w:r>
        <w:t xml:space="preserve"> </w:t>
      </w:r>
      <w:r w:rsidRPr="008516D1">
        <w:t>financière,</w:t>
      </w:r>
      <w:r>
        <w:t xml:space="preserve"> </w:t>
      </w:r>
      <w:r w:rsidRPr="008516D1">
        <w:t>entre</w:t>
      </w:r>
      <w:r>
        <w:t xml:space="preserve"> </w:t>
      </w:r>
      <w:r w:rsidRPr="008516D1">
        <w:t>autres)</w:t>
      </w:r>
      <w:r>
        <w:t xml:space="preserve"> </w:t>
      </w:r>
      <w:r w:rsidRPr="008516D1">
        <w:t>financés</w:t>
      </w:r>
      <w:r>
        <w:t xml:space="preserve"> </w:t>
      </w:r>
      <w:r w:rsidRPr="008516D1">
        <w:t>par</w:t>
      </w:r>
      <w:r>
        <w:t xml:space="preserve"> </w:t>
      </w:r>
      <w:r w:rsidRPr="008516D1">
        <w:t>des</w:t>
      </w:r>
      <w:r>
        <w:t xml:space="preserve"> </w:t>
      </w:r>
      <w:r w:rsidRPr="008516D1">
        <w:t>fonds</w:t>
      </w:r>
      <w:r>
        <w:t xml:space="preserve"> </w:t>
      </w:r>
      <w:r w:rsidRPr="008516D1">
        <w:t>publics</w:t>
      </w:r>
      <w:r>
        <w:t xml:space="preserve"> </w:t>
      </w:r>
      <w:r w:rsidRPr="008516D1">
        <w:t>provenant</w:t>
      </w:r>
      <w:r>
        <w:t xml:space="preserve"> </w:t>
      </w:r>
      <w:r w:rsidRPr="008516D1">
        <w:t>du</w:t>
      </w:r>
      <w:r>
        <w:t xml:space="preserve"> </w:t>
      </w:r>
      <w:r w:rsidRPr="008516D1">
        <w:t>Fonds</w:t>
      </w:r>
      <w:r>
        <w:t xml:space="preserve"> </w:t>
      </w:r>
      <w:r w:rsidRPr="008516D1">
        <w:t>de</w:t>
      </w:r>
      <w:r>
        <w:t xml:space="preserve"> </w:t>
      </w:r>
      <w:r w:rsidRPr="008516D1">
        <w:t>solidarité</w:t>
      </w:r>
      <w:r>
        <w:t xml:space="preserve"> </w:t>
      </w:r>
      <w:r w:rsidRPr="008516D1">
        <w:t>pour</w:t>
      </w:r>
      <w:r>
        <w:t xml:space="preserve"> </w:t>
      </w:r>
      <w:r w:rsidRPr="008516D1">
        <w:t>les</w:t>
      </w:r>
      <w:r>
        <w:t xml:space="preserve"> </w:t>
      </w:r>
      <w:r w:rsidRPr="008516D1">
        <w:t>migrants</w:t>
      </w:r>
      <w:r>
        <w:t xml:space="preserve"> </w:t>
      </w:r>
      <w:r w:rsidRPr="008516D1">
        <w:t>honduriens.</w:t>
      </w:r>
      <w:r>
        <w:t xml:space="preserve"> </w:t>
      </w:r>
      <w:r w:rsidRPr="008516D1">
        <w:t>Les</w:t>
      </w:r>
      <w:r>
        <w:t xml:space="preserve"> </w:t>
      </w:r>
      <w:r w:rsidRPr="008516D1">
        <w:t>services</w:t>
      </w:r>
      <w:r>
        <w:t xml:space="preserve"> </w:t>
      </w:r>
      <w:r w:rsidRPr="008516D1">
        <w:t>de</w:t>
      </w:r>
      <w:r>
        <w:t xml:space="preserve"> </w:t>
      </w:r>
      <w:r w:rsidRPr="008516D1">
        <w:t>conseil</w:t>
      </w:r>
      <w:r>
        <w:t xml:space="preserve"> </w:t>
      </w:r>
      <w:r w:rsidRPr="008516D1">
        <w:t>et</w:t>
      </w:r>
      <w:r>
        <w:t xml:space="preserve"> </w:t>
      </w:r>
      <w:r w:rsidRPr="008516D1">
        <w:t>d</w:t>
      </w:r>
      <w:r>
        <w:t>’</w:t>
      </w:r>
      <w:r w:rsidRPr="008516D1">
        <w:t>assistance</w:t>
      </w:r>
      <w:r>
        <w:t xml:space="preserve"> </w:t>
      </w:r>
      <w:r w:rsidRPr="008516D1">
        <w:t>fournis</w:t>
      </w:r>
      <w:r>
        <w:t xml:space="preserve"> </w:t>
      </w:r>
      <w:r w:rsidRPr="008516D1">
        <w:t>annuellement</w:t>
      </w:r>
      <w:r>
        <w:t xml:space="preserve"> </w:t>
      </w:r>
      <w:r w:rsidRPr="008516D1">
        <w:t>aux</w:t>
      </w:r>
      <w:r>
        <w:t xml:space="preserve"> </w:t>
      </w:r>
      <w:r w:rsidRPr="008516D1">
        <w:t>Honduriens</w:t>
      </w:r>
      <w:r>
        <w:t xml:space="preserve"> </w:t>
      </w:r>
      <w:r w:rsidRPr="008516D1">
        <w:t>à</w:t>
      </w:r>
      <w:r>
        <w:t xml:space="preserve"> </w:t>
      </w:r>
      <w:r w:rsidRPr="008516D1">
        <w:t>l</w:t>
      </w:r>
      <w:r>
        <w:t>’</w:t>
      </w:r>
      <w:r w:rsidRPr="008516D1">
        <w:t>étranger</w:t>
      </w:r>
      <w:r>
        <w:t xml:space="preserve"> </w:t>
      </w:r>
      <w:r w:rsidRPr="008516D1">
        <w:t>sont</w:t>
      </w:r>
      <w:r>
        <w:t xml:space="preserve"> </w:t>
      </w:r>
      <w:r w:rsidRPr="008516D1">
        <w:t>présentés</w:t>
      </w:r>
      <w:r>
        <w:t xml:space="preserve"> </w:t>
      </w:r>
      <w:r w:rsidRPr="008516D1">
        <w:t>dans</w:t>
      </w:r>
      <w:r>
        <w:t xml:space="preserve"> </w:t>
      </w:r>
      <w:r w:rsidRPr="008516D1">
        <w:t>le</w:t>
      </w:r>
      <w:r>
        <w:t xml:space="preserve"> </w:t>
      </w:r>
      <w:r w:rsidRPr="008516D1">
        <w:t>tableau</w:t>
      </w:r>
      <w:r>
        <w:t xml:space="preserve"> </w:t>
      </w:r>
      <w:r w:rsidRPr="008516D1">
        <w:t>ci-après.</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793"/>
        <w:gridCol w:w="794"/>
        <w:gridCol w:w="793"/>
        <w:gridCol w:w="794"/>
        <w:gridCol w:w="794"/>
      </w:tblGrid>
      <w:tr w:rsidR="00286956" w:rsidRPr="00286956" w14:paraId="45F8A538" w14:textId="77777777" w:rsidTr="00286956">
        <w:trPr>
          <w:tblHeader/>
        </w:trPr>
        <w:tc>
          <w:tcPr>
            <w:tcW w:w="7370" w:type="dxa"/>
            <w:gridSpan w:val="6"/>
            <w:tcBorders>
              <w:top w:val="single" w:sz="4" w:space="0" w:color="auto"/>
              <w:bottom w:val="single" w:sz="12" w:space="0" w:color="auto"/>
            </w:tcBorders>
            <w:shd w:val="clear" w:color="auto" w:fill="auto"/>
            <w:vAlign w:val="bottom"/>
          </w:tcPr>
          <w:p w14:paraId="6ECCE84C" w14:textId="77777777" w:rsidR="00286956" w:rsidRPr="00286956" w:rsidRDefault="00286956" w:rsidP="00286956">
            <w:pPr>
              <w:suppressAutoHyphens w:val="0"/>
              <w:spacing w:before="80" w:after="80" w:line="200" w:lineRule="exact"/>
              <w:rPr>
                <w:i/>
                <w:sz w:val="16"/>
              </w:rPr>
            </w:pPr>
            <w:r w:rsidRPr="00286956">
              <w:rPr>
                <w:i/>
                <w:sz w:val="16"/>
              </w:rPr>
              <w:t>Services fournis aux Honduriens (2016-2020)</w:t>
            </w:r>
          </w:p>
        </w:tc>
      </w:tr>
      <w:tr w:rsidR="00286956" w:rsidRPr="00286956" w14:paraId="47515300" w14:textId="77777777" w:rsidTr="009B75A4">
        <w:tc>
          <w:tcPr>
            <w:tcW w:w="3402" w:type="dxa"/>
            <w:tcBorders>
              <w:top w:val="single" w:sz="12" w:space="0" w:color="auto"/>
            </w:tcBorders>
            <w:shd w:val="clear" w:color="auto" w:fill="auto"/>
          </w:tcPr>
          <w:p w14:paraId="6EE727B0" w14:textId="77777777" w:rsidR="00286956" w:rsidRPr="00286956" w:rsidRDefault="00286956" w:rsidP="00286956">
            <w:pPr>
              <w:suppressAutoHyphens w:val="0"/>
              <w:spacing w:before="40" w:after="40" w:line="220" w:lineRule="exact"/>
              <w:rPr>
                <w:b/>
                <w:sz w:val="18"/>
              </w:rPr>
            </w:pPr>
            <w:r w:rsidRPr="00286956">
              <w:rPr>
                <w:b/>
                <w:sz w:val="18"/>
              </w:rPr>
              <w:t>Type de service</w:t>
            </w:r>
          </w:p>
        </w:tc>
        <w:tc>
          <w:tcPr>
            <w:tcW w:w="793" w:type="dxa"/>
            <w:tcBorders>
              <w:top w:val="single" w:sz="12" w:space="0" w:color="auto"/>
            </w:tcBorders>
            <w:shd w:val="clear" w:color="auto" w:fill="auto"/>
          </w:tcPr>
          <w:p w14:paraId="34EA7CAE" w14:textId="77777777" w:rsidR="00286956" w:rsidRPr="00286956" w:rsidRDefault="00286956" w:rsidP="00286956">
            <w:pPr>
              <w:suppressAutoHyphens w:val="0"/>
              <w:spacing w:before="40" w:after="40" w:line="220" w:lineRule="exact"/>
              <w:jc w:val="right"/>
              <w:rPr>
                <w:b/>
                <w:sz w:val="18"/>
              </w:rPr>
            </w:pPr>
            <w:r w:rsidRPr="00286956">
              <w:rPr>
                <w:b/>
                <w:sz w:val="18"/>
              </w:rPr>
              <w:t>2016</w:t>
            </w:r>
          </w:p>
        </w:tc>
        <w:tc>
          <w:tcPr>
            <w:tcW w:w="794" w:type="dxa"/>
            <w:tcBorders>
              <w:top w:val="single" w:sz="12" w:space="0" w:color="auto"/>
            </w:tcBorders>
            <w:shd w:val="clear" w:color="auto" w:fill="auto"/>
          </w:tcPr>
          <w:p w14:paraId="22BDEEDD" w14:textId="77777777" w:rsidR="00286956" w:rsidRPr="00286956" w:rsidRDefault="00286956" w:rsidP="00286956">
            <w:pPr>
              <w:suppressAutoHyphens w:val="0"/>
              <w:spacing w:before="40" w:after="40" w:line="220" w:lineRule="exact"/>
              <w:jc w:val="right"/>
              <w:rPr>
                <w:b/>
                <w:sz w:val="18"/>
              </w:rPr>
            </w:pPr>
            <w:r w:rsidRPr="00286956">
              <w:rPr>
                <w:b/>
                <w:sz w:val="18"/>
              </w:rPr>
              <w:t>2017</w:t>
            </w:r>
          </w:p>
        </w:tc>
        <w:tc>
          <w:tcPr>
            <w:tcW w:w="793" w:type="dxa"/>
            <w:tcBorders>
              <w:top w:val="single" w:sz="12" w:space="0" w:color="auto"/>
            </w:tcBorders>
            <w:shd w:val="clear" w:color="auto" w:fill="auto"/>
          </w:tcPr>
          <w:p w14:paraId="6B814AFB" w14:textId="77777777" w:rsidR="00286956" w:rsidRPr="00286956" w:rsidRDefault="00286956" w:rsidP="00286956">
            <w:pPr>
              <w:suppressAutoHyphens w:val="0"/>
              <w:spacing w:before="40" w:after="40" w:line="220" w:lineRule="exact"/>
              <w:jc w:val="right"/>
              <w:rPr>
                <w:b/>
                <w:sz w:val="18"/>
              </w:rPr>
            </w:pPr>
            <w:r w:rsidRPr="00286956">
              <w:rPr>
                <w:b/>
                <w:sz w:val="18"/>
              </w:rPr>
              <w:t>2018</w:t>
            </w:r>
          </w:p>
        </w:tc>
        <w:tc>
          <w:tcPr>
            <w:tcW w:w="794" w:type="dxa"/>
            <w:tcBorders>
              <w:top w:val="single" w:sz="12" w:space="0" w:color="auto"/>
            </w:tcBorders>
            <w:shd w:val="clear" w:color="auto" w:fill="auto"/>
          </w:tcPr>
          <w:p w14:paraId="5A266FF3" w14:textId="77777777" w:rsidR="00286956" w:rsidRPr="00286956" w:rsidRDefault="00286956" w:rsidP="00286956">
            <w:pPr>
              <w:suppressAutoHyphens w:val="0"/>
              <w:spacing w:before="40" w:after="40" w:line="220" w:lineRule="exact"/>
              <w:jc w:val="right"/>
              <w:rPr>
                <w:b/>
                <w:sz w:val="18"/>
              </w:rPr>
            </w:pPr>
            <w:r w:rsidRPr="00286956">
              <w:rPr>
                <w:b/>
                <w:sz w:val="18"/>
              </w:rPr>
              <w:t>2019</w:t>
            </w:r>
          </w:p>
        </w:tc>
        <w:tc>
          <w:tcPr>
            <w:tcW w:w="794" w:type="dxa"/>
            <w:tcBorders>
              <w:top w:val="single" w:sz="12" w:space="0" w:color="auto"/>
            </w:tcBorders>
            <w:shd w:val="clear" w:color="auto" w:fill="auto"/>
          </w:tcPr>
          <w:p w14:paraId="0FA1A55B" w14:textId="77777777" w:rsidR="00286956" w:rsidRPr="00286956" w:rsidRDefault="00286956" w:rsidP="00286956">
            <w:pPr>
              <w:suppressAutoHyphens w:val="0"/>
              <w:spacing w:before="40" w:after="40" w:line="220" w:lineRule="exact"/>
              <w:jc w:val="right"/>
              <w:rPr>
                <w:b/>
                <w:sz w:val="18"/>
              </w:rPr>
            </w:pPr>
            <w:r w:rsidRPr="00286956">
              <w:rPr>
                <w:b/>
                <w:sz w:val="18"/>
              </w:rPr>
              <w:t>2020</w:t>
            </w:r>
          </w:p>
        </w:tc>
      </w:tr>
      <w:tr w:rsidR="00286956" w:rsidRPr="00286956" w14:paraId="5A8CABE1" w14:textId="77777777" w:rsidTr="009B75A4">
        <w:tc>
          <w:tcPr>
            <w:tcW w:w="3402" w:type="dxa"/>
            <w:shd w:val="clear" w:color="auto" w:fill="auto"/>
          </w:tcPr>
          <w:p w14:paraId="15E9F0A8" w14:textId="77777777" w:rsidR="00286956" w:rsidRPr="00286956" w:rsidRDefault="00286956" w:rsidP="00286956">
            <w:pPr>
              <w:suppressAutoHyphens w:val="0"/>
              <w:spacing w:before="40" w:after="40" w:line="220" w:lineRule="exact"/>
              <w:rPr>
                <w:b/>
                <w:sz w:val="18"/>
              </w:rPr>
            </w:pPr>
            <w:r w:rsidRPr="00286956">
              <w:rPr>
                <w:b/>
                <w:sz w:val="18"/>
              </w:rPr>
              <w:t>Conseils divers</w:t>
            </w:r>
          </w:p>
        </w:tc>
        <w:tc>
          <w:tcPr>
            <w:tcW w:w="793" w:type="dxa"/>
            <w:shd w:val="clear" w:color="auto" w:fill="auto"/>
          </w:tcPr>
          <w:p w14:paraId="4AC225B6" w14:textId="77777777" w:rsidR="00286956" w:rsidRPr="00286956" w:rsidRDefault="00286956" w:rsidP="00286956">
            <w:pPr>
              <w:suppressAutoHyphens w:val="0"/>
              <w:spacing w:before="40" w:after="40" w:line="220" w:lineRule="exact"/>
              <w:jc w:val="right"/>
              <w:rPr>
                <w:sz w:val="18"/>
              </w:rPr>
            </w:pPr>
            <w:r w:rsidRPr="00286956">
              <w:rPr>
                <w:sz w:val="18"/>
              </w:rPr>
              <w:t>76</w:t>
            </w:r>
          </w:p>
        </w:tc>
        <w:tc>
          <w:tcPr>
            <w:tcW w:w="794" w:type="dxa"/>
            <w:shd w:val="clear" w:color="auto" w:fill="auto"/>
          </w:tcPr>
          <w:p w14:paraId="152D984D" w14:textId="77777777" w:rsidR="00286956" w:rsidRPr="00286956" w:rsidRDefault="00286956" w:rsidP="00286956">
            <w:pPr>
              <w:suppressAutoHyphens w:val="0"/>
              <w:spacing w:before="40" w:after="40" w:line="220" w:lineRule="exact"/>
              <w:jc w:val="right"/>
              <w:rPr>
                <w:sz w:val="18"/>
              </w:rPr>
            </w:pPr>
            <w:r w:rsidRPr="00286956">
              <w:rPr>
                <w:sz w:val="18"/>
              </w:rPr>
              <w:t>125</w:t>
            </w:r>
          </w:p>
        </w:tc>
        <w:tc>
          <w:tcPr>
            <w:tcW w:w="793" w:type="dxa"/>
            <w:shd w:val="clear" w:color="auto" w:fill="auto"/>
          </w:tcPr>
          <w:p w14:paraId="11388C01" w14:textId="77777777" w:rsidR="00286956" w:rsidRPr="00286956" w:rsidRDefault="00286956" w:rsidP="00286956">
            <w:pPr>
              <w:suppressAutoHyphens w:val="0"/>
              <w:spacing w:before="40" w:after="40" w:line="220" w:lineRule="exact"/>
              <w:jc w:val="right"/>
              <w:rPr>
                <w:sz w:val="18"/>
              </w:rPr>
            </w:pPr>
            <w:r w:rsidRPr="00286956">
              <w:rPr>
                <w:sz w:val="18"/>
              </w:rPr>
              <w:t>174</w:t>
            </w:r>
          </w:p>
        </w:tc>
        <w:tc>
          <w:tcPr>
            <w:tcW w:w="794" w:type="dxa"/>
            <w:shd w:val="clear" w:color="auto" w:fill="auto"/>
          </w:tcPr>
          <w:p w14:paraId="415FC786" w14:textId="77777777" w:rsidR="00286956" w:rsidRPr="00286956" w:rsidRDefault="00286956" w:rsidP="00286956">
            <w:pPr>
              <w:suppressAutoHyphens w:val="0"/>
              <w:spacing w:before="40" w:after="40" w:line="220" w:lineRule="exact"/>
              <w:jc w:val="right"/>
              <w:rPr>
                <w:sz w:val="18"/>
              </w:rPr>
            </w:pPr>
            <w:r w:rsidRPr="00286956">
              <w:rPr>
                <w:sz w:val="18"/>
              </w:rPr>
              <w:t>87</w:t>
            </w:r>
          </w:p>
        </w:tc>
        <w:tc>
          <w:tcPr>
            <w:tcW w:w="794" w:type="dxa"/>
            <w:shd w:val="clear" w:color="auto" w:fill="auto"/>
          </w:tcPr>
          <w:p w14:paraId="12762C42" w14:textId="77777777" w:rsidR="00286956" w:rsidRPr="00286956" w:rsidRDefault="00286956" w:rsidP="00286956">
            <w:pPr>
              <w:suppressAutoHyphens w:val="0"/>
              <w:spacing w:before="40" w:after="40" w:line="220" w:lineRule="exact"/>
              <w:jc w:val="right"/>
              <w:rPr>
                <w:sz w:val="18"/>
              </w:rPr>
            </w:pPr>
            <w:r w:rsidRPr="00286956">
              <w:rPr>
                <w:sz w:val="18"/>
              </w:rPr>
              <w:t>25</w:t>
            </w:r>
          </w:p>
        </w:tc>
      </w:tr>
      <w:tr w:rsidR="00286956" w:rsidRPr="00286956" w14:paraId="1387E743" w14:textId="77777777" w:rsidTr="009B75A4">
        <w:tc>
          <w:tcPr>
            <w:tcW w:w="3402" w:type="dxa"/>
            <w:shd w:val="clear" w:color="auto" w:fill="auto"/>
          </w:tcPr>
          <w:p w14:paraId="61AAB0A7" w14:textId="77777777" w:rsidR="00286956" w:rsidRPr="00286956" w:rsidRDefault="00286956" w:rsidP="00286956">
            <w:pPr>
              <w:suppressAutoHyphens w:val="0"/>
              <w:spacing w:before="40" w:after="40" w:line="220" w:lineRule="exact"/>
              <w:rPr>
                <w:b/>
                <w:bCs/>
                <w:sz w:val="18"/>
                <w:szCs w:val="24"/>
              </w:rPr>
            </w:pPr>
            <w:r w:rsidRPr="00286956">
              <w:rPr>
                <w:b/>
                <w:bCs/>
                <w:sz w:val="18"/>
                <w:szCs w:val="24"/>
              </w:rPr>
              <w:t>Aide financière aux personnes vulnérables</w:t>
            </w:r>
          </w:p>
        </w:tc>
        <w:tc>
          <w:tcPr>
            <w:tcW w:w="793" w:type="dxa"/>
            <w:shd w:val="clear" w:color="auto" w:fill="auto"/>
          </w:tcPr>
          <w:p w14:paraId="6C47CF4E" w14:textId="77777777" w:rsidR="00286956" w:rsidRPr="00286956" w:rsidRDefault="00286956" w:rsidP="00286956">
            <w:pPr>
              <w:suppressAutoHyphens w:val="0"/>
              <w:spacing w:before="40" w:after="40" w:line="220" w:lineRule="exact"/>
              <w:jc w:val="right"/>
              <w:rPr>
                <w:sz w:val="18"/>
              </w:rPr>
            </w:pPr>
            <w:r w:rsidRPr="00286956">
              <w:rPr>
                <w:sz w:val="18"/>
              </w:rPr>
              <w:t>61</w:t>
            </w:r>
          </w:p>
        </w:tc>
        <w:tc>
          <w:tcPr>
            <w:tcW w:w="794" w:type="dxa"/>
            <w:shd w:val="clear" w:color="auto" w:fill="auto"/>
          </w:tcPr>
          <w:p w14:paraId="19E8DEF8" w14:textId="77777777" w:rsidR="00286956" w:rsidRPr="00286956" w:rsidRDefault="00286956" w:rsidP="00286956">
            <w:pPr>
              <w:suppressAutoHyphens w:val="0"/>
              <w:spacing w:before="40" w:after="40" w:line="220" w:lineRule="exact"/>
              <w:jc w:val="right"/>
              <w:rPr>
                <w:sz w:val="18"/>
              </w:rPr>
            </w:pPr>
            <w:r w:rsidRPr="00286956">
              <w:rPr>
                <w:sz w:val="18"/>
              </w:rPr>
              <w:t>87</w:t>
            </w:r>
          </w:p>
        </w:tc>
        <w:tc>
          <w:tcPr>
            <w:tcW w:w="793" w:type="dxa"/>
            <w:shd w:val="clear" w:color="auto" w:fill="auto"/>
          </w:tcPr>
          <w:p w14:paraId="15BE9ED9" w14:textId="77777777" w:rsidR="00286956" w:rsidRPr="00286956" w:rsidRDefault="00286956" w:rsidP="00286956">
            <w:pPr>
              <w:suppressAutoHyphens w:val="0"/>
              <w:spacing w:before="40" w:after="40" w:line="220" w:lineRule="exact"/>
              <w:jc w:val="right"/>
              <w:rPr>
                <w:sz w:val="18"/>
              </w:rPr>
            </w:pPr>
            <w:r w:rsidRPr="00286956">
              <w:rPr>
                <w:sz w:val="18"/>
              </w:rPr>
              <w:t>100</w:t>
            </w:r>
          </w:p>
        </w:tc>
        <w:tc>
          <w:tcPr>
            <w:tcW w:w="794" w:type="dxa"/>
            <w:shd w:val="clear" w:color="auto" w:fill="auto"/>
          </w:tcPr>
          <w:p w14:paraId="4CE09AA3" w14:textId="77777777" w:rsidR="00286956" w:rsidRPr="00286956" w:rsidRDefault="00286956" w:rsidP="00286956">
            <w:pPr>
              <w:suppressAutoHyphens w:val="0"/>
              <w:spacing w:before="40" w:after="40" w:line="220" w:lineRule="exact"/>
              <w:jc w:val="right"/>
              <w:rPr>
                <w:sz w:val="18"/>
              </w:rPr>
            </w:pPr>
            <w:r w:rsidRPr="00286956">
              <w:rPr>
                <w:sz w:val="18"/>
              </w:rPr>
              <w:t>151</w:t>
            </w:r>
          </w:p>
        </w:tc>
        <w:tc>
          <w:tcPr>
            <w:tcW w:w="794" w:type="dxa"/>
            <w:shd w:val="clear" w:color="auto" w:fill="auto"/>
          </w:tcPr>
          <w:p w14:paraId="5F9934B5" w14:textId="77777777" w:rsidR="00286956" w:rsidRPr="00286956" w:rsidRDefault="00286956" w:rsidP="00286956">
            <w:pPr>
              <w:suppressAutoHyphens w:val="0"/>
              <w:spacing w:before="40" w:after="40" w:line="220" w:lineRule="exact"/>
              <w:jc w:val="right"/>
              <w:rPr>
                <w:sz w:val="18"/>
              </w:rPr>
            </w:pPr>
            <w:r w:rsidRPr="00286956">
              <w:rPr>
                <w:sz w:val="18"/>
              </w:rPr>
              <w:t>57</w:t>
            </w:r>
          </w:p>
        </w:tc>
      </w:tr>
      <w:tr w:rsidR="00286956" w:rsidRPr="00286956" w14:paraId="585D65F4" w14:textId="77777777" w:rsidTr="009B75A4">
        <w:tc>
          <w:tcPr>
            <w:tcW w:w="3402" w:type="dxa"/>
            <w:shd w:val="clear" w:color="auto" w:fill="auto"/>
          </w:tcPr>
          <w:p w14:paraId="5FBFB135" w14:textId="77777777" w:rsidR="00286956" w:rsidRPr="00286956" w:rsidRDefault="00286956" w:rsidP="00286956">
            <w:pPr>
              <w:suppressAutoHyphens w:val="0"/>
              <w:spacing w:before="40" w:after="40" w:line="220" w:lineRule="exact"/>
              <w:rPr>
                <w:b/>
                <w:bCs/>
                <w:sz w:val="18"/>
                <w:szCs w:val="24"/>
              </w:rPr>
            </w:pPr>
            <w:r w:rsidRPr="00286956">
              <w:rPr>
                <w:b/>
                <w:bCs/>
                <w:sz w:val="18"/>
                <w:szCs w:val="24"/>
              </w:rPr>
              <w:t>Assistance aux familles de ressortissants</w:t>
            </w:r>
            <w:r w:rsidRPr="00286956">
              <w:rPr>
                <w:sz w:val="18"/>
                <w:szCs w:val="24"/>
              </w:rPr>
              <w:t xml:space="preserve"> </w:t>
            </w:r>
            <w:r w:rsidRPr="00286956">
              <w:rPr>
                <w:b/>
                <w:bCs/>
                <w:sz w:val="18"/>
                <w:szCs w:val="24"/>
              </w:rPr>
              <w:t>honduriens disparus</w:t>
            </w:r>
          </w:p>
        </w:tc>
        <w:tc>
          <w:tcPr>
            <w:tcW w:w="793" w:type="dxa"/>
            <w:shd w:val="clear" w:color="auto" w:fill="auto"/>
          </w:tcPr>
          <w:p w14:paraId="57FE1D1D" w14:textId="77777777" w:rsidR="00286956" w:rsidRPr="00286956" w:rsidRDefault="00286956" w:rsidP="00286956">
            <w:pPr>
              <w:suppressAutoHyphens w:val="0"/>
              <w:spacing w:before="40" w:after="40" w:line="220" w:lineRule="exact"/>
              <w:jc w:val="right"/>
              <w:rPr>
                <w:sz w:val="18"/>
              </w:rPr>
            </w:pPr>
            <w:r w:rsidRPr="00286956">
              <w:rPr>
                <w:sz w:val="18"/>
              </w:rPr>
              <w:t>70</w:t>
            </w:r>
          </w:p>
        </w:tc>
        <w:tc>
          <w:tcPr>
            <w:tcW w:w="794" w:type="dxa"/>
            <w:shd w:val="clear" w:color="auto" w:fill="auto"/>
          </w:tcPr>
          <w:p w14:paraId="4AAFB9BA" w14:textId="77777777" w:rsidR="00286956" w:rsidRPr="00286956" w:rsidRDefault="00286956" w:rsidP="00286956">
            <w:pPr>
              <w:suppressAutoHyphens w:val="0"/>
              <w:spacing w:before="40" w:after="40" w:line="220" w:lineRule="exact"/>
              <w:jc w:val="right"/>
              <w:rPr>
                <w:sz w:val="18"/>
              </w:rPr>
            </w:pPr>
            <w:r w:rsidRPr="00286956">
              <w:rPr>
                <w:sz w:val="18"/>
              </w:rPr>
              <w:t>96</w:t>
            </w:r>
          </w:p>
        </w:tc>
        <w:tc>
          <w:tcPr>
            <w:tcW w:w="793" w:type="dxa"/>
            <w:shd w:val="clear" w:color="auto" w:fill="auto"/>
          </w:tcPr>
          <w:p w14:paraId="5274E664" w14:textId="77777777" w:rsidR="00286956" w:rsidRPr="00286956" w:rsidRDefault="00286956" w:rsidP="00286956">
            <w:pPr>
              <w:suppressAutoHyphens w:val="0"/>
              <w:spacing w:before="40" w:after="40" w:line="220" w:lineRule="exact"/>
              <w:jc w:val="right"/>
              <w:rPr>
                <w:sz w:val="18"/>
              </w:rPr>
            </w:pPr>
            <w:r w:rsidRPr="00286956">
              <w:rPr>
                <w:sz w:val="18"/>
              </w:rPr>
              <w:t>67</w:t>
            </w:r>
          </w:p>
        </w:tc>
        <w:tc>
          <w:tcPr>
            <w:tcW w:w="794" w:type="dxa"/>
            <w:shd w:val="clear" w:color="auto" w:fill="auto"/>
          </w:tcPr>
          <w:p w14:paraId="69B771A7" w14:textId="77777777" w:rsidR="00286956" w:rsidRPr="00286956" w:rsidRDefault="00286956" w:rsidP="00286956">
            <w:pPr>
              <w:suppressAutoHyphens w:val="0"/>
              <w:spacing w:before="40" w:after="40" w:line="220" w:lineRule="exact"/>
              <w:jc w:val="right"/>
              <w:rPr>
                <w:sz w:val="18"/>
              </w:rPr>
            </w:pPr>
            <w:r w:rsidRPr="00286956">
              <w:rPr>
                <w:sz w:val="18"/>
              </w:rPr>
              <w:t>41</w:t>
            </w:r>
          </w:p>
        </w:tc>
        <w:tc>
          <w:tcPr>
            <w:tcW w:w="794" w:type="dxa"/>
            <w:shd w:val="clear" w:color="auto" w:fill="auto"/>
          </w:tcPr>
          <w:p w14:paraId="3D900004" w14:textId="77777777" w:rsidR="00286956" w:rsidRPr="00286956" w:rsidRDefault="00286956" w:rsidP="00286956">
            <w:pPr>
              <w:suppressAutoHyphens w:val="0"/>
              <w:spacing w:before="40" w:after="40" w:line="220" w:lineRule="exact"/>
              <w:jc w:val="right"/>
              <w:rPr>
                <w:sz w:val="18"/>
              </w:rPr>
            </w:pPr>
            <w:r w:rsidRPr="00286956">
              <w:rPr>
                <w:sz w:val="18"/>
              </w:rPr>
              <w:t>12</w:t>
            </w:r>
          </w:p>
        </w:tc>
      </w:tr>
      <w:tr w:rsidR="00286956" w:rsidRPr="00286956" w14:paraId="67C88B3E" w14:textId="77777777" w:rsidTr="009B75A4">
        <w:tc>
          <w:tcPr>
            <w:tcW w:w="3402" w:type="dxa"/>
            <w:shd w:val="clear" w:color="auto" w:fill="auto"/>
          </w:tcPr>
          <w:p w14:paraId="121D2CF1" w14:textId="77777777" w:rsidR="00286956" w:rsidRPr="00286956" w:rsidRDefault="00286956" w:rsidP="00286956">
            <w:pPr>
              <w:suppressAutoHyphens w:val="0"/>
              <w:spacing w:before="40" w:after="40" w:line="220" w:lineRule="exact"/>
              <w:rPr>
                <w:b/>
                <w:bCs/>
                <w:sz w:val="18"/>
                <w:szCs w:val="24"/>
              </w:rPr>
            </w:pPr>
            <w:r w:rsidRPr="00286956">
              <w:rPr>
                <w:b/>
                <w:bCs/>
                <w:sz w:val="18"/>
                <w:szCs w:val="24"/>
              </w:rPr>
              <w:t>Assistance aux ressortissants honduriens privés de liberté</w:t>
            </w:r>
          </w:p>
        </w:tc>
        <w:tc>
          <w:tcPr>
            <w:tcW w:w="793" w:type="dxa"/>
            <w:shd w:val="clear" w:color="auto" w:fill="auto"/>
          </w:tcPr>
          <w:p w14:paraId="0451D13A" w14:textId="77777777" w:rsidR="00286956" w:rsidRPr="00286956" w:rsidRDefault="00286956" w:rsidP="00286956">
            <w:pPr>
              <w:suppressAutoHyphens w:val="0"/>
              <w:spacing w:before="40" w:after="40" w:line="220" w:lineRule="exact"/>
              <w:jc w:val="right"/>
              <w:rPr>
                <w:sz w:val="18"/>
              </w:rPr>
            </w:pPr>
            <w:r w:rsidRPr="00286956">
              <w:rPr>
                <w:sz w:val="18"/>
              </w:rPr>
              <w:t>217</w:t>
            </w:r>
          </w:p>
        </w:tc>
        <w:tc>
          <w:tcPr>
            <w:tcW w:w="794" w:type="dxa"/>
            <w:shd w:val="clear" w:color="auto" w:fill="auto"/>
          </w:tcPr>
          <w:p w14:paraId="51D44FF9" w14:textId="77777777" w:rsidR="00286956" w:rsidRPr="00286956" w:rsidRDefault="00286956" w:rsidP="00286956">
            <w:pPr>
              <w:suppressAutoHyphens w:val="0"/>
              <w:spacing w:before="40" w:after="40" w:line="220" w:lineRule="exact"/>
              <w:jc w:val="right"/>
              <w:rPr>
                <w:sz w:val="18"/>
              </w:rPr>
            </w:pPr>
            <w:r w:rsidRPr="00286956">
              <w:rPr>
                <w:sz w:val="18"/>
              </w:rPr>
              <w:t>303</w:t>
            </w:r>
          </w:p>
        </w:tc>
        <w:tc>
          <w:tcPr>
            <w:tcW w:w="793" w:type="dxa"/>
            <w:shd w:val="clear" w:color="auto" w:fill="auto"/>
          </w:tcPr>
          <w:p w14:paraId="590CDC3F" w14:textId="77777777" w:rsidR="00286956" w:rsidRPr="00286956" w:rsidRDefault="00286956" w:rsidP="00286956">
            <w:pPr>
              <w:suppressAutoHyphens w:val="0"/>
              <w:spacing w:before="40" w:after="40" w:line="220" w:lineRule="exact"/>
              <w:jc w:val="right"/>
              <w:rPr>
                <w:sz w:val="18"/>
              </w:rPr>
            </w:pPr>
            <w:r w:rsidRPr="00286956">
              <w:rPr>
                <w:sz w:val="18"/>
              </w:rPr>
              <w:t>313</w:t>
            </w:r>
          </w:p>
        </w:tc>
        <w:tc>
          <w:tcPr>
            <w:tcW w:w="794" w:type="dxa"/>
            <w:shd w:val="clear" w:color="auto" w:fill="auto"/>
          </w:tcPr>
          <w:p w14:paraId="5D6A4017" w14:textId="77777777" w:rsidR="00286956" w:rsidRPr="00286956" w:rsidRDefault="00286956" w:rsidP="00286956">
            <w:pPr>
              <w:suppressAutoHyphens w:val="0"/>
              <w:spacing w:before="40" w:after="40" w:line="220" w:lineRule="exact"/>
              <w:jc w:val="right"/>
              <w:rPr>
                <w:sz w:val="18"/>
              </w:rPr>
            </w:pPr>
            <w:r w:rsidRPr="00286956">
              <w:rPr>
                <w:sz w:val="18"/>
              </w:rPr>
              <w:t>698</w:t>
            </w:r>
          </w:p>
        </w:tc>
        <w:tc>
          <w:tcPr>
            <w:tcW w:w="794" w:type="dxa"/>
            <w:shd w:val="clear" w:color="auto" w:fill="auto"/>
          </w:tcPr>
          <w:p w14:paraId="50299F13" w14:textId="748089B2" w:rsidR="00286956" w:rsidRPr="00286956" w:rsidRDefault="00286956" w:rsidP="00286956">
            <w:pPr>
              <w:suppressAutoHyphens w:val="0"/>
              <w:spacing w:before="40" w:after="40" w:line="220" w:lineRule="exact"/>
              <w:jc w:val="right"/>
              <w:rPr>
                <w:sz w:val="18"/>
              </w:rPr>
            </w:pPr>
            <w:r w:rsidRPr="00286956">
              <w:rPr>
                <w:sz w:val="18"/>
              </w:rPr>
              <w:t>2</w:t>
            </w:r>
            <w:r w:rsidR="009B75A4">
              <w:rPr>
                <w:sz w:val="18"/>
              </w:rPr>
              <w:t xml:space="preserve"> </w:t>
            </w:r>
            <w:r w:rsidRPr="00286956">
              <w:rPr>
                <w:sz w:val="18"/>
              </w:rPr>
              <w:t>020</w:t>
            </w:r>
          </w:p>
        </w:tc>
      </w:tr>
      <w:tr w:rsidR="00286956" w:rsidRPr="00286956" w14:paraId="4C844313" w14:textId="77777777" w:rsidTr="009B75A4">
        <w:tc>
          <w:tcPr>
            <w:tcW w:w="3402" w:type="dxa"/>
            <w:shd w:val="clear" w:color="auto" w:fill="auto"/>
          </w:tcPr>
          <w:p w14:paraId="1392C695" w14:textId="77777777" w:rsidR="00286956" w:rsidRPr="00286956" w:rsidRDefault="00286956" w:rsidP="00286956">
            <w:pPr>
              <w:suppressAutoHyphens w:val="0"/>
              <w:spacing w:before="40" w:after="40" w:line="220" w:lineRule="exact"/>
              <w:rPr>
                <w:b/>
                <w:sz w:val="18"/>
              </w:rPr>
            </w:pPr>
            <w:r w:rsidRPr="00286956">
              <w:rPr>
                <w:b/>
                <w:sz w:val="18"/>
              </w:rPr>
              <w:t>Assistance aux enfants</w:t>
            </w:r>
          </w:p>
        </w:tc>
        <w:tc>
          <w:tcPr>
            <w:tcW w:w="793" w:type="dxa"/>
            <w:shd w:val="clear" w:color="auto" w:fill="auto"/>
          </w:tcPr>
          <w:p w14:paraId="00D8FBAE" w14:textId="77777777" w:rsidR="00286956" w:rsidRPr="00286956" w:rsidRDefault="00286956" w:rsidP="00286956">
            <w:pPr>
              <w:suppressAutoHyphens w:val="0"/>
              <w:spacing w:before="40" w:after="40" w:line="220" w:lineRule="exact"/>
              <w:jc w:val="right"/>
              <w:rPr>
                <w:sz w:val="18"/>
              </w:rPr>
            </w:pPr>
            <w:r w:rsidRPr="00286956">
              <w:rPr>
                <w:sz w:val="18"/>
              </w:rPr>
              <w:t>89</w:t>
            </w:r>
          </w:p>
        </w:tc>
        <w:tc>
          <w:tcPr>
            <w:tcW w:w="794" w:type="dxa"/>
            <w:shd w:val="clear" w:color="auto" w:fill="auto"/>
          </w:tcPr>
          <w:p w14:paraId="1F3BE282" w14:textId="77777777" w:rsidR="00286956" w:rsidRPr="00286956" w:rsidRDefault="00286956" w:rsidP="00286956">
            <w:pPr>
              <w:suppressAutoHyphens w:val="0"/>
              <w:spacing w:before="40" w:after="40" w:line="220" w:lineRule="exact"/>
              <w:jc w:val="right"/>
              <w:rPr>
                <w:sz w:val="18"/>
              </w:rPr>
            </w:pPr>
            <w:r w:rsidRPr="00286956">
              <w:rPr>
                <w:sz w:val="18"/>
              </w:rPr>
              <w:t>173</w:t>
            </w:r>
          </w:p>
        </w:tc>
        <w:tc>
          <w:tcPr>
            <w:tcW w:w="793" w:type="dxa"/>
            <w:shd w:val="clear" w:color="auto" w:fill="auto"/>
          </w:tcPr>
          <w:p w14:paraId="576D53B8" w14:textId="77777777" w:rsidR="00286956" w:rsidRPr="00286956" w:rsidRDefault="00286956" w:rsidP="00286956">
            <w:pPr>
              <w:suppressAutoHyphens w:val="0"/>
              <w:spacing w:before="40" w:after="40" w:line="220" w:lineRule="exact"/>
              <w:jc w:val="right"/>
              <w:rPr>
                <w:sz w:val="18"/>
              </w:rPr>
            </w:pPr>
            <w:r w:rsidRPr="00286956">
              <w:rPr>
                <w:sz w:val="18"/>
              </w:rPr>
              <w:t>271</w:t>
            </w:r>
          </w:p>
        </w:tc>
        <w:tc>
          <w:tcPr>
            <w:tcW w:w="794" w:type="dxa"/>
            <w:shd w:val="clear" w:color="auto" w:fill="auto"/>
          </w:tcPr>
          <w:p w14:paraId="18318B8E" w14:textId="77777777" w:rsidR="00286956" w:rsidRPr="00286956" w:rsidRDefault="00286956" w:rsidP="00286956">
            <w:pPr>
              <w:suppressAutoHyphens w:val="0"/>
              <w:spacing w:before="40" w:after="40" w:line="220" w:lineRule="exact"/>
              <w:jc w:val="right"/>
              <w:rPr>
                <w:sz w:val="18"/>
              </w:rPr>
            </w:pPr>
            <w:r w:rsidRPr="00286956">
              <w:rPr>
                <w:sz w:val="18"/>
              </w:rPr>
              <w:t>242</w:t>
            </w:r>
          </w:p>
        </w:tc>
        <w:tc>
          <w:tcPr>
            <w:tcW w:w="794" w:type="dxa"/>
            <w:shd w:val="clear" w:color="auto" w:fill="auto"/>
          </w:tcPr>
          <w:p w14:paraId="3FC39051" w14:textId="77777777" w:rsidR="00286956" w:rsidRPr="00286956" w:rsidRDefault="00286956" w:rsidP="00286956">
            <w:pPr>
              <w:suppressAutoHyphens w:val="0"/>
              <w:spacing w:before="40" w:after="40" w:line="220" w:lineRule="exact"/>
              <w:jc w:val="right"/>
              <w:rPr>
                <w:sz w:val="18"/>
              </w:rPr>
            </w:pPr>
            <w:r w:rsidRPr="00286956">
              <w:rPr>
                <w:sz w:val="18"/>
              </w:rPr>
              <w:t>103</w:t>
            </w:r>
          </w:p>
        </w:tc>
      </w:tr>
      <w:tr w:rsidR="00286956" w:rsidRPr="00286956" w14:paraId="1A546230" w14:textId="77777777" w:rsidTr="009B75A4">
        <w:tc>
          <w:tcPr>
            <w:tcW w:w="3402" w:type="dxa"/>
            <w:shd w:val="clear" w:color="auto" w:fill="auto"/>
          </w:tcPr>
          <w:p w14:paraId="090E0CF8" w14:textId="77777777" w:rsidR="00286956" w:rsidRPr="00286956" w:rsidRDefault="00286956" w:rsidP="00286956">
            <w:pPr>
              <w:suppressAutoHyphens w:val="0"/>
              <w:spacing w:before="40" w:after="40" w:line="220" w:lineRule="exact"/>
              <w:rPr>
                <w:b/>
                <w:bCs/>
                <w:sz w:val="18"/>
                <w:szCs w:val="24"/>
              </w:rPr>
            </w:pPr>
            <w:r w:rsidRPr="00286956">
              <w:rPr>
                <w:b/>
                <w:bCs/>
                <w:sz w:val="18"/>
                <w:szCs w:val="24"/>
              </w:rPr>
              <w:t>Assistance aux victimes de traite</w:t>
            </w:r>
          </w:p>
        </w:tc>
        <w:tc>
          <w:tcPr>
            <w:tcW w:w="793" w:type="dxa"/>
            <w:shd w:val="clear" w:color="auto" w:fill="auto"/>
          </w:tcPr>
          <w:p w14:paraId="7B142A22" w14:textId="77777777" w:rsidR="00286956" w:rsidRPr="00286956" w:rsidRDefault="00286956" w:rsidP="00286956">
            <w:pPr>
              <w:suppressAutoHyphens w:val="0"/>
              <w:spacing w:before="40" w:after="40" w:line="220" w:lineRule="exact"/>
              <w:jc w:val="right"/>
              <w:rPr>
                <w:sz w:val="18"/>
              </w:rPr>
            </w:pPr>
            <w:r w:rsidRPr="00286956">
              <w:rPr>
                <w:sz w:val="18"/>
              </w:rPr>
              <w:t>1</w:t>
            </w:r>
          </w:p>
        </w:tc>
        <w:tc>
          <w:tcPr>
            <w:tcW w:w="794" w:type="dxa"/>
            <w:shd w:val="clear" w:color="auto" w:fill="auto"/>
          </w:tcPr>
          <w:p w14:paraId="4FA1425A" w14:textId="77777777" w:rsidR="00286956" w:rsidRPr="00286956" w:rsidRDefault="00286956" w:rsidP="00286956">
            <w:pPr>
              <w:suppressAutoHyphens w:val="0"/>
              <w:spacing w:before="40" w:after="40" w:line="220" w:lineRule="exact"/>
              <w:jc w:val="right"/>
              <w:rPr>
                <w:sz w:val="18"/>
              </w:rPr>
            </w:pPr>
            <w:r w:rsidRPr="00286956">
              <w:rPr>
                <w:sz w:val="18"/>
              </w:rPr>
              <w:t>8</w:t>
            </w:r>
          </w:p>
        </w:tc>
        <w:tc>
          <w:tcPr>
            <w:tcW w:w="793" w:type="dxa"/>
            <w:shd w:val="clear" w:color="auto" w:fill="auto"/>
          </w:tcPr>
          <w:p w14:paraId="787B5507" w14:textId="77777777" w:rsidR="00286956" w:rsidRPr="00286956" w:rsidRDefault="00286956" w:rsidP="00286956">
            <w:pPr>
              <w:suppressAutoHyphens w:val="0"/>
              <w:spacing w:before="40" w:after="40" w:line="220" w:lineRule="exact"/>
              <w:jc w:val="right"/>
              <w:rPr>
                <w:sz w:val="18"/>
              </w:rPr>
            </w:pPr>
            <w:r w:rsidRPr="00286956">
              <w:rPr>
                <w:sz w:val="18"/>
              </w:rPr>
              <w:t>0</w:t>
            </w:r>
          </w:p>
        </w:tc>
        <w:tc>
          <w:tcPr>
            <w:tcW w:w="794" w:type="dxa"/>
            <w:shd w:val="clear" w:color="auto" w:fill="auto"/>
          </w:tcPr>
          <w:p w14:paraId="2E79E1AF" w14:textId="77777777" w:rsidR="00286956" w:rsidRPr="00286956" w:rsidRDefault="00286956" w:rsidP="00286956">
            <w:pPr>
              <w:suppressAutoHyphens w:val="0"/>
              <w:spacing w:before="40" w:after="40" w:line="220" w:lineRule="exact"/>
              <w:jc w:val="right"/>
              <w:rPr>
                <w:sz w:val="18"/>
              </w:rPr>
            </w:pPr>
            <w:r w:rsidRPr="00286956">
              <w:rPr>
                <w:sz w:val="18"/>
              </w:rPr>
              <w:t>13</w:t>
            </w:r>
          </w:p>
        </w:tc>
        <w:tc>
          <w:tcPr>
            <w:tcW w:w="794" w:type="dxa"/>
            <w:shd w:val="clear" w:color="auto" w:fill="auto"/>
          </w:tcPr>
          <w:p w14:paraId="14D3BF08" w14:textId="77777777" w:rsidR="00286956" w:rsidRPr="00286956" w:rsidRDefault="00286956" w:rsidP="00286956">
            <w:pPr>
              <w:suppressAutoHyphens w:val="0"/>
              <w:spacing w:before="40" w:after="40" w:line="220" w:lineRule="exact"/>
              <w:jc w:val="right"/>
              <w:rPr>
                <w:sz w:val="18"/>
              </w:rPr>
            </w:pPr>
            <w:r w:rsidRPr="00286956">
              <w:rPr>
                <w:sz w:val="18"/>
              </w:rPr>
              <w:t>9</w:t>
            </w:r>
          </w:p>
        </w:tc>
      </w:tr>
      <w:tr w:rsidR="00286956" w:rsidRPr="00286956" w14:paraId="79105632" w14:textId="77777777" w:rsidTr="009B75A4">
        <w:tc>
          <w:tcPr>
            <w:tcW w:w="3402" w:type="dxa"/>
            <w:tcBorders>
              <w:bottom w:val="single" w:sz="12" w:space="0" w:color="auto"/>
            </w:tcBorders>
            <w:shd w:val="clear" w:color="auto" w:fill="auto"/>
          </w:tcPr>
          <w:p w14:paraId="32477B78" w14:textId="7B660941" w:rsidR="00286956" w:rsidRPr="00286956" w:rsidRDefault="00286956" w:rsidP="00286956">
            <w:pPr>
              <w:suppressAutoHyphens w:val="0"/>
              <w:spacing w:before="40" w:after="40" w:line="220" w:lineRule="exact"/>
              <w:rPr>
                <w:b/>
                <w:bCs/>
                <w:sz w:val="18"/>
                <w:szCs w:val="24"/>
              </w:rPr>
            </w:pPr>
            <w:r w:rsidRPr="00286956">
              <w:rPr>
                <w:b/>
                <w:bCs/>
                <w:sz w:val="18"/>
                <w:szCs w:val="24"/>
              </w:rPr>
              <w:t>Vols humanitaires pour les ressortissants</w:t>
            </w:r>
            <w:r w:rsidRPr="00286956">
              <w:rPr>
                <w:sz w:val="18"/>
                <w:szCs w:val="24"/>
              </w:rPr>
              <w:t xml:space="preserve"> </w:t>
            </w:r>
            <w:r w:rsidRPr="00286956">
              <w:rPr>
                <w:b/>
                <w:bCs/>
                <w:sz w:val="18"/>
                <w:szCs w:val="24"/>
              </w:rPr>
              <w:t xml:space="preserve">honduriens (Madrid, Espagne </w:t>
            </w:r>
            <w:r>
              <w:rPr>
                <w:b/>
                <w:bCs/>
                <w:sz w:val="18"/>
                <w:szCs w:val="24"/>
              </w:rPr>
              <w:t>−</w:t>
            </w:r>
            <w:r w:rsidRPr="00286956">
              <w:rPr>
                <w:b/>
                <w:bCs/>
                <w:sz w:val="18"/>
                <w:szCs w:val="24"/>
              </w:rPr>
              <w:t xml:space="preserve"> San Pedro </w:t>
            </w:r>
            <w:proofErr w:type="spellStart"/>
            <w:r w:rsidRPr="00286956">
              <w:rPr>
                <w:b/>
                <w:bCs/>
                <w:sz w:val="18"/>
                <w:szCs w:val="24"/>
              </w:rPr>
              <w:t>Sula</w:t>
            </w:r>
            <w:proofErr w:type="spellEnd"/>
            <w:r w:rsidRPr="00286956">
              <w:rPr>
                <w:b/>
                <w:bCs/>
                <w:sz w:val="18"/>
                <w:szCs w:val="24"/>
              </w:rPr>
              <w:t>, Honduras)</w:t>
            </w:r>
          </w:p>
        </w:tc>
        <w:tc>
          <w:tcPr>
            <w:tcW w:w="793" w:type="dxa"/>
            <w:tcBorders>
              <w:bottom w:val="single" w:sz="12" w:space="0" w:color="auto"/>
            </w:tcBorders>
            <w:shd w:val="clear" w:color="auto" w:fill="auto"/>
          </w:tcPr>
          <w:p w14:paraId="7B586EA0" w14:textId="77777777" w:rsidR="00286956" w:rsidRPr="00286956" w:rsidRDefault="00286956" w:rsidP="00286956">
            <w:pPr>
              <w:suppressAutoHyphens w:val="0"/>
              <w:spacing w:before="40" w:after="40" w:line="220" w:lineRule="exact"/>
              <w:jc w:val="right"/>
              <w:rPr>
                <w:sz w:val="18"/>
              </w:rPr>
            </w:pPr>
            <w:r w:rsidRPr="00286956">
              <w:rPr>
                <w:sz w:val="18"/>
              </w:rPr>
              <w:t>-</w:t>
            </w:r>
          </w:p>
        </w:tc>
        <w:tc>
          <w:tcPr>
            <w:tcW w:w="794" w:type="dxa"/>
            <w:tcBorders>
              <w:bottom w:val="single" w:sz="12" w:space="0" w:color="auto"/>
            </w:tcBorders>
            <w:shd w:val="clear" w:color="auto" w:fill="auto"/>
          </w:tcPr>
          <w:p w14:paraId="0A98EDA2" w14:textId="77777777" w:rsidR="00286956" w:rsidRPr="00286956" w:rsidRDefault="00286956" w:rsidP="00286956">
            <w:pPr>
              <w:suppressAutoHyphens w:val="0"/>
              <w:spacing w:before="40" w:after="40" w:line="220" w:lineRule="exact"/>
              <w:jc w:val="right"/>
              <w:rPr>
                <w:sz w:val="18"/>
              </w:rPr>
            </w:pPr>
            <w:r w:rsidRPr="00286956">
              <w:rPr>
                <w:sz w:val="18"/>
              </w:rPr>
              <w:t>-</w:t>
            </w:r>
          </w:p>
        </w:tc>
        <w:tc>
          <w:tcPr>
            <w:tcW w:w="793" w:type="dxa"/>
            <w:tcBorders>
              <w:bottom w:val="single" w:sz="12" w:space="0" w:color="auto"/>
            </w:tcBorders>
            <w:shd w:val="clear" w:color="auto" w:fill="auto"/>
          </w:tcPr>
          <w:p w14:paraId="27E11CEB" w14:textId="77777777" w:rsidR="00286956" w:rsidRPr="00286956" w:rsidRDefault="00286956" w:rsidP="00286956">
            <w:pPr>
              <w:suppressAutoHyphens w:val="0"/>
              <w:spacing w:before="40" w:after="40" w:line="220" w:lineRule="exact"/>
              <w:jc w:val="right"/>
              <w:rPr>
                <w:sz w:val="18"/>
              </w:rPr>
            </w:pPr>
            <w:r w:rsidRPr="00286956">
              <w:rPr>
                <w:sz w:val="18"/>
              </w:rPr>
              <w:t>-</w:t>
            </w:r>
          </w:p>
        </w:tc>
        <w:tc>
          <w:tcPr>
            <w:tcW w:w="794" w:type="dxa"/>
            <w:tcBorders>
              <w:bottom w:val="single" w:sz="12" w:space="0" w:color="auto"/>
            </w:tcBorders>
            <w:shd w:val="clear" w:color="auto" w:fill="auto"/>
          </w:tcPr>
          <w:p w14:paraId="021F3EA3" w14:textId="77777777" w:rsidR="00286956" w:rsidRPr="00286956" w:rsidRDefault="00286956" w:rsidP="00286956">
            <w:pPr>
              <w:suppressAutoHyphens w:val="0"/>
              <w:spacing w:before="40" w:after="40" w:line="220" w:lineRule="exact"/>
              <w:jc w:val="right"/>
              <w:rPr>
                <w:sz w:val="18"/>
              </w:rPr>
            </w:pPr>
            <w:r w:rsidRPr="00286956">
              <w:rPr>
                <w:sz w:val="18"/>
              </w:rPr>
              <w:t>-</w:t>
            </w:r>
          </w:p>
        </w:tc>
        <w:tc>
          <w:tcPr>
            <w:tcW w:w="794" w:type="dxa"/>
            <w:tcBorders>
              <w:bottom w:val="single" w:sz="12" w:space="0" w:color="auto"/>
            </w:tcBorders>
            <w:shd w:val="clear" w:color="auto" w:fill="auto"/>
          </w:tcPr>
          <w:p w14:paraId="03B2AFD6" w14:textId="77777777" w:rsidR="00286956" w:rsidRPr="00286956" w:rsidRDefault="00286956" w:rsidP="00286956">
            <w:pPr>
              <w:suppressAutoHyphens w:val="0"/>
              <w:spacing w:before="40" w:after="40" w:line="220" w:lineRule="exact"/>
              <w:jc w:val="right"/>
              <w:rPr>
                <w:sz w:val="18"/>
              </w:rPr>
            </w:pPr>
            <w:r w:rsidRPr="00286956">
              <w:rPr>
                <w:sz w:val="18"/>
              </w:rPr>
              <w:t>557</w:t>
            </w:r>
          </w:p>
        </w:tc>
      </w:tr>
    </w:tbl>
    <w:p w14:paraId="02C7A881" w14:textId="022F6D99" w:rsidR="00286956" w:rsidRPr="00286956" w:rsidRDefault="00286956" w:rsidP="00286956">
      <w:pPr>
        <w:pStyle w:val="SingleTxtG"/>
        <w:spacing w:before="120" w:after="240" w:line="220" w:lineRule="atLeast"/>
        <w:ind w:firstLine="170"/>
        <w:jc w:val="left"/>
        <w:rPr>
          <w:sz w:val="18"/>
          <w:szCs w:val="18"/>
        </w:rPr>
      </w:pPr>
      <w:r w:rsidRPr="00286956">
        <w:rPr>
          <w:i/>
          <w:iCs/>
          <w:sz w:val="18"/>
          <w:szCs w:val="18"/>
        </w:rPr>
        <w:t>Source</w:t>
      </w:r>
      <w:r>
        <w:rPr>
          <w:sz w:val="18"/>
          <w:szCs w:val="18"/>
        </w:rPr>
        <w:t> :</w:t>
      </w:r>
      <w:r w:rsidRPr="00286956">
        <w:rPr>
          <w:sz w:val="18"/>
          <w:szCs w:val="18"/>
        </w:rPr>
        <w:t xml:space="preserve"> Données fournies par le Ministère des relations extérieures et de la coopération internationale</w:t>
      </w:r>
      <w:r w:rsidR="009B75A4">
        <w:rPr>
          <w:sz w:val="18"/>
          <w:szCs w:val="18"/>
        </w:rPr>
        <w:t>.</w:t>
      </w:r>
    </w:p>
    <w:p w14:paraId="40981A3B" w14:textId="12F79697" w:rsidR="00286956" w:rsidRPr="008516D1" w:rsidRDefault="00286956" w:rsidP="00286956">
      <w:pPr>
        <w:pStyle w:val="SingleTxtG"/>
      </w:pPr>
      <w:r w:rsidRPr="008516D1">
        <w:t>88.</w:t>
      </w:r>
      <w:r w:rsidRPr="008516D1">
        <w:tab/>
        <w:t>La</w:t>
      </w:r>
      <w:r>
        <w:t xml:space="preserve"> </w:t>
      </w:r>
      <w:r w:rsidRPr="008516D1">
        <w:t>Direction</w:t>
      </w:r>
      <w:r>
        <w:t xml:space="preserve"> </w:t>
      </w:r>
      <w:r w:rsidRPr="008516D1">
        <w:t>générale</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en</w:t>
      </w:r>
      <w:r>
        <w:t xml:space="preserve"> </w:t>
      </w:r>
      <w:r w:rsidRPr="008516D1">
        <w:t>coordination</w:t>
      </w:r>
      <w:r>
        <w:t xml:space="preserve"> </w:t>
      </w:r>
      <w:r w:rsidRPr="008516D1">
        <w:t>avec</w:t>
      </w:r>
      <w:r>
        <w:t xml:space="preserve"> </w:t>
      </w:r>
      <w:r w:rsidRPr="008516D1">
        <w:t>le</w:t>
      </w:r>
      <w:r>
        <w:t xml:space="preserve"> </w:t>
      </w:r>
      <w:r w:rsidRPr="008516D1">
        <w:t>réseau</w:t>
      </w:r>
      <w:r>
        <w:t xml:space="preserve"> </w:t>
      </w:r>
      <w:r w:rsidRPr="008516D1">
        <w:t>consulaire,</w:t>
      </w:r>
      <w:r>
        <w:t xml:space="preserve"> </w:t>
      </w:r>
      <w:r w:rsidRPr="008516D1">
        <w:t>assi</w:t>
      </w:r>
      <w:r w:rsidR="00301C05">
        <w:t>s</w:t>
      </w:r>
      <w:r w:rsidRPr="008516D1">
        <w:t>te</w:t>
      </w:r>
      <w:r>
        <w:t xml:space="preserve"> </w:t>
      </w:r>
      <w:r w:rsidRPr="008516D1">
        <w:t>les</w:t>
      </w:r>
      <w:r>
        <w:t xml:space="preserve"> </w:t>
      </w:r>
      <w:r w:rsidRPr="008516D1">
        <w:t>migrants</w:t>
      </w:r>
      <w:r>
        <w:t xml:space="preserve"> </w:t>
      </w:r>
      <w:r w:rsidRPr="008516D1">
        <w:t>honduriens</w:t>
      </w:r>
      <w:r>
        <w:t xml:space="preserve"> </w:t>
      </w:r>
      <w:r w:rsidRPr="008516D1">
        <w:t>concernés</w:t>
      </w:r>
      <w:r>
        <w:t xml:space="preserve"> </w:t>
      </w:r>
      <w:r w:rsidRPr="008516D1">
        <w:t>par</w:t>
      </w:r>
      <w:r>
        <w:t xml:space="preserve"> </w:t>
      </w:r>
      <w:r w:rsidRPr="008516D1">
        <w:t>une</w:t>
      </w:r>
      <w:r>
        <w:t xml:space="preserve"> </w:t>
      </w:r>
      <w:r w:rsidRPr="008516D1">
        <w:t>procédure</w:t>
      </w:r>
      <w:r>
        <w:t xml:space="preserve"> </w:t>
      </w:r>
      <w:r w:rsidRPr="008516D1">
        <w:t>de</w:t>
      </w:r>
      <w:r>
        <w:t xml:space="preserve"> </w:t>
      </w:r>
      <w:r w:rsidRPr="008516D1">
        <w:t>retour</w:t>
      </w:r>
      <w:r>
        <w:t xml:space="preserve"> </w:t>
      </w:r>
      <w:r w:rsidRPr="008516D1">
        <w:t>au</w:t>
      </w:r>
      <w:r>
        <w:t xml:space="preserve"> </w:t>
      </w:r>
      <w:r w:rsidRPr="008516D1">
        <w:t>pays,</w:t>
      </w:r>
      <w:r>
        <w:t xml:space="preserve"> </w:t>
      </w:r>
      <w:r w:rsidRPr="008516D1">
        <w:t>notamment</w:t>
      </w:r>
      <w:r>
        <w:t xml:space="preserve"> </w:t>
      </w:r>
      <w:r w:rsidRPr="008516D1">
        <w:t>depuis</w:t>
      </w:r>
      <w:r>
        <w:t xml:space="preserve"> </w:t>
      </w:r>
      <w:r w:rsidRPr="008516D1">
        <w:t>le</w:t>
      </w:r>
      <w:r>
        <w:t xml:space="preserve"> </w:t>
      </w:r>
      <w:r w:rsidRPr="008516D1">
        <w:t>Mexique</w:t>
      </w:r>
      <w:r>
        <w:t xml:space="preserve"> </w:t>
      </w:r>
      <w:r w:rsidRPr="008516D1">
        <w:t>et</w:t>
      </w:r>
      <w:r>
        <w:t xml:space="preserve"> </w:t>
      </w:r>
      <w:r w:rsidRPr="008516D1">
        <w:t>les</w:t>
      </w:r>
      <w:r>
        <w:t xml:space="preserve"> </w:t>
      </w:r>
      <w:r w:rsidRPr="008516D1">
        <w:t>États-Unis</w:t>
      </w:r>
      <w:r>
        <w:t xml:space="preserve"> </w:t>
      </w:r>
      <w:r w:rsidRPr="008516D1">
        <w:t>d</w:t>
      </w:r>
      <w:r>
        <w:t>’</w:t>
      </w:r>
      <w:r w:rsidRPr="008516D1">
        <w:t>Amérique,</w:t>
      </w:r>
      <w:r>
        <w:t xml:space="preserve"> </w:t>
      </w:r>
      <w:r w:rsidRPr="008516D1">
        <w:t>afin</w:t>
      </w:r>
      <w:r>
        <w:t xml:space="preserve"> </w:t>
      </w:r>
      <w:r w:rsidRPr="008516D1">
        <w:t>de</w:t>
      </w:r>
      <w:r>
        <w:t xml:space="preserve"> </w:t>
      </w:r>
      <w:r w:rsidRPr="008516D1">
        <w:t>garantir</w:t>
      </w:r>
      <w:r>
        <w:t xml:space="preserve"> </w:t>
      </w:r>
      <w:r w:rsidRPr="008516D1">
        <w:t>leurs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leur</w:t>
      </w:r>
      <w:r>
        <w:t xml:space="preserve"> </w:t>
      </w:r>
      <w:r w:rsidRPr="008516D1">
        <w:t>droit</w:t>
      </w:r>
      <w:r>
        <w:t xml:space="preserve"> </w:t>
      </w:r>
      <w:r w:rsidRPr="008516D1">
        <w:t>à</w:t>
      </w:r>
      <w:r>
        <w:t xml:space="preserve"> </w:t>
      </w:r>
      <w:r w:rsidRPr="008516D1">
        <w:t>une</w:t>
      </w:r>
      <w:r>
        <w:t xml:space="preserve"> </w:t>
      </w:r>
      <w:r w:rsidRPr="008516D1">
        <w:t>procédure</w:t>
      </w:r>
      <w:r>
        <w:t xml:space="preserve"> </w:t>
      </w:r>
      <w:r w:rsidRPr="008516D1">
        <w:t>régulière</w:t>
      </w:r>
      <w:r>
        <w:t xml:space="preserve"> </w:t>
      </w:r>
      <w:r w:rsidRPr="008516D1">
        <w:t>et</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les</w:t>
      </w:r>
      <w:r>
        <w:t xml:space="preserve"> </w:t>
      </w:r>
      <w:r w:rsidRPr="008516D1">
        <w:t>plus</w:t>
      </w:r>
      <w:r>
        <w:t xml:space="preserve"> </w:t>
      </w:r>
      <w:r w:rsidRPr="008516D1">
        <w:t>vulnérables.</w:t>
      </w:r>
    </w:p>
    <w:p w14:paraId="26331A36" w14:textId="4DAAE811" w:rsidR="00286956" w:rsidRPr="008516D1" w:rsidRDefault="00286956" w:rsidP="00286956">
      <w:pPr>
        <w:pStyle w:val="SingleTxtG"/>
      </w:pPr>
      <w:r w:rsidRPr="008516D1">
        <w:t>89.</w:t>
      </w:r>
      <w:r w:rsidRPr="008516D1">
        <w:tab/>
        <w:t>La</w:t>
      </w:r>
      <w:r>
        <w:t xml:space="preserve"> </w:t>
      </w:r>
      <w:r w:rsidRPr="008516D1">
        <w:t>ligne</w:t>
      </w:r>
      <w:r>
        <w:t xml:space="preserve"> </w:t>
      </w:r>
      <w:r w:rsidRPr="008516D1">
        <w:t>du</w:t>
      </w:r>
      <w:r>
        <w:t xml:space="preserve"> </w:t>
      </w:r>
      <w:r w:rsidRPr="008516D1">
        <w:t>centre</w:t>
      </w:r>
      <w:r>
        <w:t xml:space="preserve"> </w:t>
      </w:r>
      <w:r w:rsidRPr="008516D1">
        <w:t>d</w:t>
      </w:r>
      <w:r>
        <w:t>’</w:t>
      </w:r>
      <w:r w:rsidRPr="008516D1">
        <w:t>appel</w:t>
      </w:r>
      <w:r>
        <w:t xml:space="preserve"> </w:t>
      </w:r>
      <w:r w:rsidRPr="008516D1">
        <w:rPr>
          <w:i/>
          <w:iCs/>
        </w:rPr>
        <w:t>ALHO</w:t>
      </w:r>
      <w:r>
        <w:rPr>
          <w:i/>
          <w:iCs/>
        </w:rPr>
        <w:t xml:space="preserve"> </w:t>
      </w:r>
      <w:r w:rsidRPr="008516D1">
        <w:rPr>
          <w:i/>
          <w:iCs/>
        </w:rPr>
        <w:t>VOZ</w:t>
      </w:r>
      <w:r>
        <w:t xml:space="preserve"> </w:t>
      </w:r>
      <w:r w:rsidRPr="008516D1">
        <w:t>assure</w:t>
      </w:r>
      <w:r>
        <w:t xml:space="preserve"> </w:t>
      </w:r>
      <w:r w:rsidRPr="008516D1">
        <w:t>une</w:t>
      </w:r>
      <w:r>
        <w:t xml:space="preserve"> </w:t>
      </w:r>
      <w:r w:rsidRPr="008516D1">
        <w:t>prise</w:t>
      </w:r>
      <w:r>
        <w:t xml:space="preserve"> </w:t>
      </w:r>
      <w:r w:rsidRPr="008516D1">
        <w:t>en</w:t>
      </w:r>
      <w:r>
        <w:t xml:space="preserve"> </w:t>
      </w:r>
      <w:r w:rsidRPr="008516D1">
        <w:t>charge</w:t>
      </w:r>
      <w:r>
        <w:t xml:space="preserve"> </w:t>
      </w:r>
      <w:r w:rsidRPr="008516D1">
        <w:t>téléphonique</w:t>
      </w:r>
      <w:r>
        <w:t xml:space="preserve"> </w:t>
      </w:r>
      <w:r w:rsidRPr="008516D1">
        <w:t>des</w:t>
      </w:r>
      <w:r>
        <w:t xml:space="preserve"> </w:t>
      </w:r>
      <w:r w:rsidRPr="008516D1">
        <w:t>migrants</w:t>
      </w:r>
      <w:r>
        <w:t xml:space="preserve"> </w:t>
      </w:r>
      <w:r w:rsidRPr="008516D1">
        <w:t>et</w:t>
      </w:r>
      <w:r>
        <w:t xml:space="preserve"> </w:t>
      </w:r>
      <w:r w:rsidRPr="008516D1">
        <w:t>de</w:t>
      </w:r>
      <w:r>
        <w:t xml:space="preserve"> </w:t>
      </w:r>
      <w:r w:rsidRPr="008516D1">
        <w:t>leurs</w:t>
      </w:r>
      <w:r>
        <w:t xml:space="preserve"> </w:t>
      </w:r>
      <w:r w:rsidRPr="008516D1">
        <w:t>familles.</w:t>
      </w:r>
      <w:r>
        <w:t xml:space="preserve"> </w:t>
      </w:r>
      <w:r w:rsidRPr="008516D1">
        <w:t>Entre</w:t>
      </w:r>
      <w:r>
        <w:t xml:space="preserve"> </w:t>
      </w:r>
      <w:r w:rsidRPr="008516D1">
        <w:t>2016</w:t>
      </w:r>
      <w:r>
        <w:t xml:space="preserve"> </w:t>
      </w:r>
      <w:r w:rsidRPr="008516D1">
        <w:t>et</w:t>
      </w:r>
      <w:r>
        <w:t xml:space="preserve"> </w:t>
      </w:r>
      <w:r w:rsidRPr="008516D1">
        <w:t>le</w:t>
      </w:r>
      <w:r>
        <w:t xml:space="preserve"> </w:t>
      </w:r>
      <w:r w:rsidRPr="008516D1">
        <w:t>31</w:t>
      </w:r>
      <w:r w:rsidR="00ED5AA3">
        <w:t> </w:t>
      </w:r>
      <w:r w:rsidRPr="008516D1">
        <w:t>mai</w:t>
      </w:r>
      <w:r>
        <w:t xml:space="preserve"> </w:t>
      </w:r>
      <w:r w:rsidRPr="008516D1">
        <w:t>2021,</w:t>
      </w:r>
      <w:r>
        <w:t xml:space="preserve"> </w:t>
      </w:r>
      <w:r w:rsidRPr="008516D1">
        <w:t>elle</w:t>
      </w:r>
      <w:r>
        <w:t xml:space="preserve"> </w:t>
      </w:r>
      <w:r w:rsidRPr="008516D1">
        <w:t>a</w:t>
      </w:r>
      <w:r>
        <w:t xml:space="preserve"> </w:t>
      </w:r>
      <w:r w:rsidRPr="008516D1">
        <w:t>reçu</w:t>
      </w:r>
      <w:r>
        <w:t xml:space="preserve"> </w:t>
      </w:r>
      <w:r w:rsidRPr="008516D1">
        <w:t>1</w:t>
      </w:r>
      <w:r w:rsidR="00ED5AA3">
        <w:t> </w:t>
      </w:r>
      <w:r w:rsidRPr="008516D1">
        <w:t>952</w:t>
      </w:r>
      <w:r w:rsidR="00ED5AA3">
        <w:t> </w:t>
      </w:r>
      <w:r w:rsidRPr="008516D1">
        <w:t>599</w:t>
      </w:r>
      <w:r>
        <w:t xml:space="preserve"> </w:t>
      </w:r>
      <w:r w:rsidRPr="008516D1">
        <w:t>appels</w:t>
      </w:r>
      <w:r>
        <w:t xml:space="preserve"> </w:t>
      </w:r>
      <w:r w:rsidRPr="008516D1">
        <w:t>concernant</w:t>
      </w:r>
      <w:r>
        <w:t xml:space="preserve"> </w:t>
      </w:r>
      <w:r w:rsidRPr="008516D1">
        <w:t>les</w:t>
      </w:r>
      <w:r>
        <w:t xml:space="preserve"> </w:t>
      </w:r>
      <w:r w:rsidRPr="008516D1">
        <w:t>services</w:t>
      </w:r>
      <w:r>
        <w:t xml:space="preserve"> </w:t>
      </w:r>
      <w:r w:rsidRPr="008516D1">
        <w:t>consulaires</w:t>
      </w:r>
      <w:r>
        <w:t xml:space="preserve"> </w:t>
      </w:r>
      <w:r w:rsidRPr="008516D1">
        <w:t>aux</w:t>
      </w:r>
      <w:r>
        <w:t xml:space="preserve"> </w:t>
      </w:r>
      <w:r w:rsidRPr="008516D1">
        <w:t>migrants</w:t>
      </w:r>
      <w:r>
        <w:t xml:space="preserve"> </w:t>
      </w:r>
      <w:r w:rsidRPr="008516D1">
        <w:t>et,</w:t>
      </w:r>
      <w:r>
        <w:t xml:space="preserve"> </w:t>
      </w:r>
      <w:r w:rsidRPr="008516D1">
        <w:t>notamment,</w:t>
      </w:r>
      <w:r>
        <w:t xml:space="preserve"> </w:t>
      </w:r>
      <w:r w:rsidRPr="008516D1">
        <w:t>la</w:t>
      </w:r>
      <w:r>
        <w:t xml:space="preserve"> </w:t>
      </w:r>
      <w:r w:rsidRPr="008516D1">
        <w:t>localisation</w:t>
      </w:r>
      <w:r>
        <w:t xml:space="preserve"> </w:t>
      </w:r>
      <w:r w:rsidRPr="008516D1">
        <w:t>de</w:t>
      </w:r>
      <w:r>
        <w:t xml:space="preserve"> </w:t>
      </w:r>
      <w:r w:rsidRPr="008516D1">
        <w:t>personnes</w:t>
      </w:r>
      <w:r>
        <w:t xml:space="preserve"> </w:t>
      </w:r>
      <w:r w:rsidRPr="008516D1">
        <w:t>détenues</w:t>
      </w:r>
      <w:r>
        <w:t xml:space="preserve"> </w:t>
      </w:r>
      <w:r w:rsidRPr="008516D1">
        <w:t>et</w:t>
      </w:r>
      <w:r>
        <w:t xml:space="preserve"> </w:t>
      </w:r>
      <w:r w:rsidRPr="008516D1">
        <w:t>décédées</w:t>
      </w:r>
      <w:r>
        <w:t xml:space="preserve"> </w:t>
      </w:r>
      <w:r w:rsidRPr="008516D1">
        <w:t>à</w:t>
      </w:r>
      <w:r>
        <w:t xml:space="preserve"> </w:t>
      </w:r>
      <w:r w:rsidRPr="008516D1">
        <w:t>l</w:t>
      </w:r>
      <w:r>
        <w:t>’</w:t>
      </w:r>
      <w:r w:rsidRPr="008516D1">
        <w:t>étranger</w:t>
      </w:r>
      <w:r w:rsidRPr="008516D1">
        <w:rPr>
          <w:rStyle w:val="Appelnotedebasdep"/>
        </w:rPr>
        <w:footnoteReference w:id="78"/>
      </w:r>
      <w:r w:rsidRPr="008516D1">
        <w:t>.</w:t>
      </w:r>
    </w:p>
    <w:p w14:paraId="11814CC2" w14:textId="43EC3727" w:rsidR="00286956" w:rsidRPr="008516D1" w:rsidRDefault="00286956" w:rsidP="00286956">
      <w:pPr>
        <w:pStyle w:val="SingleTxtG"/>
      </w:pPr>
      <w:r w:rsidRPr="008516D1">
        <w:t>90.</w:t>
      </w:r>
      <w:r w:rsidRPr="008516D1">
        <w:tab/>
        <w:t>En</w:t>
      </w:r>
      <w:r>
        <w:t xml:space="preserve"> </w:t>
      </w:r>
      <w:r w:rsidRPr="008516D1">
        <w:t>2014,</w:t>
      </w:r>
      <w:r>
        <w:t xml:space="preserve"> </w:t>
      </w:r>
      <w:r w:rsidRPr="008516D1">
        <w:t>dans</w:t>
      </w:r>
      <w:r>
        <w:t xml:space="preserve"> </w:t>
      </w:r>
      <w:r w:rsidRPr="008516D1">
        <w:t>le</w:t>
      </w:r>
      <w:r>
        <w:t xml:space="preserve"> </w:t>
      </w:r>
      <w:r w:rsidRPr="008516D1">
        <w:t>but</w:t>
      </w:r>
      <w:r>
        <w:t xml:space="preserve"> </w:t>
      </w:r>
      <w:r w:rsidRPr="008516D1">
        <w:t>de</w:t>
      </w:r>
      <w:r>
        <w:t xml:space="preserve"> </w:t>
      </w:r>
      <w:r w:rsidRPr="008516D1">
        <w:t>lutter</w:t>
      </w:r>
      <w:r>
        <w:t xml:space="preserve"> </w:t>
      </w:r>
      <w:r w:rsidRPr="008516D1">
        <w:t>contre</w:t>
      </w:r>
      <w:r>
        <w:t xml:space="preserve"> </w:t>
      </w:r>
      <w:r w:rsidRPr="008516D1">
        <w:t>les</w:t>
      </w:r>
      <w:r>
        <w:t xml:space="preserve"> </w:t>
      </w:r>
      <w:r w:rsidRPr="008516D1">
        <w:t>causes</w:t>
      </w:r>
      <w:r>
        <w:t xml:space="preserve"> </w:t>
      </w:r>
      <w:r w:rsidRPr="008516D1">
        <w:t>de</w:t>
      </w:r>
      <w:r>
        <w:t xml:space="preserve"> </w:t>
      </w:r>
      <w:r w:rsidRPr="008516D1">
        <w:t>la</w:t>
      </w:r>
      <w:r>
        <w:t xml:space="preserve"> </w:t>
      </w:r>
      <w:r w:rsidRPr="008516D1">
        <w:t>migration</w:t>
      </w:r>
      <w:r>
        <w:t xml:space="preserve"> </w:t>
      </w:r>
      <w:r w:rsidRPr="008516D1">
        <w:t>irrégulière,</w:t>
      </w:r>
      <w:r>
        <w:t xml:space="preserve"> </w:t>
      </w:r>
      <w:r w:rsidRPr="008516D1">
        <w:t>le</w:t>
      </w:r>
      <w:r>
        <w:t xml:space="preserve"> </w:t>
      </w:r>
      <w:r w:rsidRPr="008516D1">
        <w:t>Honduras</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et</w:t>
      </w:r>
      <w:r>
        <w:t xml:space="preserve"> </w:t>
      </w:r>
      <w:r w:rsidRPr="008516D1">
        <w:t>structuré</w:t>
      </w:r>
      <w:r>
        <w:t xml:space="preserve"> </w:t>
      </w:r>
      <w:r w:rsidRPr="008516D1">
        <w:t>le</w:t>
      </w:r>
      <w:r>
        <w:t xml:space="preserve"> </w:t>
      </w:r>
      <w:r w:rsidRPr="008516D1">
        <w:t>Système</w:t>
      </w:r>
      <w:r>
        <w:t xml:space="preserve"> </w:t>
      </w:r>
      <w:r w:rsidRPr="008516D1">
        <w:t>national</w:t>
      </w:r>
      <w:r>
        <w:t xml:space="preserve"> </w:t>
      </w:r>
      <w:r w:rsidRPr="008516D1">
        <w:t>de</w:t>
      </w:r>
      <w:r>
        <w:t xml:space="preserve"> </w:t>
      </w:r>
      <w:r w:rsidRPr="008516D1">
        <w:t>protection,</w:t>
      </w:r>
      <w:r>
        <w:t xml:space="preserve"> </w:t>
      </w:r>
      <w:r w:rsidRPr="008516D1">
        <w:t>dirigé</w:t>
      </w:r>
      <w:r>
        <w:t xml:space="preserve"> </w:t>
      </w:r>
      <w:r w:rsidRPr="008516D1">
        <w:t>par</w:t>
      </w:r>
      <w:r>
        <w:t xml:space="preserve"> </w:t>
      </w:r>
      <w:r w:rsidRPr="008516D1">
        <w:t>le</w:t>
      </w:r>
      <w:r>
        <w:t xml:space="preserve"> </w:t>
      </w:r>
      <w:r w:rsidRPr="008516D1">
        <w:t>Groupe</w:t>
      </w:r>
      <w:r>
        <w:t xml:space="preserve"> </w:t>
      </w:r>
      <w:r w:rsidRPr="008516D1">
        <w:t>de</w:t>
      </w:r>
      <w:r>
        <w:t xml:space="preserve"> </w:t>
      </w:r>
      <w:r w:rsidRPr="008516D1">
        <w:t>travail</w:t>
      </w:r>
      <w:r>
        <w:t xml:space="preserve"> </w:t>
      </w:r>
      <w:r w:rsidRPr="008516D1">
        <w:t>pour</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migrants,</w:t>
      </w:r>
      <w:r>
        <w:t xml:space="preserve"> </w:t>
      </w:r>
      <w:r w:rsidRPr="008516D1">
        <w:t>qui</w:t>
      </w:r>
      <w:r>
        <w:t xml:space="preserve"> </w:t>
      </w:r>
      <w:r w:rsidRPr="008516D1">
        <w:t>coordonne</w:t>
      </w:r>
      <w:r>
        <w:t xml:space="preserve"> </w:t>
      </w:r>
      <w:r w:rsidRPr="008516D1">
        <w:t>l</w:t>
      </w:r>
      <w:r>
        <w:t>’</w:t>
      </w:r>
      <w:r w:rsidRPr="008516D1">
        <w:t>équipe</w:t>
      </w:r>
      <w:r>
        <w:t xml:space="preserve"> </w:t>
      </w:r>
      <w:r w:rsidRPr="008516D1">
        <w:t>chargée</w:t>
      </w:r>
      <w:r>
        <w:t xml:space="preserve"> </w:t>
      </w:r>
      <w:r w:rsidRPr="008516D1">
        <w:t>d</w:t>
      </w:r>
      <w:r>
        <w:t>’</w:t>
      </w:r>
      <w:r w:rsidRPr="008516D1">
        <w:t>élaborer</w:t>
      </w:r>
      <w:r>
        <w:t xml:space="preserve"> </w:t>
      </w:r>
      <w:r w:rsidRPr="008516D1">
        <w:t>des</w:t>
      </w:r>
      <w:r>
        <w:t xml:space="preserve"> </w:t>
      </w:r>
      <w:r w:rsidRPr="008516D1">
        <w:t>stratégies</w:t>
      </w:r>
      <w:r>
        <w:t xml:space="preserve"> </w:t>
      </w:r>
      <w:r w:rsidRPr="008516D1">
        <w:t>dans</w:t>
      </w:r>
      <w:r>
        <w:t xml:space="preserve"> </w:t>
      </w:r>
      <w:r w:rsidRPr="008516D1">
        <w:t>ce</w:t>
      </w:r>
      <w:r>
        <w:t xml:space="preserve"> </w:t>
      </w:r>
      <w:r w:rsidRPr="008516D1">
        <w:t>domaine.</w:t>
      </w:r>
      <w:r>
        <w:t xml:space="preserve"> </w:t>
      </w:r>
      <w:r w:rsidRPr="008516D1">
        <w:t>Présidé</w:t>
      </w:r>
      <w:r>
        <w:t xml:space="preserve"> </w:t>
      </w:r>
      <w:r w:rsidRPr="008516D1">
        <w:t>par</w:t>
      </w:r>
      <w:r>
        <w:t xml:space="preserve"> </w:t>
      </w:r>
      <w:r w:rsidRPr="008516D1">
        <w:t>la</w:t>
      </w:r>
      <w:r>
        <w:t xml:space="preserve"> </w:t>
      </w:r>
      <w:r w:rsidRPr="008516D1">
        <w:t>Première</w:t>
      </w:r>
      <w:r>
        <w:t xml:space="preserve"> </w:t>
      </w:r>
      <w:r w:rsidRPr="008516D1">
        <w:t>Dame,</w:t>
      </w:r>
      <w:r>
        <w:t xml:space="preserve"> </w:t>
      </w:r>
      <w:r w:rsidRPr="008516D1">
        <w:t>il</w:t>
      </w:r>
      <w:r>
        <w:t xml:space="preserve"> </w:t>
      </w:r>
      <w:r w:rsidRPr="008516D1">
        <w:t>réunit</w:t>
      </w:r>
      <w:r>
        <w:t xml:space="preserve"> </w:t>
      </w:r>
      <w:r w:rsidRPr="008516D1">
        <w:t>des</w:t>
      </w:r>
      <w:r>
        <w:t xml:space="preserve"> </w:t>
      </w:r>
      <w:r w:rsidRPr="008516D1">
        <w:t>hauts</w:t>
      </w:r>
      <w:r>
        <w:t xml:space="preserve"> </w:t>
      </w:r>
      <w:r w:rsidRPr="008516D1">
        <w:t>représentants</w:t>
      </w:r>
      <w:r>
        <w:t xml:space="preserve"> </w:t>
      </w:r>
      <w:r w:rsidRPr="008516D1">
        <w:t>du</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du</w:t>
      </w:r>
      <w:r>
        <w:t xml:space="preserve"> </w:t>
      </w:r>
      <w:r w:rsidRPr="008516D1">
        <w:t>Ministère</w:t>
      </w:r>
      <w:r>
        <w:t xml:space="preserve"> </w:t>
      </w:r>
      <w:r w:rsidRPr="008516D1">
        <w:t>du</w:t>
      </w:r>
      <w:r>
        <w:t xml:space="preserve"> </w:t>
      </w:r>
      <w:r w:rsidRPr="008516D1">
        <w:t>développement</w:t>
      </w:r>
      <w:r>
        <w:t xml:space="preserve"> </w:t>
      </w:r>
      <w:r w:rsidRPr="008516D1">
        <w:lastRenderedPageBreak/>
        <w:t>et</w:t>
      </w:r>
      <w:r>
        <w:t xml:space="preserve"> </w:t>
      </w:r>
      <w:r w:rsidRPr="008516D1">
        <w:t>de</w:t>
      </w:r>
      <w:r>
        <w:t xml:space="preserve"> </w:t>
      </w:r>
      <w:r w:rsidRPr="008516D1">
        <w:t>l</w:t>
      </w:r>
      <w:r>
        <w:t>’</w:t>
      </w:r>
      <w:r w:rsidRPr="008516D1">
        <w:t>insertion</w:t>
      </w:r>
      <w:r>
        <w:t xml:space="preserve"> </w:t>
      </w:r>
      <w:r w:rsidRPr="008516D1">
        <w:t>sociale,</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l</w:t>
      </w:r>
      <w:r>
        <w:t>’</w:t>
      </w:r>
      <w:r w:rsidRPr="008516D1">
        <w:t>Institut</w:t>
      </w:r>
      <w:r>
        <w:t xml:space="preserve"> </w:t>
      </w:r>
      <w:r w:rsidRPr="008516D1">
        <w:t>national</w:t>
      </w:r>
      <w:r>
        <w:t xml:space="preserve"> </w:t>
      </w:r>
      <w:r w:rsidRPr="008516D1">
        <w:t>des</w:t>
      </w:r>
      <w:r>
        <w:t xml:space="preserve"> </w:t>
      </w:r>
      <w:r w:rsidRPr="008516D1">
        <w:t>migrations,</w:t>
      </w:r>
      <w:r>
        <w:t xml:space="preserve"> </w:t>
      </w:r>
      <w:r w:rsidRPr="008516D1">
        <w:t>de</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et</w:t>
      </w:r>
      <w:r>
        <w:t xml:space="preserve"> </w:t>
      </w:r>
      <w:r w:rsidRPr="008516D1">
        <w:t>de</w:t>
      </w:r>
      <w:r>
        <w:t xml:space="preserve"> </w:t>
      </w:r>
      <w:r w:rsidRPr="008516D1">
        <w:t>diverses</w:t>
      </w:r>
      <w:r>
        <w:t xml:space="preserve"> </w:t>
      </w:r>
      <w:r w:rsidRPr="008516D1">
        <w:t>institutions</w:t>
      </w:r>
      <w:r>
        <w:t xml:space="preserve"> </w:t>
      </w:r>
      <w:r w:rsidRPr="008516D1">
        <w:t>gouvernementales,</w:t>
      </w:r>
      <w:r>
        <w:t xml:space="preserve"> </w:t>
      </w:r>
      <w:r w:rsidRPr="008516D1">
        <w:t>en</w:t>
      </w:r>
      <w:r>
        <w:t xml:space="preserve"> </w:t>
      </w:r>
      <w:r w:rsidRPr="008516D1">
        <w:t>fonction</w:t>
      </w:r>
      <w:r>
        <w:t xml:space="preserve"> </w:t>
      </w:r>
      <w:r w:rsidRPr="008516D1">
        <w:t>du</w:t>
      </w:r>
      <w:r>
        <w:t xml:space="preserve"> </w:t>
      </w:r>
      <w:r w:rsidRPr="008516D1">
        <w:t>sujet</w:t>
      </w:r>
      <w:r>
        <w:t xml:space="preserve"> </w:t>
      </w:r>
      <w:r w:rsidRPr="008516D1">
        <w:t>traité.</w:t>
      </w:r>
      <w:r>
        <w:t xml:space="preserve"> </w:t>
      </w:r>
      <w:r w:rsidRPr="008516D1">
        <w:t>À</w:t>
      </w:r>
      <w:r>
        <w:t xml:space="preserve"> </w:t>
      </w:r>
      <w:r w:rsidRPr="008516D1">
        <w:t>ce</w:t>
      </w:r>
      <w:r>
        <w:t xml:space="preserve"> </w:t>
      </w:r>
      <w:r w:rsidRPr="008516D1">
        <w:t>jour,</w:t>
      </w:r>
      <w:r>
        <w:t xml:space="preserve"> </w:t>
      </w:r>
      <w:r w:rsidRPr="008516D1">
        <w:t>le</w:t>
      </w:r>
      <w:r>
        <w:t xml:space="preserve"> </w:t>
      </w:r>
      <w:r w:rsidRPr="008516D1">
        <w:t>Groupe</w:t>
      </w:r>
      <w:r>
        <w:t xml:space="preserve"> </w:t>
      </w:r>
      <w:r w:rsidRPr="008516D1">
        <w:t>de</w:t>
      </w:r>
      <w:r>
        <w:t xml:space="preserve"> </w:t>
      </w:r>
      <w:r w:rsidRPr="008516D1">
        <w:t>travail</w:t>
      </w:r>
      <w:r>
        <w:t xml:space="preserve"> </w:t>
      </w:r>
      <w:r w:rsidRPr="008516D1">
        <w:t>est</w:t>
      </w:r>
      <w:r>
        <w:t xml:space="preserve"> </w:t>
      </w:r>
      <w:r w:rsidRPr="008516D1">
        <w:t>toujours</w:t>
      </w:r>
      <w:r>
        <w:t xml:space="preserve"> </w:t>
      </w:r>
      <w:r w:rsidRPr="008516D1">
        <w:t>en</w:t>
      </w:r>
      <w:r>
        <w:t xml:space="preserve"> </w:t>
      </w:r>
      <w:r w:rsidRPr="008516D1">
        <w:t>activité</w:t>
      </w:r>
      <w:r>
        <w:t xml:space="preserve"> </w:t>
      </w:r>
      <w:r w:rsidRPr="008516D1">
        <w:t>et</w:t>
      </w:r>
      <w:r>
        <w:t xml:space="preserve"> </w:t>
      </w:r>
      <w:r w:rsidRPr="008516D1">
        <w:t>s</w:t>
      </w:r>
      <w:r>
        <w:t>’</w:t>
      </w:r>
      <w:r w:rsidRPr="008516D1">
        <w:t>est</w:t>
      </w:r>
      <w:r>
        <w:t xml:space="preserve"> </w:t>
      </w:r>
      <w:r w:rsidRPr="008516D1">
        <w:t>imposé</w:t>
      </w:r>
      <w:r>
        <w:t xml:space="preserve"> </w:t>
      </w:r>
      <w:r w:rsidRPr="008516D1">
        <w:t>comme</w:t>
      </w:r>
      <w:r>
        <w:t xml:space="preserve"> </w:t>
      </w:r>
      <w:r w:rsidRPr="008516D1">
        <w:t>l</w:t>
      </w:r>
      <w:r>
        <w:t>’</w:t>
      </w:r>
      <w:r w:rsidRPr="008516D1">
        <w:t>organe</w:t>
      </w:r>
      <w:r>
        <w:t xml:space="preserve"> </w:t>
      </w:r>
      <w:r w:rsidRPr="008516D1">
        <w:t>de</w:t>
      </w:r>
      <w:r>
        <w:t xml:space="preserve"> </w:t>
      </w:r>
      <w:r w:rsidRPr="008516D1">
        <w:t>coordination</w:t>
      </w:r>
      <w:r>
        <w:t xml:space="preserve"> </w:t>
      </w:r>
      <w:r w:rsidRPr="008516D1">
        <w:t>et</w:t>
      </w:r>
      <w:r>
        <w:t xml:space="preserve"> </w:t>
      </w:r>
      <w:r w:rsidRPr="008516D1">
        <w:t>de</w:t>
      </w:r>
      <w:r>
        <w:t xml:space="preserve"> </w:t>
      </w:r>
      <w:r w:rsidR="00E652F0">
        <w:t>prise de décisions</w:t>
      </w:r>
      <w:r>
        <w:t xml:space="preserve"> </w:t>
      </w:r>
      <w:r w:rsidRPr="008516D1">
        <w:t>en</w:t>
      </w:r>
      <w:r>
        <w:t xml:space="preserve"> </w:t>
      </w:r>
      <w:r w:rsidRPr="008516D1">
        <w:t>matière</w:t>
      </w:r>
      <w:r>
        <w:t xml:space="preserve"> </w:t>
      </w:r>
      <w:r w:rsidRPr="008516D1">
        <w:t>migratoire.</w:t>
      </w:r>
    </w:p>
    <w:p w14:paraId="286A585D" w14:textId="3161C9A4" w:rsidR="00286956" w:rsidRPr="008516D1" w:rsidRDefault="00286956" w:rsidP="00286956">
      <w:pPr>
        <w:pStyle w:val="SingleTxtG"/>
      </w:pPr>
      <w:r w:rsidRPr="008516D1">
        <w:t>91.</w:t>
      </w:r>
      <w:r w:rsidRPr="008516D1">
        <w:tab/>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a</w:t>
      </w:r>
      <w:r>
        <w:t xml:space="preserve"> </w:t>
      </w:r>
      <w:r w:rsidRPr="008516D1">
        <w:t>créé</w:t>
      </w:r>
      <w:r>
        <w:t xml:space="preserve"> </w:t>
      </w:r>
      <w:r w:rsidRPr="008516D1">
        <w:t>l</w:t>
      </w:r>
      <w:r>
        <w:t>’</w:t>
      </w:r>
      <w:r w:rsidRPr="008516D1">
        <w:t>Observatoire</w:t>
      </w:r>
      <w:r>
        <w:t xml:space="preserve"> </w:t>
      </w:r>
      <w:r w:rsidRPr="008516D1">
        <w:t>consulaire</w:t>
      </w:r>
      <w:r>
        <w:t xml:space="preserve"> </w:t>
      </w:r>
      <w:r w:rsidRPr="008516D1">
        <w:t>et</w:t>
      </w:r>
      <w:r>
        <w:t xml:space="preserve"> </w:t>
      </w:r>
      <w:r w:rsidRPr="008516D1">
        <w:t>migratoire</w:t>
      </w:r>
      <w:r>
        <w:t xml:space="preserve"> </w:t>
      </w:r>
      <w:r w:rsidRPr="008516D1">
        <w:t>du</w:t>
      </w:r>
      <w:r>
        <w:t xml:space="preserve"> </w:t>
      </w:r>
      <w:r w:rsidRPr="008516D1">
        <w:t>Honduras,</w:t>
      </w:r>
      <w:r>
        <w:t xml:space="preserve"> </w:t>
      </w:r>
      <w:r w:rsidRPr="008516D1">
        <w:t>qui</w:t>
      </w:r>
      <w:r>
        <w:t xml:space="preserve"> </w:t>
      </w:r>
      <w:r w:rsidRPr="008516D1">
        <w:t>a</w:t>
      </w:r>
      <w:r>
        <w:t xml:space="preserve"> </w:t>
      </w:r>
      <w:r w:rsidRPr="008516D1">
        <w:t>pour</w:t>
      </w:r>
      <w:r>
        <w:t xml:space="preserve"> </w:t>
      </w:r>
      <w:r w:rsidRPr="008516D1">
        <w:t>mission</w:t>
      </w:r>
      <w:r>
        <w:t xml:space="preserve"> </w:t>
      </w:r>
      <w:r w:rsidRPr="008516D1">
        <w:t>de</w:t>
      </w:r>
      <w:r>
        <w:t xml:space="preserve"> </w:t>
      </w:r>
      <w:r w:rsidRPr="008516D1">
        <w:t>formuler</w:t>
      </w:r>
      <w:r>
        <w:t xml:space="preserve"> </w:t>
      </w:r>
      <w:r w:rsidRPr="008516D1">
        <w:t>des</w:t>
      </w:r>
      <w:r w:rsidR="00ED5AA3">
        <w:t xml:space="preserve"> </w:t>
      </w:r>
      <w:r w:rsidRPr="008516D1">
        <w:t>politiques</w:t>
      </w:r>
      <w:r>
        <w:t xml:space="preserve"> </w:t>
      </w:r>
      <w:r w:rsidRPr="008516D1">
        <w:t>publiques</w:t>
      </w:r>
      <w:r>
        <w:t xml:space="preserve"> </w:t>
      </w:r>
      <w:r w:rsidRPr="008516D1">
        <w:t>en</w:t>
      </w:r>
      <w:r>
        <w:t xml:space="preserve"> </w:t>
      </w:r>
      <w:r w:rsidRPr="008516D1">
        <w:t>faveur</w:t>
      </w:r>
      <w:r>
        <w:t xml:space="preserve"> </w:t>
      </w:r>
      <w:r w:rsidRPr="008516D1">
        <w:t>des</w:t>
      </w:r>
      <w:r>
        <w:t xml:space="preserve"> </w:t>
      </w:r>
      <w:r w:rsidRPr="008516D1">
        <w:t>migrants,</w:t>
      </w:r>
      <w:r>
        <w:t xml:space="preserve"> </w:t>
      </w:r>
      <w:r w:rsidRPr="008516D1">
        <w:t>à</w:t>
      </w:r>
      <w:r>
        <w:t xml:space="preserve"> </w:t>
      </w:r>
      <w:r w:rsidRPr="008516D1">
        <w:t>partir</w:t>
      </w:r>
      <w:r>
        <w:t xml:space="preserve"> </w:t>
      </w:r>
      <w:r w:rsidRPr="008516D1">
        <w:t>d</w:t>
      </w:r>
      <w:r>
        <w:t>’</w:t>
      </w:r>
      <w:r w:rsidRPr="008516D1">
        <w:t>éléments</w:t>
      </w:r>
      <w:r>
        <w:t xml:space="preserve"> </w:t>
      </w:r>
      <w:r w:rsidRPr="008516D1">
        <w:t>et</w:t>
      </w:r>
      <w:r>
        <w:t xml:space="preserve"> </w:t>
      </w:r>
      <w:r w:rsidRPr="008516D1">
        <w:t>de</w:t>
      </w:r>
      <w:r>
        <w:t xml:space="preserve"> </w:t>
      </w:r>
      <w:r w:rsidRPr="008516D1">
        <w:t>données</w:t>
      </w:r>
      <w:r>
        <w:t xml:space="preserve"> </w:t>
      </w:r>
      <w:r w:rsidRPr="008516D1">
        <w:t>statistiques</w:t>
      </w:r>
      <w:r w:rsidR="00ED5AA3">
        <w:t xml:space="preserve"> </w:t>
      </w:r>
      <w:r w:rsidRPr="008516D1">
        <w:t>actualisés.</w:t>
      </w:r>
    </w:p>
    <w:p w14:paraId="12CCAFDF" w14:textId="77777777" w:rsidR="00286956" w:rsidRPr="008516D1" w:rsidRDefault="00286956" w:rsidP="00286956">
      <w:pPr>
        <w:pStyle w:val="SingleTxtG"/>
      </w:pPr>
      <w:r w:rsidRPr="008516D1">
        <w:t>92.</w:t>
      </w:r>
      <w:r w:rsidRPr="008516D1">
        <w:tab/>
        <w:t>Afin</w:t>
      </w:r>
      <w:r>
        <w:t xml:space="preserve"> </w:t>
      </w:r>
      <w:r w:rsidRPr="008516D1">
        <w:t>de</w:t>
      </w:r>
      <w:r>
        <w:t xml:space="preserve"> </w:t>
      </w:r>
      <w:r w:rsidRPr="008516D1">
        <w:t>renforcer</w:t>
      </w:r>
      <w:r>
        <w:t xml:space="preserve"> </w:t>
      </w:r>
      <w:r w:rsidRPr="008516D1">
        <w:t>et</w:t>
      </w:r>
      <w:r>
        <w:t xml:space="preserve"> </w:t>
      </w:r>
      <w:r w:rsidRPr="008516D1">
        <w:t>d</w:t>
      </w:r>
      <w:r>
        <w:t>’</w:t>
      </w:r>
      <w:r w:rsidRPr="008516D1">
        <w:t>améliorer</w:t>
      </w:r>
      <w:r>
        <w:t xml:space="preserve"> </w:t>
      </w:r>
      <w:r w:rsidRPr="008516D1">
        <w:t>l</w:t>
      </w:r>
      <w:r>
        <w:t>’</w:t>
      </w:r>
      <w:r w:rsidRPr="008516D1">
        <w:t>action</w:t>
      </w:r>
      <w:r>
        <w:t xml:space="preserve"> </w:t>
      </w:r>
      <w:r w:rsidRPr="008516D1">
        <w:t>de</w:t>
      </w:r>
      <w:r>
        <w:t xml:space="preserve"> </w:t>
      </w:r>
      <w:r w:rsidRPr="008516D1">
        <w:t>l</w:t>
      </w:r>
      <w:r>
        <w:t>’</w:t>
      </w:r>
      <w:r w:rsidRPr="008516D1">
        <w:t>État,</w:t>
      </w:r>
      <w:r>
        <w:t xml:space="preserve"> </w:t>
      </w:r>
      <w:r w:rsidRPr="008516D1">
        <w:t>le</w:t>
      </w:r>
      <w:r>
        <w:t xml:space="preserve"> </w:t>
      </w:r>
      <w:r w:rsidRPr="008516D1">
        <w:t>réseau</w:t>
      </w:r>
      <w:r>
        <w:t xml:space="preserve"> </w:t>
      </w:r>
      <w:r w:rsidRPr="008516D1">
        <w:t>consulaire</w:t>
      </w:r>
      <w:r>
        <w:t xml:space="preserve"> </w:t>
      </w:r>
      <w:r w:rsidRPr="008516D1">
        <w:t>a</w:t>
      </w:r>
      <w:r>
        <w:t xml:space="preserve"> </w:t>
      </w:r>
      <w:r w:rsidRPr="008516D1">
        <w:t>été</w:t>
      </w:r>
      <w:r>
        <w:t xml:space="preserve"> </w:t>
      </w:r>
      <w:r w:rsidRPr="008516D1">
        <w:t>étendu,</w:t>
      </w:r>
      <w:r>
        <w:t xml:space="preserve"> </w:t>
      </w:r>
      <w:r w:rsidRPr="008516D1">
        <w:t>renforcé</w:t>
      </w:r>
      <w:r>
        <w:t xml:space="preserve"> </w:t>
      </w:r>
      <w:r w:rsidRPr="008516D1">
        <w:t>et</w:t>
      </w:r>
      <w:r>
        <w:t xml:space="preserve"> </w:t>
      </w:r>
      <w:r w:rsidRPr="008516D1">
        <w:t>doté</w:t>
      </w:r>
      <w:r>
        <w:t xml:space="preserve"> </w:t>
      </w:r>
      <w:r w:rsidRPr="008516D1">
        <w:t>de</w:t>
      </w:r>
      <w:r>
        <w:t xml:space="preserve"> </w:t>
      </w:r>
      <w:r w:rsidRPr="008516D1">
        <w:t>personnel</w:t>
      </w:r>
      <w:r>
        <w:t xml:space="preserve"> </w:t>
      </w:r>
      <w:r w:rsidRPr="008516D1">
        <w:t>se</w:t>
      </w:r>
      <w:r>
        <w:t xml:space="preserve"> </w:t>
      </w:r>
      <w:r w:rsidRPr="008516D1">
        <w:t>consacrant</w:t>
      </w:r>
      <w:r>
        <w:t xml:space="preserve"> </w:t>
      </w:r>
      <w:r w:rsidRPr="008516D1">
        <w:t>exclusivement</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à</w:t>
      </w:r>
      <w:r>
        <w:t xml:space="preserve"> </w:t>
      </w:r>
      <w:r w:rsidRPr="008516D1">
        <w:t>l</w:t>
      </w:r>
      <w:r>
        <w:t>’</w:t>
      </w:r>
      <w:r w:rsidRPr="008516D1">
        <w:t>intention</w:t>
      </w:r>
      <w:r>
        <w:t xml:space="preserve"> </w:t>
      </w:r>
      <w:r w:rsidRPr="008516D1">
        <w:t>duquel</w:t>
      </w:r>
      <w:r>
        <w:t xml:space="preserve"> </w:t>
      </w:r>
      <w:r w:rsidRPr="008516D1">
        <w:t>des</w:t>
      </w:r>
      <w:r>
        <w:t xml:space="preserve"> </w:t>
      </w:r>
      <w:r w:rsidRPr="008516D1">
        <w:t>journées</w:t>
      </w:r>
      <w:r>
        <w:t xml:space="preserve"> </w:t>
      </w:r>
      <w:r w:rsidRPr="008516D1">
        <w:t>de</w:t>
      </w:r>
      <w:r>
        <w:t xml:space="preserve"> </w:t>
      </w:r>
      <w:r w:rsidRPr="008516D1">
        <w:t>formation</w:t>
      </w:r>
      <w:r>
        <w:t xml:space="preserve"> </w:t>
      </w:r>
      <w:r w:rsidRPr="008516D1">
        <w:t>sur</w:t>
      </w:r>
      <w:r>
        <w:t xml:space="preserve"> </w:t>
      </w:r>
      <w:r w:rsidRPr="008516D1">
        <w:t>des</w:t>
      </w:r>
      <w:r>
        <w:t xml:space="preserve"> </w:t>
      </w:r>
      <w:r w:rsidRPr="008516D1">
        <w:t>questions</w:t>
      </w:r>
      <w:r>
        <w:t xml:space="preserve"> </w:t>
      </w:r>
      <w:r w:rsidRPr="008516D1">
        <w:t>spécifiques</w:t>
      </w:r>
      <w:r>
        <w:t xml:space="preserve"> </w:t>
      </w:r>
      <w:r w:rsidRPr="008516D1">
        <w:t>concernant</w:t>
      </w:r>
      <w:r>
        <w:t xml:space="preserve"> </w:t>
      </w:r>
      <w:r w:rsidRPr="008516D1">
        <w:t>cette</w:t>
      </w:r>
      <w:r>
        <w:t xml:space="preserve"> </w:t>
      </w:r>
      <w:r w:rsidRPr="008516D1">
        <w:t>protection</w:t>
      </w:r>
      <w:r>
        <w:t xml:space="preserve"> </w:t>
      </w:r>
      <w:r w:rsidRPr="008516D1">
        <w:t>ont</w:t>
      </w:r>
      <w:r>
        <w:t xml:space="preserve"> </w:t>
      </w:r>
      <w:r w:rsidRPr="008516D1">
        <w:t>été</w:t>
      </w:r>
      <w:r>
        <w:t xml:space="preserve"> </w:t>
      </w:r>
      <w:r w:rsidRPr="008516D1">
        <w:t>organisées.</w:t>
      </w:r>
      <w:r>
        <w:t xml:space="preserve"> </w:t>
      </w:r>
      <w:r w:rsidRPr="008516D1">
        <w:t>Depuis</w:t>
      </w:r>
      <w:r>
        <w:t xml:space="preserve"> </w:t>
      </w:r>
      <w:r w:rsidRPr="008516D1">
        <w:t>2016,</w:t>
      </w:r>
      <w:r>
        <w:t xml:space="preserve"> </w:t>
      </w:r>
      <w:r w:rsidRPr="008516D1">
        <w:t>des</w:t>
      </w:r>
      <w:r>
        <w:t xml:space="preserve"> </w:t>
      </w:r>
      <w:r w:rsidRPr="008516D1">
        <w:t>consulats</w:t>
      </w:r>
      <w:r>
        <w:t xml:space="preserve"> </w:t>
      </w:r>
      <w:r w:rsidRPr="008516D1">
        <w:t>mobiles</w:t>
      </w:r>
      <w:r>
        <w:t xml:space="preserve"> </w:t>
      </w:r>
      <w:r w:rsidRPr="008516D1">
        <w:t>ont</w:t>
      </w:r>
      <w:r>
        <w:t xml:space="preserve"> </w:t>
      </w:r>
      <w:r w:rsidRPr="008516D1">
        <w:t>été</w:t>
      </w:r>
      <w:r>
        <w:t xml:space="preserve"> </w:t>
      </w:r>
      <w:r w:rsidRPr="008516D1">
        <w:t>créés</w:t>
      </w:r>
      <w:r>
        <w:t xml:space="preserve"> </w:t>
      </w:r>
      <w:r w:rsidRPr="008516D1">
        <w:t>pour</w:t>
      </w:r>
      <w:r>
        <w:t xml:space="preserve"> </w:t>
      </w:r>
      <w:r w:rsidRPr="008516D1">
        <w:t>toucher</w:t>
      </w:r>
      <w:r>
        <w:t xml:space="preserve"> </w:t>
      </w:r>
      <w:r w:rsidRPr="008516D1">
        <w:t>davantage</w:t>
      </w:r>
      <w:r>
        <w:t xml:space="preserve"> </w:t>
      </w:r>
      <w:r w:rsidRPr="008516D1">
        <w:t>de</w:t>
      </w:r>
      <w:r>
        <w:t xml:space="preserve"> </w:t>
      </w:r>
      <w:r w:rsidRPr="008516D1">
        <w:t>ressortissants</w:t>
      </w:r>
      <w:r>
        <w:t xml:space="preserve"> </w:t>
      </w:r>
      <w:r w:rsidRPr="008516D1">
        <w:t>honduriens</w:t>
      </w:r>
      <w:r>
        <w:t xml:space="preserve"> </w:t>
      </w:r>
      <w:r w:rsidRPr="008516D1">
        <w:t>à</w:t>
      </w:r>
      <w:r>
        <w:t xml:space="preserve"> </w:t>
      </w:r>
      <w:r w:rsidRPr="008516D1">
        <w:t>l</w:t>
      </w:r>
      <w:r>
        <w:t>’</w:t>
      </w:r>
      <w:r w:rsidRPr="008516D1">
        <w:t>étranger.</w:t>
      </w:r>
    </w:p>
    <w:p w14:paraId="5183A772" w14:textId="77777777" w:rsidR="00286956" w:rsidRPr="008516D1" w:rsidRDefault="00286956" w:rsidP="00286956">
      <w:pPr>
        <w:pStyle w:val="SingleTxtG"/>
      </w:pPr>
      <w:r w:rsidRPr="008516D1">
        <w:t>93.</w:t>
      </w:r>
      <w:r w:rsidRPr="008516D1">
        <w:tab/>
        <w:t>En</w:t>
      </w:r>
      <w:r>
        <w:t xml:space="preserve"> </w:t>
      </w:r>
      <w:r w:rsidRPr="008516D1">
        <w:t>2017,</w:t>
      </w:r>
      <w:r>
        <w:t xml:space="preserve"> </w:t>
      </w:r>
      <w:r w:rsidRPr="008516D1">
        <w:t>deux</w:t>
      </w:r>
      <w:r>
        <w:t xml:space="preserve"> </w:t>
      </w:r>
      <w:r w:rsidRPr="008516D1">
        <w:t>centres</w:t>
      </w:r>
      <w:r>
        <w:t xml:space="preserve"> </w:t>
      </w:r>
      <w:r w:rsidRPr="008516D1">
        <w:t>de</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ont</w:t>
      </w:r>
      <w:r>
        <w:t xml:space="preserve"> </w:t>
      </w:r>
      <w:r w:rsidRPr="008516D1">
        <w:t>été</w:t>
      </w:r>
      <w:r>
        <w:t xml:space="preserve"> </w:t>
      </w:r>
      <w:r w:rsidRPr="008516D1">
        <w:t>créés</w:t>
      </w:r>
      <w:r>
        <w:t xml:space="preserve"> </w:t>
      </w:r>
      <w:r w:rsidRPr="008516D1">
        <w:t>à</w:t>
      </w:r>
      <w:r>
        <w:t xml:space="preserve"> </w:t>
      </w:r>
      <w:r w:rsidRPr="008516D1">
        <w:t>Houston,</w:t>
      </w:r>
      <w:r>
        <w:t xml:space="preserve"> </w:t>
      </w:r>
      <w:r w:rsidRPr="008516D1">
        <w:t>au</w:t>
      </w:r>
      <w:r>
        <w:t xml:space="preserve"> </w:t>
      </w:r>
      <w:r w:rsidRPr="008516D1">
        <w:t>Texas</w:t>
      </w:r>
      <w:r>
        <w:t xml:space="preserve"> </w:t>
      </w:r>
      <w:r w:rsidRPr="008516D1">
        <w:t>(Centre</w:t>
      </w:r>
      <w:r>
        <w:t xml:space="preserve"> </w:t>
      </w:r>
      <w:r w:rsidRPr="008516D1">
        <w:t>consulaire</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et</w:t>
      </w:r>
      <w:r>
        <w:t xml:space="preserve"> </w:t>
      </w:r>
      <w:r w:rsidRPr="008516D1">
        <w:t>au</w:t>
      </w:r>
      <w:r>
        <w:t xml:space="preserve"> </w:t>
      </w:r>
      <w:r w:rsidRPr="008516D1">
        <w:t>Mexique</w:t>
      </w:r>
      <w:r>
        <w:t xml:space="preserve"> </w:t>
      </w:r>
      <w:r w:rsidRPr="008516D1">
        <w:t>(Centre</w:t>
      </w:r>
      <w:r>
        <w:t xml:space="preserve"> </w:t>
      </w:r>
      <w:r w:rsidRPr="008516D1">
        <w:t>intégré</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Ces</w:t>
      </w:r>
      <w:r>
        <w:t xml:space="preserve"> </w:t>
      </w:r>
      <w:r w:rsidRPr="008516D1">
        <w:t>deux</w:t>
      </w:r>
      <w:r>
        <w:t xml:space="preserve"> </w:t>
      </w:r>
      <w:r w:rsidRPr="008516D1">
        <w:t>centres</w:t>
      </w:r>
      <w:r>
        <w:t xml:space="preserve"> </w:t>
      </w:r>
      <w:r w:rsidRPr="008516D1">
        <w:t>assurent</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en</w:t>
      </w:r>
      <w:r>
        <w:t xml:space="preserve"> </w:t>
      </w:r>
      <w:r w:rsidRPr="008516D1">
        <w:t>particulier</w:t>
      </w:r>
      <w:r>
        <w:t xml:space="preserve"> </w:t>
      </w:r>
      <w:r w:rsidRPr="008516D1">
        <w:t>des</w:t>
      </w:r>
      <w:r>
        <w:t xml:space="preserve"> </w:t>
      </w:r>
      <w:r w:rsidRPr="008516D1">
        <w:t>enfants</w:t>
      </w:r>
      <w:r>
        <w:t xml:space="preserve"> </w:t>
      </w:r>
      <w:r w:rsidRPr="008516D1">
        <w:t>et</w:t>
      </w:r>
      <w:r>
        <w:t xml:space="preserve"> </w:t>
      </w:r>
      <w:r w:rsidRPr="008516D1">
        <w:t>des</w:t>
      </w:r>
      <w:r>
        <w:t xml:space="preserve"> </w:t>
      </w:r>
      <w:r w:rsidRPr="008516D1">
        <w:t>adolescents,</w:t>
      </w:r>
      <w:r>
        <w:t xml:space="preserve"> </w:t>
      </w:r>
      <w:r w:rsidRPr="008516D1">
        <w:t>le</w:t>
      </w:r>
      <w:r>
        <w:t xml:space="preserve"> </w:t>
      </w:r>
      <w:r w:rsidRPr="008516D1">
        <w:t>respect</w:t>
      </w:r>
      <w:r>
        <w:t xml:space="preserve"> </w:t>
      </w:r>
      <w:r w:rsidRPr="008516D1">
        <w:t>de</w:t>
      </w:r>
      <w:r>
        <w:t xml:space="preserve"> </w:t>
      </w:r>
      <w:r w:rsidRPr="008516D1">
        <w:t>leurs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rapatriement</w:t>
      </w:r>
      <w:r>
        <w:t xml:space="preserve"> </w:t>
      </w:r>
      <w:r w:rsidRPr="008516D1">
        <w:t>des</w:t>
      </w:r>
      <w:r>
        <w:t xml:space="preserve"> </w:t>
      </w:r>
      <w:r w:rsidRPr="008516D1">
        <w:t>ressortissants</w:t>
      </w:r>
      <w:r>
        <w:t xml:space="preserve"> </w:t>
      </w:r>
      <w:r w:rsidRPr="008516D1">
        <w:t>honduriens</w:t>
      </w:r>
      <w:r>
        <w:t xml:space="preserve"> </w:t>
      </w:r>
      <w:r w:rsidRPr="008516D1">
        <w:t>décédés,</w:t>
      </w:r>
      <w:r>
        <w:t xml:space="preserve"> </w:t>
      </w:r>
      <w:r w:rsidRPr="008516D1">
        <w:t>les</w:t>
      </w:r>
      <w:r>
        <w:t xml:space="preserve"> </w:t>
      </w:r>
      <w:r w:rsidRPr="008516D1">
        <w:t>retours</w:t>
      </w:r>
      <w:r>
        <w:t xml:space="preserve"> </w:t>
      </w:r>
      <w:r w:rsidRPr="008516D1">
        <w:t>volontaires,</w:t>
      </w:r>
      <w:r>
        <w:t xml:space="preserve"> </w:t>
      </w:r>
      <w:r w:rsidRPr="008516D1">
        <w:t>le</w:t>
      </w:r>
      <w:r>
        <w:t xml:space="preserve"> </w:t>
      </w:r>
      <w:r w:rsidRPr="008516D1">
        <w:t>rapatriement</w:t>
      </w:r>
      <w:r>
        <w:t xml:space="preserve"> </w:t>
      </w:r>
      <w:r w:rsidRPr="008516D1">
        <w:t>des</w:t>
      </w:r>
      <w:r>
        <w:t xml:space="preserve"> </w:t>
      </w:r>
      <w:r w:rsidRPr="008516D1">
        <w:t>personnes</w:t>
      </w:r>
      <w:r>
        <w:t xml:space="preserve"> </w:t>
      </w:r>
      <w:r w:rsidRPr="008516D1">
        <w:t>malades</w:t>
      </w:r>
      <w:r>
        <w:t xml:space="preserve"> </w:t>
      </w:r>
      <w:r w:rsidRPr="008516D1">
        <w:t>ou</w:t>
      </w:r>
      <w:r>
        <w:t xml:space="preserve"> </w:t>
      </w:r>
      <w:r w:rsidRPr="008516D1">
        <w:t>vulnérables,</w:t>
      </w:r>
      <w:r>
        <w:t xml:space="preserve"> </w:t>
      </w:r>
      <w:r w:rsidRPr="008516D1">
        <w:t>ainsi</w:t>
      </w:r>
      <w:r>
        <w:t xml:space="preserve"> </w:t>
      </w:r>
      <w:r w:rsidRPr="008516D1">
        <w:t>que</w:t>
      </w:r>
      <w:r>
        <w:t xml:space="preserve"> </w:t>
      </w:r>
      <w:r w:rsidRPr="008516D1">
        <w:t>l</w:t>
      </w:r>
      <w:r>
        <w:t>’</w:t>
      </w:r>
      <w:r w:rsidRPr="008516D1">
        <w:t>assistance</w:t>
      </w:r>
      <w:r>
        <w:t xml:space="preserve"> </w:t>
      </w:r>
      <w:r w:rsidRPr="008516D1">
        <w:t>consulaire</w:t>
      </w:r>
      <w:r>
        <w:t xml:space="preserve"> </w:t>
      </w:r>
      <w:r w:rsidRPr="008516D1">
        <w:t>dans</w:t>
      </w:r>
      <w:r>
        <w:t xml:space="preserve"> </w:t>
      </w:r>
      <w:r w:rsidRPr="008516D1">
        <w:t>les</w:t>
      </w:r>
      <w:r>
        <w:t xml:space="preserve"> </w:t>
      </w:r>
      <w:r w:rsidRPr="008516D1">
        <w:t>centres</w:t>
      </w:r>
      <w:r>
        <w:t xml:space="preserve"> </w:t>
      </w:r>
      <w:r w:rsidRPr="008516D1">
        <w:t>de</w:t>
      </w:r>
      <w:r>
        <w:t xml:space="preserve"> </w:t>
      </w:r>
      <w:r w:rsidRPr="008516D1">
        <w:t>détention</w:t>
      </w:r>
      <w:r>
        <w:t xml:space="preserve"> </w:t>
      </w:r>
      <w:r w:rsidRPr="008516D1">
        <w:t>de</w:t>
      </w:r>
      <w:r>
        <w:t xml:space="preserve"> </w:t>
      </w:r>
      <w:r w:rsidRPr="008516D1">
        <w:t>migrants.</w:t>
      </w:r>
    </w:p>
    <w:p w14:paraId="42BBAB69" w14:textId="77777777" w:rsidR="00286956" w:rsidRPr="008516D1" w:rsidRDefault="00286956" w:rsidP="00286956">
      <w:pPr>
        <w:pStyle w:val="SingleTxtG"/>
      </w:pPr>
      <w:r w:rsidRPr="008516D1">
        <w:t>94.</w:t>
      </w:r>
      <w:r w:rsidRPr="008516D1">
        <w:tab/>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a</w:t>
      </w:r>
      <w:r>
        <w:t xml:space="preserve"> </w:t>
      </w:r>
      <w:r w:rsidRPr="008516D1">
        <w:t>créé</w:t>
      </w:r>
      <w:r>
        <w:t xml:space="preserve"> </w:t>
      </w:r>
      <w:r w:rsidRPr="008516D1">
        <w:t>et</w:t>
      </w:r>
      <w:r>
        <w:t xml:space="preserve"> </w:t>
      </w:r>
      <w:r w:rsidRPr="008516D1">
        <w:t>mis</w:t>
      </w:r>
      <w:r>
        <w:t xml:space="preserve"> </w:t>
      </w:r>
      <w:r w:rsidRPr="008516D1">
        <w:t>en</w:t>
      </w:r>
      <w:r>
        <w:t xml:space="preserve"> </w:t>
      </w:r>
      <w:r w:rsidRPr="008516D1">
        <w:t>service</w:t>
      </w:r>
      <w:r>
        <w:t xml:space="preserve"> </w:t>
      </w:r>
      <w:r w:rsidRPr="008516D1">
        <w:t>trois</w:t>
      </w:r>
      <w:r>
        <w:t xml:space="preserve"> </w:t>
      </w:r>
      <w:r w:rsidRPr="008516D1">
        <w:t>centres</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migrants</w:t>
      </w:r>
      <w:r>
        <w:t xml:space="preserve"> </w:t>
      </w:r>
      <w:r w:rsidRPr="008516D1">
        <w:t>rapatriés</w:t>
      </w:r>
      <w:r>
        <w:t xml:space="preserve"> </w:t>
      </w:r>
      <w:r w:rsidRPr="008516D1">
        <w:t>à</w:t>
      </w:r>
      <w:r>
        <w:t xml:space="preserve"> </w:t>
      </w:r>
      <w:r w:rsidRPr="008516D1">
        <w:t>La</w:t>
      </w:r>
      <w:r>
        <w:t xml:space="preserve"> </w:t>
      </w:r>
      <w:r w:rsidRPr="008516D1">
        <w:t>Lima,</w:t>
      </w:r>
      <w:r>
        <w:t xml:space="preserve"> </w:t>
      </w:r>
      <w:r w:rsidRPr="008516D1">
        <w:t>San</w:t>
      </w:r>
      <w:r>
        <w:t xml:space="preserve"> </w:t>
      </w:r>
      <w:r w:rsidRPr="008516D1">
        <w:t>Pedro</w:t>
      </w:r>
      <w:r>
        <w:t xml:space="preserve"> </w:t>
      </w:r>
      <w:proofErr w:type="spellStart"/>
      <w:r w:rsidRPr="008516D1">
        <w:t>Sula</w:t>
      </w:r>
      <w:proofErr w:type="spellEnd"/>
      <w:r>
        <w:t xml:space="preserve"> </w:t>
      </w:r>
      <w:r w:rsidRPr="008516D1">
        <w:t>et</w:t>
      </w:r>
      <w:r>
        <w:t xml:space="preserve"> </w:t>
      </w:r>
      <w:proofErr w:type="spellStart"/>
      <w:r w:rsidRPr="008516D1">
        <w:t>Omoa</w:t>
      </w:r>
      <w:proofErr w:type="spellEnd"/>
      <w:r w:rsidRPr="008516D1">
        <w:t>,</w:t>
      </w:r>
      <w:r>
        <w:t xml:space="preserve"> </w:t>
      </w:r>
      <w:r w:rsidRPr="008516D1">
        <w:t>dans</w:t>
      </w:r>
      <w:r>
        <w:t xml:space="preserve"> </w:t>
      </w:r>
      <w:r w:rsidRPr="008516D1">
        <w:t>le</w:t>
      </w:r>
      <w:r>
        <w:t xml:space="preserve"> </w:t>
      </w:r>
      <w:r w:rsidRPr="008516D1">
        <w:t>département</w:t>
      </w:r>
      <w:r>
        <w:t xml:space="preserve"> </w:t>
      </w:r>
      <w:r w:rsidRPr="008516D1">
        <w:t>de</w:t>
      </w:r>
      <w:r>
        <w:t xml:space="preserve"> </w:t>
      </w:r>
      <w:r w:rsidRPr="008516D1">
        <w:t>Cortés,</w:t>
      </w:r>
      <w:r>
        <w:t xml:space="preserve"> </w:t>
      </w:r>
      <w:r w:rsidRPr="008516D1">
        <w:t>pour</w:t>
      </w:r>
      <w:r>
        <w:t xml:space="preserve"> </w:t>
      </w:r>
      <w:r w:rsidRPr="008516D1">
        <w:t>assurer</w:t>
      </w:r>
      <w:r>
        <w:t xml:space="preserve"> </w:t>
      </w:r>
      <w:r w:rsidRPr="008516D1">
        <w:t>une</w:t>
      </w:r>
      <w:r>
        <w:t xml:space="preserve"> </w:t>
      </w:r>
      <w:r w:rsidRPr="008516D1">
        <w:t>prise</w:t>
      </w:r>
      <w:r>
        <w:t xml:space="preserve"> </w:t>
      </w:r>
      <w:r w:rsidRPr="008516D1">
        <w:t>en</w:t>
      </w:r>
      <w:r>
        <w:t xml:space="preserve"> </w:t>
      </w:r>
      <w:r w:rsidRPr="008516D1">
        <w:t>charge</w:t>
      </w:r>
      <w:r>
        <w:t xml:space="preserve"> </w:t>
      </w:r>
      <w:r w:rsidRPr="008516D1">
        <w:t>digne,</w:t>
      </w:r>
      <w:r>
        <w:t xml:space="preserve"> </w:t>
      </w:r>
      <w:r w:rsidRPr="008516D1">
        <w:t>immédiate</w:t>
      </w:r>
      <w:r>
        <w:t xml:space="preserve"> </w:t>
      </w:r>
      <w:r w:rsidRPr="008516D1">
        <w:t>et</w:t>
      </w:r>
      <w:r>
        <w:t xml:space="preserve"> </w:t>
      </w:r>
      <w:r w:rsidRPr="008516D1">
        <w:t>complète</w:t>
      </w:r>
      <w:r>
        <w:t xml:space="preserve"> </w:t>
      </w:r>
      <w:r w:rsidRPr="008516D1">
        <w:t>des</w:t>
      </w:r>
      <w:r>
        <w:t xml:space="preserve"> </w:t>
      </w:r>
      <w:r w:rsidRPr="008516D1">
        <w:t>rapatriés</w:t>
      </w:r>
      <w:r>
        <w:t xml:space="preserve"> </w:t>
      </w:r>
      <w:r w:rsidRPr="008516D1">
        <w:t>honduriens.</w:t>
      </w:r>
      <w:r>
        <w:t xml:space="preserve"> </w:t>
      </w:r>
      <w:r w:rsidRPr="008516D1">
        <w:t>Ces</w:t>
      </w:r>
      <w:r>
        <w:t xml:space="preserve"> </w:t>
      </w:r>
      <w:r w:rsidRPr="008516D1">
        <w:t>centres</w:t>
      </w:r>
      <w:r>
        <w:t xml:space="preserve"> </w:t>
      </w:r>
      <w:r w:rsidRPr="008516D1">
        <w:t>sont</w:t>
      </w:r>
      <w:r>
        <w:t xml:space="preserve"> </w:t>
      </w:r>
      <w:r w:rsidRPr="008516D1">
        <w:t>financés</w:t>
      </w:r>
      <w:r>
        <w:t xml:space="preserve"> </w:t>
      </w:r>
      <w:r w:rsidRPr="008516D1">
        <w:t>par</w:t>
      </w:r>
      <w:r>
        <w:t xml:space="preserve"> </w:t>
      </w:r>
      <w:r w:rsidRPr="008516D1">
        <w:t>des</w:t>
      </w:r>
      <w:r>
        <w:t xml:space="preserve"> </w:t>
      </w:r>
      <w:r w:rsidRPr="008516D1">
        <w:t>fonds</w:t>
      </w:r>
      <w:r>
        <w:t xml:space="preserve"> </w:t>
      </w:r>
      <w:r w:rsidRPr="008516D1">
        <w:t>publics</w:t>
      </w:r>
      <w:r>
        <w:t xml:space="preserve"> </w:t>
      </w:r>
      <w:r w:rsidRPr="008516D1">
        <w:t>provenant</w:t>
      </w:r>
      <w:r>
        <w:t xml:space="preserve"> </w:t>
      </w:r>
      <w:r w:rsidRPr="008516D1">
        <w:t>du</w:t>
      </w:r>
      <w:r>
        <w:t xml:space="preserve"> </w:t>
      </w:r>
      <w:r w:rsidRPr="008516D1">
        <w:t>Fonds</w:t>
      </w:r>
      <w:r>
        <w:t xml:space="preserve"> </w:t>
      </w:r>
      <w:r w:rsidRPr="008516D1">
        <w:t>de</w:t>
      </w:r>
      <w:r>
        <w:t xml:space="preserve"> </w:t>
      </w:r>
      <w:r w:rsidRPr="008516D1">
        <w:t>solidarité</w:t>
      </w:r>
      <w:r>
        <w:t xml:space="preserve"> </w:t>
      </w:r>
      <w:r w:rsidRPr="008516D1">
        <w:t>pour</w:t>
      </w:r>
      <w:r>
        <w:t xml:space="preserve"> </w:t>
      </w:r>
      <w:r w:rsidRPr="008516D1">
        <w:t>les</w:t>
      </w:r>
      <w:r>
        <w:t xml:space="preserve"> </w:t>
      </w:r>
      <w:r w:rsidRPr="008516D1">
        <w:t>migrants</w:t>
      </w:r>
      <w:r>
        <w:t xml:space="preserve"> </w:t>
      </w:r>
      <w:r w:rsidRPr="008516D1">
        <w:t>honduriens.</w:t>
      </w:r>
    </w:p>
    <w:p w14:paraId="34ABC3AC" w14:textId="77777777" w:rsidR="00286956" w:rsidRPr="008516D1" w:rsidRDefault="00286956" w:rsidP="00286956">
      <w:pPr>
        <w:pStyle w:val="SingleTxtG"/>
      </w:pPr>
      <w:r w:rsidRPr="008516D1">
        <w:t>95.</w:t>
      </w:r>
      <w:r w:rsidRPr="008516D1">
        <w:tab/>
        <w:t>En</w:t>
      </w:r>
      <w:r>
        <w:t xml:space="preserve"> </w:t>
      </w:r>
      <w:r w:rsidRPr="008516D1">
        <w:t>2019,</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par</w:t>
      </w:r>
      <w:r>
        <w:t xml:space="preserve"> </w:t>
      </w:r>
      <w:r w:rsidRPr="008516D1">
        <w:t>l</w:t>
      </w:r>
      <w:r>
        <w:t>’</w:t>
      </w:r>
      <w:r w:rsidRPr="008516D1">
        <w:t>intermédiaire</w:t>
      </w:r>
      <w:r>
        <w:t xml:space="preserve"> </w:t>
      </w:r>
      <w:r w:rsidRPr="008516D1">
        <w:t>du</w:t>
      </w:r>
      <w:r>
        <w:t xml:space="preserve"> </w:t>
      </w:r>
      <w:r w:rsidRPr="008516D1">
        <w:t>Bureau</w:t>
      </w:r>
      <w:r>
        <w:t xml:space="preserve"> </w:t>
      </w:r>
      <w:r w:rsidRPr="008516D1">
        <w:t>du</w:t>
      </w:r>
      <w:r>
        <w:t xml:space="preserve"> </w:t>
      </w:r>
      <w:r w:rsidRPr="008516D1">
        <w:t>Défenseur</w:t>
      </w:r>
      <w:r>
        <w:t xml:space="preserve"> </w:t>
      </w:r>
      <w:r w:rsidRPr="008516D1">
        <w:t>national</w:t>
      </w:r>
      <w:r>
        <w:t xml:space="preserve"> </w:t>
      </w:r>
      <w:r w:rsidRPr="008516D1">
        <w:t>des</w:t>
      </w:r>
      <w:r>
        <w:t xml:space="preserve"> </w:t>
      </w:r>
      <w:r w:rsidRPr="008516D1">
        <w:t>droits</w:t>
      </w:r>
      <w:r>
        <w:t xml:space="preserve"> </w:t>
      </w:r>
      <w:r w:rsidRPr="008516D1">
        <w:t>des</w:t>
      </w:r>
      <w:r>
        <w:t xml:space="preserve"> </w:t>
      </w:r>
      <w:r w:rsidRPr="008516D1">
        <w:t>migrants</w:t>
      </w:r>
      <w:r>
        <w:t xml:space="preserve"> </w:t>
      </w:r>
      <w:r w:rsidRPr="008516D1">
        <w:t>et</w:t>
      </w:r>
      <w:r>
        <w:t xml:space="preserve"> </w:t>
      </w:r>
      <w:r w:rsidRPr="008516D1">
        <w:t>des</w:t>
      </w:r>
      <w:r>
        <w:t xml:space="preserve"> </w:t>
      </w:r>
      <w:r w:rsidRPr="008516D1">
        <w:t>personnes</w:t>
      </w:r>
      <w:r>
        <w:t xml:space="preserve"> </w:t>
      </w:r>
      <w:r w:rsidRPr="008516D1">
        <w:t>âgées,</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un</w:t>
      </w:r>
      <w:r>
        <w:t xml:space="preserve"> </w:t>
      </w:r>
      <w:r w:rsidRPr="008516D1">
        <w:t>service</w:t>
      </w:r>
      <w:r>
        <w:t xml:space="preserve"> </w:t>
      </w:r>
      <w:r w:rsidRPr="008516D1">
        <w:t>auquel</w:t>
      </w:r>
      <w:r>
        <w:t xml:space="preserve"> </w:t>
      </w:r>
      <w:r w:rsidRPr="008516D1">
        <w:t>les</w:t>
      </w:r>
      <w:r>
        <w:t xml:space="preserve"> </w:t>
      </w:r>
      <w:r w:rsidRPr="008516D1">
        <w:t>personnes</w:t>
      </w:r>
      <w:r>
        <w:t xml:space="preserve"> </w:t>
      </w:r>
      <w:r w:rsidRPr="008516D1">
        <w:t>qui</w:t>
      </w:r>
      <w:r>
        <w:t xml:space="preserve"> </w:t>
      </w:r>
      <w:r w:rsidRPr="008516D1">
        <w:t>ont</w:t>
      </w:r>
      <w:r>
        <w:t xml:space="preserve"> </w:t>
      </w:r>
      <w:r w:rsidRPr="008516D1">
        <w:t>perdu</w:t>
      </w:r>
      <w:r>
        <w:t xml:space="preserve"> </w:t>
      </w:r>
      <w:r w:rsidRPr="008516D1">
        <w:t>le</w:t>
      </w:r>
      <w:r>
        <w:t xml:space="preserve"> </w:t>
      </w:r>
      <w:r w:rsidRPr="008516D1">
        <w:t>contact</w:t>
      </w:r>
      <w:r>
        <w:t xml:space="preserve"> </w:t>
      </w:r>
      <w:r w:rsidRPr="008516D1">
        <w:t>avec</w:t>
      </w:r>
      <w:r>
        <w:t xml:space="preserve"> </w:t>
      </w:r>
      <w:r w:rsidRPr="008516D1">
        <w:t>leurs</w:t>
      </w:r>
      <w:r>
        <w:t xml:space="preserve"> </w:t>
      </w:r>
      <w:r w:rsidRPr="008516D1">
        <w:t>proches</w:t>
      </w:r>
      <w:r>
        <w:t xml:space="preserve"> </w:t>
      </w:r>
      <w:r w:rsidRPr="008516D1">
        <w:t>migrants</w:t>
      </w:r>
      <w:r>
        <w:t xml:space="preserve"> </w:t>
      </w:r>
      <w:r w:rsidRPr="008516D1">
        <w:t>peuvent</w:t>
      </w:r>
      <w:r>
        <w:t xml:space="preserve"> </w:t>
      </w:r>
      <w:r w:rsidRPr="008516D1">
        <w:t>adresser</w:t>
      </w:r>
      <w:r>
        <w:t xml:space="preserve"> </w:t>
      </w:r>
      <w:r w:rsidRPr="008516D1">
        <w:t>leurs</w:t>
      </w:r>
      <w:r>
        <w:t xml:space="preserve"> </w:t>
      </w:r>
      <w:r w:rsidRPr="008516D1">
        <w:t>requêtes.</w:t>
      </w:r>
      <w:r>
        <w:t xml:space="preserve"> </w:t>
      </w:r>
      <w:r w:rsidRPr="008516D1">
        <w:t>Il</w:t>
      </w:r>
      <w:r>
        <w:t xml:space="preserve"> </w:t>
      </w:r>
      <w:r w:rsidRPr="008516D1">
        <w:t>a</w:t>
      </w:r>
      <w:r>
        <w:t xml:space="preserve"> </w:t>
      </w:r>
      <w:r w:rsidRPr="008516D1">
        <w:t>également</w:t>
      </w:r>
      <w:r>
        <w:t xml:space="preserve"> </w:t>
      </w:r>
      <w:r w:rsidRPr="008516D1">
        <w:t>mis</w:t>
      </w:r>
      <w:r>
        <w:t xml:space="preserve"> </w:t>
      </w:r>
      <w:r w:rsidRPr="008516D1">
        <w:t>en</w:t>
      </w:r>
      <w:r>
        <w:t xml:space="preserve"> </w:t>
      </w:r>
      <w:r w:rsidRPr="008516D1">
        <w:t>œuvre</w:t>
      </w:r>
      <w:r>
        <w:t xml:space="preserve"> </w:t>
      </w:r>
      <w:r w:rsidRPr="008516D1">
        <w:t>le</w:t>
      </w:r>
      <w:r>
        <w:t xml:space="preserve"> </w:t>
      </w:r>
      <w:r w:rsidRPr="008516D1">
        <w:t>Protocole</w:t>
      </w:r>
      <w:r>
        <w:t xml:space="preserve"> </w:t>
      </w:r>
      <w:r w:rsidRPr="008516D1">
        <w:t>d</w:t>
      </w:r>
      <w:r>
        <w:t>’</w:t>
      </w:r>
      <w:r w:rsidRPr="008516D1">
        <w:t>action</w:t>
      </w:r>
      <w:r>
        <w:t xml:space="preserve"> </w:t>
      </w:r>
      <w:r w:rsidRPr="008516D1">
        <w:t>de</w:t>
      </w:r>
      <w:r>
        <w:t xml:space="preserve"> </w:t>
      </w:r>
      <w:r w:rsidRPr="008516D1">
        <w:t>la</w:t>
      </w:r>
      <w:r>
        <w:t xml:space="preserve"> </w:t>
      </w:r>
      <w:r w:rsidRPr="008516D1">
        <w:t>Fédération</w:t>
      </w:r>
      <w:r>
        <w:t xml:space="preserve"> </w:t>
      </w:r>
      <w:r w:rsidRPr="008516D1">
        <w:t>ibéro-américaine</w:t>
      </w:r>
      <w:r>
        <w:t xml:space="preserve"> </w:t>
      </w:r>
      <w:r w:rsidRPr="008516D1">
        <w:t>des</w:t>
      </w:r>
      <w:r>
        <w:t xml:space="preserve"> </w:t>
      </w:r>
      <w:r w:rsidRPr="008516D1">
        <w:t>ombudsmans</w:t>
      </w:r>
      <w:r>
        <w:t xml:space="preserve"> </w:t>
      </w:r>
      <w:r w:rsidRPr="008516D1">
        <w:t>visant</w:t>
      </w:r>
      <w:r>
        <w:t xml:space="preserve"> </w:t>
      </w:r>
      <w:r w:rsidRPr="008516D1">
        <w:t>à</w:t>
      </w:r>
      <w:r>
        <w:t xml:space="preserve"> </w:t>
      </w:r>
      <w:r w:rsidRPr="008516D1">
        <w:t>protéger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personnes</w:t>
      </w:r>
      <w:r>
        <w:t xml:space="preserve"> </w:t>
      </w:r>
      <w:r w:rsidRPr="008516D1">
        <w:t>en</w:t>
      </w:r>
      <w:r>
        <w:t xml:space="preserve"> </w:t>
      </w:r>
      <w:r w:rsidRPr="008516D1">
        <w:t>situation</w:t>
      </w:r>
      <w:r>
        <w:t xml:space="preserve"> </w:t>
      </w:r>
      <w:r w:rsidRPr="008516D1">
        <w:t>de</w:t>
      </w:r>
      <w:r>
        <w:t xml:space="preserve"> </w:t>
      </w:r>
      <w:r w:rsidRPr="008516D1">
        <w:t>migration</w:t>
      </w:r>
      <w:r w:rsidRPr="008516D1">
        <w:rPr>
          <w:rStyle w:val="Appelnotedebasdep"/>
        </w:rPr>
        <w:footnoteReference w:id="79"/>
      </w:r>
      <w:r w:rsidRPr="008516D1">
        <w:t>.</w:t>
      </w:r>
    </w:p>
    <w:p w14:paraId="3C7E5FDF" w14:textId="77777777" w:rsidR="00286956" w:rsidRPr="008516D1" w:rsidRDefault="00286956" w:rsidP="00286956">
      <w:pPr>
        <w:pStyle w:val="SingleTxtG"/>
      </w:pPr>
      <w:r w:rsidRPr="008516D1">
        <w:t>96.</w:t>
      </w:r>
      <w:r w:rsidRPr="008516D1">
        <w:tab/>
        <w:t>En</w:t>
      </w:r>
      <w:r>
        <w:t xml:space="preserve"> </w:t>
      </w:r>
      <w:r w:rsidRPr="008516D1">
        <w:t>outre,</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coordination</w:t>
      </w:r>
      <w:r>
        <w:t xml:space="preserve"> </w:t>
      </w:r>
      <w:r w:rsidRPr="008516D1">
        <w:t>avec</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et</w:t>
      </w:r>
      <w:r>
        <w:t xml:space="preserve"> </w:t>
      </w:r>
      <w:r w:rsidRPr="008516D1">
        <w:t>les</w:t>
      </w:r>
      <w:r>
        <w:t xml:space="preserve"> </w:t>
      </w:r>
      <w:r w:rsidRPr="008516D1">
        <w:t>organisations</w:t>
      </w:r>
      <w:r>
        <w:t xml:space="preserve"> </w:t>
      </w:r>
      <w:r w:rsidRPr="008516D1">
        <w:t>internationales,</w:t>
      </w:r>
      <w:r>
        <w:t xml:space="preserve"> </w:t>
      </w:r>
      <w:r w:rsidRPr="008516D1">
        <w:t>a</w:t>
      </w:r>
      <w:r>
        <w:t xml:space="preserve"> </w:t>
      </w:r>
      <w:r w:rsidRPr="008516D1">
        <w:t>signé</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avec</w:t>
      </w:r>
      <w:r>
        <w:t xml:space="preserve"> </w:t>
      </w:r>
      <w:r w:rsidRPr="008516D1">
        <w:t>le</w:t>
      </w:r>
      <w:r>
        <w:t xml:space="preserve"> </w:t>
      </w:r>
      <w:r w:rsidRPr="008516D1">
        <w:t>CICR</w:t>
      </w:r>
      <w:r>
        <w:t xml:space="preserve"> </w:t>
      </w:r>
      <w:r w:rsidRPr="008516D1">
        <w:t>relatif</w:t>
      </w:r>
      <w:r>
        <w:t xml:space="preserve"> </w:t>
      </w:r>
      <w:r w:rsidRPr="008516D1">
        <w:t>à</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et</w:t>
      </w:r>
      <w:r>
        <w:t xml:space="preserve"> </w:t>
      </w:r>
      <w:r w:rsidRPr="008516D1">
        <w:t>des</w:t>
      </w:r>
      <w:r>
        <w:t xml:space="preserve"> </w:t>
      </w:r>
      <w:r w:rsidRPr="008516D1">
        <w:t>personnes</w:t>
      </w:r>
      <w:r>
        <w:t xml:space="preserve"> </w:t>
      </w:r>
      <w:r w:rsidRPr="008516D1">
        <w:t>déplacées</w:t>
      </w:r>
      <w:r>
        <w:t xml:space="preserve"> </w:t>
      </w:r>
      <w:r w:rsidRPr="008516D1">
        <w:t>à</w:t>
      </w:r>
      <w:r>
        <w:t xml:space="preserve"> </w:t>
      </w:r>
      <w:r w:rsidRPr="008516D1">
        <w:t>l</w:t>
      </w:r>
      <w:r>
        <w:t>’</w:t>
      </w:r>
      <w:r w:rsidRPr="008516D1">
        <w:t>intérieur</w:t>
      </w:r>
      <w:r>
        <w:t xml:space="preserve"> </w:t>
      </w:r>
      <w:r w:rsidRPr="008516D1">
        <w:t>du</w:t>
      </w:r>
      <w:r>
        <w:t xml:space="preserve"> </w:t>
      </w:r>
      <w:r w:rsidRPr="008516D1">
        <w:t>pays</w:t>
      </w:r>
      <w:r w:rsidRPr="008516D1">
        <w:rPr>
          <w:rStyle w:val="Appelnotedebasdep"/>
        </w:rPr>
        <w:footnoteReference w:id="80"/>
      </w:r>
      <w:r w:rsidRPr="008516D1">
        <w:t>.</w:t>
      </w:r>
    </w:p>
    <w:p w14:paraId="5730C54D" w14:textId="00330A2B" w:rsidR="00286956" w:rsidRPr="008516D1" w:rsidRDefault="00286956" w:rsidP="00286956">
      <w:pPr>
        <w:pStyle w:val="SingleTxtG"/>
      </w:pPr>
      <w:r w:rsidRPr="008516D1">
        <w:t>97.</w:t>
      </w:r>
      <w:r w:rsidRPr="008516D1">
        <w:tab/>
        <w:t>En</w:t>
      </w:r>
      <w:r>
        <w:t xml:space="preserve"> </w:t>
      </w:r>
      <w:r w:rsidRPr="008516D1">
        <w:t>2019,</w:t>
      </w:r>
      <w:r>
        <w:t xml:space="preserve"> </w:t>
      </w:r>
      <w:r w:rsidRPr="008516D1">
        <w:t>conformément</w:t>
      </w:r>
      <w:r>
        <w:t xml:space="preserve"> </w:t>
      </w:r>
      <w:r w:rsidRPr="008516D1">
        <w:t>aux</w:t>
      </w:r>
      <w:r>
        <w:t xml:space="preserve"> </w:t>
      </w:r>
      <w:r w:rsidRPr="008516D1">
        <w:t>recommandations</w:t>
      </w:r>
      <w:r>
        <w:t xml:space="preserve"> </w:t>
      </w:r>
      <w:r w:rsidRPr="008516D1">
        <w:t>de</w:t>
      </w:r>
      <w:r>
        <w:t xml:space="preserve"> </w:t>
      </w:r>
      <w:r w:rsidRPr="008516D1">
        <w:t>l</w:t>
      </w:r>
      <w:r>
        <w:t>’</w:t>
      </w:r>
      <w:r w:rsidRPr="008516D1">
        <w:t>Alliance</w:t>
      </w:r>
      <w:r>
        <w:t xml:space="preserve"> </w:t>
      </w:r>
      <w:r w:rsidRPr="008516D1">
        <w:t>mondiale</w:t>
      </w:r>
      <w:r>
        <w:t xml:space="preserve"> </w:t>
      </w:r>
      <w:r w:rsidRPr="008516D1">
        <w:t>des</w:t>
      </w:r>
      <w:r>
        <w:t xml:space="preserve"> </w:t>
      </w:r>
      <w:r w:rsidRPr="008516D1">
        <w:t>institutions</w:t>
      </w:r>
      <w:r>
        <w:t xml:space="preserve"> </w:t>
      </w:r>
      <w:r w:rsidRPr="008516D1">
        <w:t>nationales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été</w:t>
      </w:r>
      <w:r>
        <w:t xml:space="preserve"> </w:t>
      </w:r>
      <w:r w:rsidRPr="008516D1">
        <w:t>reconnu</w:t>
      </w:r>
      <w:r>
        <w:t xml:space="preserve"> </w:t>
      </w:r>
      <w:r w:rsidRPr="008516D1">
        <w:t>comme</w:t>
      </w:r>
      <w:r>
        <w:t xml:space="preserve"> </w:t>
      </w:r>
      <w:r w:rsidRPr="008516D1">
        <w:t>institution</w:t>
      </w:r>
      <w:r>
        <w:t xml:space="preserve"> </w:t>
      </w:r>
      <w:r w:rsidRPr="008516D1">
        <w:t>nationale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classe</w:t>
      </w:r>
      <w:r>
        <w:t xml:space="preserve"> </w:t>
      </w:r>
      <w:r w:rsidR="0013732F">
        <w:t>« </w:t>
      </w:r>
      <w:r w:rsidRPr="008516D1">
        <w:t>A</w:t>
      </w:r>
      <w:r w:rsidR="0013732F">
        <w:t> »</w:t>
      </w:r>
      <w:r>
        <w:t xml:space="preserve"> </w:t>
      </w:r>
      <w:r w:rsidRPr="008516D1">
        <w:t>en</w:t>
      </w:r>
      <w:r>
        <w:t xml:space="preserve"> </w:t>
      </w:r>
      <w:r w:rsidRPr="008516D1">
        <w:t>raison</w:t>
      </w:r>
      <w:r>
        <w:t xml:space="preserve"> </w:t>
      </w:r>
      <w:r w:rsidRPr="008516D1">
        <w:t>des</w:t>
      </w:r>
      <w:r>
        <w:t xml:space="preserve"> </w:t>
      </w:r>
      <w:r w:rsidRPr="008516D1">
        <w:t>efforts</w:t>
      </w:r>
      <w:r>
        <w:t xml:space="preserve"> </w:t>
      </w:r>
      <w:r w:rsidRPr="008516D1">
        <w:t>accomplis</w:t>
      </w:r>
      <w:r>
        <w:t xml:space="preserve"> </w:t>
      </w:r>
      <w:r w:rsidRPr="008516D1">
        <w:t>pour</w:t>
      </w:r>
      <w:r>
        <w:t xml:space="preserve"> </w:t>
      </w:r>
      <w:r w:rsidRPr="008516D1">
        <w:t>promouvoir</w:t>
      </w:r>
      <w:r>
        <w:t xml:space="preserve"> </w:t>
      </w:r>
      <w:r w:rsidRPr="008516D1">
        <w:t>et</w:t>
      </w:r>
      <w:r>
        <w:t xml:space="preserve"> </w:t>
      </w:r>
      <w:r w:rsidRPr="008516D1">
        <w:t>protéger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citoyens</w:t>
      </w:r>
      <w:r>
        <w:t xml:space="preserve"> </w:t>
      </w:r>
      <w:r w:rsidRPr="008516D1">
        <w:t>et</w:t>
      </w:r>
      <w:r>
        <w:t xml:space="preserve"> </w:t>
      </w:r>
      <w:r w:rsidRPr="008516D1">
        <w:t>notamment</w:t>
      </w:r>
      <w:r>
        <w:t xml:space="preserve"> </w:t>
      </w:r>
      <w:r w:rsidRPr="008516D1">
        <w:t>des</w:t>
      </w:r>
      <w:r>
        <w:t xml:space="preserve"> </w:t>
      </w:r>
      <w:r w:rsidRPr="008516D1">
        <w:t>migrants,</w:t>
      </w:r>
      <w:r>
        <w:t xml:space="preserve"> </w:t>
      </w:r>
      <w:r w:rsidRPr="008516D1">
        <w:t>des</w:t>
      </w:r>
      <w:r>
        <w:t xml:space="preserve"> </w:t>
      </w:r>
      <w:r w:rsidRPr="008516D1">
        <w:t>personnes</w:t>
      </w:r>
      <w:r>
        <w:t xml:space="preserve"> </w:t>
      </w:r>
      <w:r w:rsidRPr="008516D1">
        <w:t>déplacées</w:t>
      </w:r>
      <w:r>
        <w:t xml:space="preserve"> </w:t>
      </w:r>
      <w:r w:rsidRPr="008516D1">
        <w:t>et</w:t>
      </w:r>
      <w:r>
        <w:t xml:space="preserve"> </w:t>
      </w:r>
      <w:r w:rsidRPr="008516D1">
        <w:t>des</w:t>
      </w:r>
      <w:r>
        <w:t xml:space="preserve"> </w:t>
      </w:r>
      <w:r w:rsidRPr="008516D1">
        <w:t>réfugiés.</w:t>
      </w:r>
    </w:p>
    <w:p w14:paraId="050E0C45" w14:textId="77777777" w:rsidR="00286956" w:rsidRPr="008516D1" w:rsidRDefault="00286956" w:rsidP="00286956">
      <w:pPr>
        <w:pStyle w:val="SingleTxtG"/>
      </w:pPr>
      <w:r w:rsidRPr="008516D1">
        <w:t>98.</w:t>
      </w:r>
      <w:r w:rsidRPr="008516D1">
        <w:tab/>
        <w:t>Concernant</w:t>
      </w:r>
      <w:r>
        <w:t xml:space="preserve"> </w:t>
      </w:r>
      <w:r w:rsidRPr="008516D1">
        <w:t>la</w:t>
      </w:r>
      <w:r>
        <w:t xml:space="preserve"> </w:t>
      </w:r>
      <w:r w:rsidRPr="008516D1">
        <w:t>protection</w:t>
      </w:r>
      <w:r>
        <w:t xml:space="preserve"> </w:t>
      </w:r>
      <w:r w:rsidRPr="008516D1">
        <w:t>des</w:t>
      </w:r>
      <w:r>
        <w:t xml:space="preserve"> </w:t>
      </w:r>
      <w:r w:rsidRPr="008516D1">
        <w:t>plaignants,</w:t>
      </w:r>
      <w:r>
        <w:t xml:space="preserve"> </w:t>
      </w:r>
      <w:r w:rsidRPr="008516D1">
        <w:t>des</w:t>
      </w:r>
      <w:r>
        <w:t xml:space="preserve"> </w:t>
      </w:r>
      <w:r w:rsidRPr="008516D1">
        <w:t>experts,</w:t>
      </w:r>
      <w:r>
        <w:t xml:space="preserve"> </w:t>
      </w:r>
      <w:r w:rsidRPr="008516D1">
        <w:t>des</w:t>
      </w:r>
      <w:r>
        <w:t xml:space="preserve"> </w:t>
      </w:r>
      <w:r w:rsidRPr="008516D1">
        <w:t>témoins</w:t>
      </w:r>
      <w:r>
        <w:t xml:space="preserve"> </w:t>
      </w:r>
      <w:r w:rsidRPr="008516D1">
        <w:t>et</w:t>
      </w:r>
      <w:r>
        <w:t xml:space="preserve"> </w:t>
      </w:r>
      <w:r w:rsidRPr="008516D1">
        <w:t>des</w:t>
      </w:r>
      <w:r>
        <w:t xml:space="preserve"> </w:t>
      </w:r>
      <w:r w:rsidRPr="008516D1">
        <w:t>défenseurs,</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dans</w:t>
      </w:r>
      <w:r>
        <w:t xml:space="preserve"> </w:t>
      </w:r>
      <w:r w:rsidRPr="008516D1">
        <w:t>le</w:t>
      </w:r>
      <w:r>
        <w:t xml:space="preserve"> </w:t>
      </w:r>
      <w:r w:rsidRPr="008516D1">
        <w:t>présent</w:t>
      </w:r>
      <w:r>
        <w:t xml:space="preserve"> </w:t>
      </w:r>
      <w:r w:rsidRPr="008516D1">
        <w:t>rapport,</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27</w:t>
      </w:r>
      <w:r>
        <w:t xml:space="preserve"> </w:t>
      </w:r>
      <w:r w:rsidRPr="008516D1">
        <w:t>des</w:t>
      </w:r>
      <w:r>
        <w:t xml:space="preserve"> </w:t>
      </w:r>
      <w:r w:rsidRPr="008516D1">
        <w:t>observations</w:t>
      </w:r>
      <w:r>
        <w:t xml:space="preserve"> </w:t>
      </w:r>
      <w:r w:rsidRPr="008516D1">
        <w:t>finales.</w:t>
      </w:r>
    </w:p>
    <w:p w14:paraId="06F958C2" w14:textId="62C58682" w:rsidR="00286956" w:rsidRPr="008516D1" w:rsidRDefault="00286956" w:rsidP="00286956">
      <w:pPr>
        <w:pStyle w:val="SingleTxtG"/>
      </w:pPr>
      <w:r w:rsidRPr="008516D1">
        <w:t>99.</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29</w:t>
      </w:r>
      <w:r w:rsidR="00A74554">
        <w:t> b)</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assurer</w:t>
      </w:r>
      <w:r>
        <w:t xml:space="preserve"> </w:t>
      </w:r>
      <w:r w:rsidRPr="008516D1">
        <w:t>la</w:t>
      </w:r>
      <w:r>
        <w:t xml:space="preserve"> </w:t>
      </w:r>
      <w:r w:rsidRPr="008516D1">
        <w:t>recherche</w:t>
      </w:r>
      <w:r>
        <w:t xml:space="preserve"> </w:t>
      </w:r>
      <w:r w:rsidRPr="008516D1">
        <w:t>immédiate</w:t>
      </w:r>
      <w:r>
        <w:t xml:space="preserve"> </w:t>
      </w:r>
      <w:r w:rsidRPr="008516D1">
        <w:t>des</w:t>
      </w:r>
      <w:r>
        <w:t xml:space="preserve"> </w:t>
      </w:r>
      <w:r w:rsidRPr="008516D1">
        <w:t>migrants</w:t>
      </w:r>
      <w:r>
        <w:t xml:space="preserve"> </w:t>
      </w:r>
      <w:r w:rsidRPr="008516D1">
        <w:t>disparus</w:t>
      </w:r>
      <w:r>
        <w:t xml:space="preserve"> </w:t>
      </w:r>
      <w:r w:rsidRPr="008516D1">
        <w:t>et,</w:t>
      </w:r>
      <w:r>
        <w:t xml:space="preserve"> </w:t>
      </w:r>
      <w:r w:rsidRPr="008516D1">
        <w:t>si</w:t>
      </w:r>
      <w:r>
        <w:t xml:space="preserve"> </w:t>
      </w:r>
      <w:r w:rsidRPr="008516D1">
        <w:t>leurs</w:t>
      </w:r>
      <w:r>
        <w:t xml:space="preserve"> </w:t>
      </w:r>
      <w:r w:rsidRPr="008516D1">
        <w:t>dépouilles</w:t>
      </w:r>
      <w:r>
        <w:t xml:space="preserve"> </w:t>
      </w:r>
      <w:r w:rsidRPr="008516D1">
        <w:t>sont</w:t>
      </w:r>
      <w:r>
        <w:t xml:space="preserve"> </w:t>
      </w:r>
      <w:r w:rsidRPr="008516D1">
        <w:t>retrouvées,</w:t>
      </w:r>
      <w:r>
        <w:t xml:space="preserve"> </w:t>
      </w:r>
      <w:r w:rsidRPr="008516D1">
        <w:t>leur</w:t>
      </w:r>
      <w:r>
        <w:t xml:space="preserve"> </w:t>
      </w:r>
      <w:r w:rsidRPr="008516D1">
        <w:t>identification</w:t>
      </w:r>
      <w:r>
        <w:t xml:space="preserve"> </w:t>
      </w:r>
      <w:r w:rsidRPr="008516D1">
        <w:t>et</w:t>
      </w:r>
      <w:r>
        <w:t xml:space="preserve"> </w:t>
      </w:r>
      <w:r w:rsidRPr="008516D1">
        <w:t>leur</w:t>
      </w:r>
      <w:r>
        <w:t xml:space="preserve"> </w:t>
      </w:r>
      <w:r w:rsidRPr="008516D1">
        <w:t>restitution</w:t>
      </w:r>
      <w:r>
        <w:t xml:space="preserve"> </w:t>
      </w:r>
      <w:r w:rsidRPr="008516D1">
        <w:t>dans</w:t>
      </w:r>
      <w:r>
        <w:t xml:space="preserve"> </w:t>
      </w:r>
      <w:r w:rsidRPr="008516D1">
        <w:t>la</w:t>
      </w:r>
      <w:r>
        <w:t xml:space="preserve"> </w:t>
      </w:r>
      <w:r w:rsidRPr="008516D1">
        <w:t>dignité,</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la</w:t>
      </w:r>
      <w:r>
        <w:t xml:space="preserve"> </w:t>
      </w:r>
      <w:r w:rsidRPr="008516D1">
        <w:t>procédure</w:t>
      </w:r>
      <w:r>
        <w:t xml:space="preserve"> </w:t>
      </w:r>
      <w:r w:rsidRPr="008516D1">
        <w:t>de</w:t>
      </w:r>
      <w:r>
        <w:t xml:space="preserve"> </w:t>
      </w:r>
      <w:r w:rsidRPr="008516D1">
        <w:t>recherche</w:t>
      </w:r>
      <w:r>
        <w:t xml:space="preserve"> </w:t>
      </w:r>
      <w:r w:rsidRPr="008516D1">
        <w:t>et</w:t>
      </w:r>
      <w:r>
        <w:t xml:space="preserve"> </w:t>
      </w:r>
      <w:r w:rsidRPr="008516D1">
        <w:t>d</w:t>
      </w:r>
      <w:r>
        <w:t>’</w:t>
      </w:r>
      <w:r w:rsidRPr="008516D1">
        <w:t>identification</w:t>
      </w:r>
      <w:r>
        <w:t xml:space="preserve"> </w:t>
      </w:r>
      <w:r w:rsidRPr="008516D1">
        <w:t>démarre</w:t>
      </w:r>
      <w:r>
        <w:t xml:space="preserve"> </w:t>
      </w:r>
      <w:r w:rsidRPr="008516D1">
        <w:t>au</w:t>
      </w:r>
      <w:r>
        <w:t xml:space="preserve"> </w:t>
      </w:r>
      <w:r w:rsidRPr="008516D1">
        <w:t>niveau</w:t>
      </w:r>
      <w:r>
        <w:t xml:space="preserve"> </w:t>
      </w:r>
      <w:r w:rsidRPr="008516D1">
        <w:t>du</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et</w:t>
      </w:r>
      <w:r>
        <w:t xml:space="preserve"> </w:t>
      </w:r>
      <w:r w:rsidRPr="008516D1">
        <w:t>du</w:t>
      </w:r>
      <w:r>
        <w:t xml:space="preserve"> </w:t>
      </w:r>
      <w:r w:rsidRPr="008516D1">
        <w:t>réseau</w:t>
      </w:r>
      <w:r>
        <w:t xml:space="preserve"> </w:t>
      </w:r>
      <w:r w:rsidRPr="008516D1">
        <w:t>consulaire,</w:t>
      </w:r>
      <w:r>
        <w:t xml:space="preserve"> </w:t>
      </w:r>
      <w:r w:rsidRPr="008516D1">
        <w:t>à</w:t>
      </w:r>
      <w:r>
        <w:t xml:space="preserve"> </w:t>
      </w:r>
      <w:r w:rsidRPr="008516D1">
        <w:t>la</w:t>
      </w:r>
      <w:r>
        <w:t xml:space="preserve"> </w:t>
      </w:r>
      <w:r w:rsidRPr="008516D1">
        <w:t>demande</w:t>
      </w:r>
      <w:r>
        <w:t xml:space="preserve"> </w:t>
      </w:r>
      <w:r w:rsidRPr="008516D1">
        <w:t>d</w:t>
      </w:r>
      <w:r>
        <w:t>’</w:t>
      </w:r>
      <w:r w:rsidRPr="008516D1">
        <w:t>un</w:t>
      </w:r>
      <w:r>
        <w:t xml:space="preserve"> </w:t>
      </w:r>
      <w:r w:rsidRPr="008516D1">
        <w:t>membre</w:t>
      </w:r>
      <w:r>
        <w:t xml:space="preserve"> </w:t>
      </w:r>
      <w:r w:rsidRPr="008516D1">
        <w:t>de</w:t>
      </w:r>
      <w:r>
        <w:t xml:space="preserve"> </w:t>
      </w:r>
      <w:r w:rsidRPr="008516D1">
        <w:t>la</w:t>
      </w:r>
      <w:r>
        <w:t xml:space="preserve"> </w:t>
      </w:r>
      <w:r w:rsidRPr="008516D1">
        <w:t>famille,</w:t>
      </w:r>
      <w:r>
        <w:t xml:space="preserve"> </w:t>
      </w:r>
      <w:r w:rsidRPr="008516D1">
        <w:t>qui</w:t>
      </w:r>
      <w:r>
        <w:t xml:space="preserve"> </w:t>
      </w:r>
      <w:r w:rsidRPr="008516D1">
        <w:t>joue</w:t>
      </w:r>
      <w:r>
        <w:t xml:space="preserve"> </w:t>
      </w:r>
      <w:r w:rsidRPr="008516D1">
        <w:t>un</w:t>
      </w:r>
      <w:r>
        <w:t xml:space="preserve"> </w:t>
      </w:r>
      <w:r w:rsidRPr="008516D1">
        <w:t>rôle</w:t>
      </w:r>
      <w:r>
        <w:t xml:space="preserve"> </w:t>
      </w:r>
      <w:r w:rsidRPr="008516D1">
        <w:t>actif</w:t>
      </w:r>
      <w:r>
        <w:t xml:space="preserve"> </w:t>
      </w:r>
      <w:r w:rsidRPr="008516D1">
        <w:t>dans</w:t>
      </w:r>
      <w:r>
        <w:t xml:space="preserve"> </w:t>
      </w:r>
      <w:r w:rsidRPr="008516D1">
        <w:t>cette</w:t>
      </w:r>
      <w:r>
        <w:t xml:space="preserve"> </w:t>
      </w:r>
      <w:r w:rsidRPr="008516D1">
        <w:t>démarche.</w:t>
      </w:r>
    </w:p>
    <w:p w14:paraId="26CECBF7" w14:textId="77777777" w:rsidR="00286956" w:rsidRPr="008516D1" w:rsidRDefault="00286956" w:rsidP="00286956">
      <w:pPr>
        <w:pStyle w:val="SingleTxtG"/>
        <w:rPr>
          <w:szCs w:val="24"/>
        </w:rPr>
      </w:pPr>
      <w:r w:rsidRPr="008516D1">
        <w:lastRenderedPageBreak/>
        <w:t>100.</w:t>
      </w:r>
      <w:r w:rsidRPr="008516D1">
        <w:tab/>
        <w:t>Avec</w:t>
      </w:r>
      <w:r>
        <w:t xml:space="preserve"> </w:t>
      </w:r>
      <w:r w:rsidRPr="008516D1">
        <w:t>l</w:t>
      </w:r>
      <w:r>
        <w:t>’</w:t>
      </w:r>
      <w:r w:rsidRPr="008516D1">
        <w:t>aide</w:t>
      </w:r>
      <w:r>
        <w:t xml:space="preserve"> </w:t>
      </w:r>
      <w:r w:rsidRPr="008516D1">
        <w:t>des</w:t>
      </w:r>
      <w:r>
        <w:t xml:space="preserve"> </w:t>
      </w:r>
      <w:r w:rsidRPr="008516D1">
        <w:t>familles</w:t>
      </w:r>
      <w:r>
        <w:t xml:space="preserve"> </w:t>
      </w:r>
      <w:r w:rsidRPr="008516D1">
        <w:t>des</w:t>
      </w:r>
      <w:r>
        <w:t xml:space="preserve"> </w:t>
      </w:r>
      <w:r w:rsidRPr="008516D1">
        <w:t>ressortissants</w:t>
      </w:r>
      <w:r>
        <w:t xml:space="preserve"> </w:t>
      </w:r>
      <w:r w:rsidRPr="008516D1">
        <w:t>honduriens</w:t>
      </w:r>
      <w:r>
        <w:t xml:space="preserve"> </w:t>
      </w:r>
      <w:r w:rsidRPr="008516D1">
        <w:t>disparus</w:t>
      </w:r>
      <w:r>
        <w:t xml:space="preserve"> </w:t>
      </w:r>
      <w:r w:rsidRPr="008516D1">
        <w:t>à</w:t>
      </w:r>
      <w:r>
        <w:t xml:space="preserve"> </w:t>
      </w:r>
      <w:r w:rsidRPr="008516D1">
        <w:t>l</w:t>
      </w:r>
      <w:r>
        <w:t>’</w:t>
      </w:r>
      <w:r w:rsidRPr="008516D1">
        <w:t>étranger,</w:t>
      </w:r>
      <w:r>
        <w:t xml:space="preserve"> </w:t>
      </w:r>
      <w:r w:rsidRPr="008516D1">
        <w:t>la</w:t>
      </w:r>
      <w:r>
        <w:t xml:space="preserve"> </w:t>
      </w:r>
      <w:r w:rsidRPr="008516D1">
        <w:t>Direction</w:t>
      </w:r>
      <w:r>
        <w:t xml:space="preserve"> </w:t>
      </w:r>
      <w:r w:rsidRPr="008516D1">
        <w:t>générale</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et</w:t>
      </w:r>
      <w:r>
        <w:t xml:space="preserve"> </w:t>
      </w:r>
      <w:r w:rsidRPr="008516D1">
        <w:t>le</w:t>
      </w:r>
      <w:r>
        <w:t xml:space="preserve"> </w:t>
      </w:r>
      <w:r w:rsidRPr="008516D1">
        <w:t>réseau</w:t>
      </w:r>
      <w:r>
        <w:t xml:space="preserve"> </w:t>
      </w:r>
      <w:r w:rsidRPr="008516D1">
        <w:t>consulaire</w:t>
      </w:r>
      <w:r>
        <w:t xml:space="preserve"> </w:t>
      </w:r>
      <w:r w:rsidRPr="008516D1">
        <w:t>aident</w:t>
      </w:r>
      <w:r>
        <w:t xml:space="preserve"> </w:t>
      </w:r>
      <w:r w:rsidRPr="008516D1">
        <w:t>à</w:t>
      </w:r>
      <w:r>
        <w:t xml:space="preserve"> </w:t>
      </w:r>
      <w:r w:rsidRPr="008516D1">
        <w:t>la</w:t>
      </w:r>
      <w:r>
        <w:t xml:space="preserve"> </w:t>
      </w:r>
      <w:r w:rsidRPr="008516D1">
        <w:t>constitution</w:t>
      </w:r>
      <w:r>
        <w:t xml:space="preserve"> </w:t>
      </w:r>
      <w:r w:rsidRPr="008516D1">
        <w:t>des</w:t>
      </w:r>
      <w:r>
        <w:t xml:space="preserve"> </w:t>
      </w:r>
      <w:r w:rsidRPr="008516D1">
        <w:t>dossiers</w:t>
      </w:r>
      <w:r>
        <w:t xml:space="preserve"> </w:t>
      </w:r>
      <w:r w:rsidRPr="008516D1">
        <w:t>et</w:t>
      </w:r>
      <w:r>
        <w:t xml:space="preserve"> </w:t>
      </w:r>
      <w:r w:rsidRPr="008516D1">
        <w:t>au</w:t>
      </w:r>
      <w:r>
        <w:t xml:space="preserve"> </w:t>
      </w:r>
      <w:r w:rsidRPr="008516D1">
        <w:t>prélèvement</w:t>
      </w:r>
      <w:r>
        <w:t xml:space="preserve"> </w:t>
      </w:r>
      <w:r w:rsidRPr="008516D1">
        <w:t>d</w:t>
      </w:r>
      <w:r>
        <w:t>’</w:t>
      </w:r>
      <w:r w:rsidRPr="008516D1">
        <w:t>échantillons</w:t>
      </w:r>
      <w:r>
        <w:t xml:space="preserve"> </w:t>
      </w:r>
      <w:r w:rsidRPr="008516D1">
        <w:t>destinés</w:t>
      </w:r>
      <w:r>
        <w:t xml:space="preserve"> </w:t>
      </w:r>
      <w:r w:rsidRPr="008516D1">
        <w:t>à</w:t>
      </w:r>
      <w:r>
        <w:t xml:space="preserve"> </w:t>
      </w:r>
      <w:r w:rsidRPr="008516D1">
        <w:t>établir</w:t>
      </w:r>
      <w:r>
        <w:t xml:space="preserve"> </w:t>
      </w:r>
      <w:r w:rsidRPr="008516D1">
        <w:t>les</w:t>
      </w:r>
      <w:r>
        <w:t xml:space="preserve"> </w:t>
      </w:r>
      <w:r w:rsidRPr="008516D1">
        <w:t>profils</w:t>
      </w:r>
      <w:r>
        <w:t xml:space="preserve"> </w:t>
      </w:r>
      <w:r w:rsidRPr="008516D1">
        <w:t>génétiques</w:t>
      </w:r>
      <w:r>
        <w:t xml:space="preserve"> </w:t>
      </w:r>
      <w:r w:rsidRPr="008516D1">
        <w:t>qui</w:t>
      </w:r>
      <w:r>
        <w:t xml:space="preserve"> </w:t>
      </w:r>
      <w:r w:rsidRPr="008516D1">
        <w:t>seront</w:t>
      </w:r>
      <w:r>
        <w:t xml:space="preserve"> </w:t>
      </w:r>
      <w:r w:rsidRPr="008516D1">
        <w:t>utilisés</w:t>
      </w:r>
      <w:r>
        <w:t xml:space="preserve"> </w:t>
      </w:r>
      <w:r w:rsidRPr="008516D1">
        <w:t>pour</w:t>
      </w:r>
      <w:r>
        <w:t xml:space="preserve"> </w:t>
      </w:r>
      <w:r w:rsidRPr="008516D1">
        <w:t>identifier</w:t>
      </w:r>
      <w:r>
        <w:t xml:space="preserve"> </w:t>
      </w:r>
      <w:r w:rsidRPr="008516D1">
        <w:t>les</w:t>
      </w:r>
      <w:r>
        <w:t xml:space="preserve"> </w:t>
      </w:r>
      <w:r w:rsidRPr="008516D1">
        <w:t>restes,</w:t>
      </w:r>
      <w:r>
        <w:t xml:space="preserve"> </w:t>
      </w:r>
      <w:r w:rsidRPr="008516D1">
        <w:t>avec</w:t>
      </w:r>
      <w:r>
        <w:t xml:space="preserve"> </w:t>
      </w:r>
      <w:r w:rsidRPr="008516D1">
        <w:t>le</w:t>
      </w:r>
      <w:r>
        <w:t xml:space="preserve"> </w:t>
      </w:r>
      <w:r w:rsidRPr="008516D1">
        <w:t>soutien</w:t>
      </w:r>
      <w:r>
        <w:t xml:space="preserve"> </w:t>
      </w:r>
      <w:r w:rsidRPr="008516D1">
        <w:t>de</w:t>
      </w:r>
      <w:r>
        <w:t xml:space="preserve"> </w:t>
      </w:r>
      <w:r w:rsidRPr="008516D1">
        <w:t>l</w:t>
      </w:r>
      <w:r>
        <w:t>’</w:t>
      </w:r>
      <w:r w:rsidRPr="008516D1">
        <w:t>Équipe</w:t>
      </w:r>
      <w:r>
        <w:t xml:space="preserve"> </w:t>
      </w:r>
      <w:r w:rsidRPr="008516D1">
        <w:t>argentine</w:t>
      </w:r>
      <w:r>
        <w:t xml:space="preserve"> </w:t>
      </w:r>
      <w:r w:rsidRPr="008516D1">
        <w:t>d</w:t>
      </w:r>
      <w:r>
        <w:t>’</w:t>
      </w:r>
      <w:r w:rsidRPr="008516D1">
        <w:t>anthropologie</w:t>
      </w:r>
      <w:r>
        <w:t xml:space="preserve"> </w:t>
      </w:r>
      <w:r w:rsidRPr="008516D1">
        <w:t>médico-légale</w:t>
      </w:r>
      <w:r>
        <w:t xml:space="preserve"> </w:t>
      </w:r>
      <w:r w:rsidRPr="008516D1">
        <w:t>et</w:t>
      </w:r>
      <w:r>
        <w:t xml:space="preserve"> </w:t>
      </w:r>
      <w:r w:rsidRPr="008516D1">
        <w:t>de</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médico-légales</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au</w:t>
      </w:r>
      <w:r>
        <w:t xml:space="preserve"> </w:t>
      </w:r>
      <w:r w:rsidRPr="008516D1">
        <w:t>Honduras,</w:t>
      </w:r>
      <w:r>
        <w:t xml:space="preserve"> </w:t>
      </w:r>
      <w:r w:rsidRPr="008516D1">
        <w:t>qui</w:t>
      </w:r>
      <w:r>
        <w:t xml:space="preserve"> </w:t>
      </w:r>
      <w:r w:rsidRPr="008516D1">
        <w:t>contient</w:t>
      </w:r>
      <w:r>
        <w:t xml:space="preserve"> </w:t>
      </w:r>
      <w:r w:rsidRPr="008516D1">
        <w:t>les</w:t>
      </w:r>
      <w:r>
        <w:t xml:space="preserve"> </w:t>
      </w:r>
      <w:r w:rsidRPr="008516D1">
        <w:t>données</w:t>
      </w:r>
      <w:r>
        <w:t xml:space="preserve"> </w:t>
      </w:r>
      <w:r w:rsidRPr="008516D1">
        <w:t>des</w:t>
      </w:r>
      <w:r>
        <w:t xml:space="preserve"> </w:t>
      </w:r>
      <w:r w:rsidRPr="008516D1">
        <w:t>victimes.</w:t>
      </w:r>
    </w:p>
    <w:p w14:paraId="66739320" w14:textId="6D47157D" w:rsidR="00286956" w:rsidRPr="008516D1" w:rsidRDefault="00286956" w:rsidP="00286956">
      <w:pPr>
        <w:pStyle w:val="SingleTxtG"/>
        <w:rPr>
          <w:szCs w:val="24"/>
        </w:rPr>
      </w:pPr>
      <w:r w:rsidRPr="008516D1">
        <w:t>101.</w:t>
      </w:r>
      <w:r w:rsidRPr="008516D1">
        <w:tab/>
        <w:t>Afin</w:t>
      </w:r>
      <w:r>
        <w:t xml:space="preserve"> </w:t>
      </w:r>
      <w:r w:rsidRPr="008516D1">
        <w:t>d</w:t>
      </w:r>
      <w:r>
        <w:t>’</w:t>
      </w:r>
      <w:r w:rsidRPr="008516D1">
        <w:t>assurer</w:t>
      </w:r>
      <w:r>
        <w:t xml:space="preserve"> </w:t>
      </w:r>
      <w:r w:rsidRPr="008516D1">
        <w:t>une</w:t>
      </w:r>
      <w:r>
        <w:t xml:space="preserve"> </w:t>
      </w:r>
      <w:r w:rsidRPr="008516D1">
        <w:t>recherche</w:t>
      </w:r>
      <w:r>
        <w:t xml:space="preserve"> </w:t>
      </w:r>
      <w:r w:rsidRPr="008516D1">
        <w:t>plus</w:t>
      </w:r>
      <w:r>
        <w:t xml:space="preserve"> </w:t>
      </w:r>
      <w:r w:rsidRPr="008516D1">
        <w:t>efficace,</w:t>
      </w:r>
      <w:r>
        <w:t xml:space="preserve"> </w:t>
      </w:r>
      <w:r w:rsidRPr="008516D1">
        <w:t>la</w:t>
      </w:r>
      <w:r>
        <w:t xml:space="preserve"> </w:t>
      </w:r>
      <w:r w:rsidRPr="008516D1">
        <w:t>Direction</w:t>
      </w:r>
      <w:r>
        <w:t xml:space="preserve"> </w:t>
      </w:r>
      <w:r w:rsidRPr="008516D1">
        <w:t>générale</w:t>
      </w:r>
      <w:r>
        <w:t xml:space="preserve"> </w:t>
      </w:r>
      <w:r w:rsidRPr="008516D1">
        <w:t>pour</w:t>
      </w:r>
      <w:r>
        <w:t xml:space="preserve"> </w:t>
      </w:r>
      <w:r w:rsidRPr="008516D1">
        <w:t>la</w:t>
      </w:r>
      <w:r>
        <w:t xml:space="preserve"> </w:t>
      </w:r>
      <w:r w:rsidRPr="008516D1">
        <w:t>protection</w:t>
      </w:r>
      <w:r>
        <w:t xml:space="preserve"> </w:t>
      </w:r>
      <w:r w:rsidRPr="008516D1">
        <w:t>des</w:t>
      </w:r>
      <w:r>
        <w:t xml:space="preserve"> </w:t>
      </w:r>
      <w:r w:rsidRPr="008516D1">
        <w:t>migrants</w:t>
      </w:r>
      <w:r>
        <w:t xml:space="preserve"> </w:t>
      </w:r>
      <w:r w:rsidRPr="008516D1">
        <w:t>honduriens</w:t>
      </w:r>
      <w:r>
        <w:t xml:space="preserve"> </w:t>
      </w:r>
      <w:r w:rsidRPr="008516D1">
        <w:t>et</w:t>
      </w:r>
      <w:r>
        <w:t xml:space="preserve"> </w:t>
      </w:r>
      <w:r w:rsidRPr="008516D1">
        <w:t>le</w:t>
      </w:r>
      <w:r>
        <w:t xml:space="preserve"> </w:t>
      </w:r>
      <w:r w:rsidRPr="008516D1">
        <w:t>réseau</w:t>
      </w:r>
      <w:r>
        <w:t xml:space="preserve"> </w:t>
      </w:r>
      <w:r w:rsidRPr="008516D1">
        <w:t>consulaire</w:t>
      </w:r>
      <w:r>
        <w:t xml:space="preserve"> </w:t>
      </w:r>
      <w:r w:rsidRPr="008516D1">
        <w:t>ont</w:t>
      </w:r>
      <w:r>
        <w:t xml:space="preserve"> </w:t>
      </w:r>
      <w:r w:rsidRPr="008516D1">
        <w:t>complété</w:t>
      </w:r>
      <w:r>
        <w:t xml:space="preserve"> </w:t>
      </w:r>
      <w:r w:rsidRPr="008516D1">
        <w:t>les</w:t>
      </w:r>
      <w:r>
        <w:t xml:space="preserve"> </w:t>
      </w:r>
      <w:r w:rsidRPr="008516D1">
        <w:t>informations</w:t>
      </w:r>
      <w:r>
        <w:t xml:space="preserve"> </w:t>
      </w:r>
      <w:r w:rsidRPr="008516D1">
        <w:t>contenues</w:t>
      </w:r>
      <w:r>
        <w:t xml:space="preserve"> </w:t>
      </w:r>
      <w:r w:rsidRPr="008516D1">
        <w:t>dans</w:t>
      </w:r>
      <w:r>
        <w:t xml:space="preserve"> </w:t>
      </w:r>
      <w:r w:rsidRPr="008516D1">
        <w:t>les</w:t>
      </w:r>
      <w:r>
        <w:t xml:space="preserve"> </w:t>
      </w:r>
      <w:r w:rsidRPr="008516D1">
        <w:t>dossiers</w:t>
      </w:r>
      <w:r>
        <w:t xml:space="preserve"> </w:t>
      </w:r>
      <w:r w:rsidRPr="008516D1">
        <w:t>des</w:t>
      </w:r>
      <w:r>
        <w:t xml:space="preserve"> </w:t>
      </w:r>
      <w:r w:rsidRPr="008516D1">
        <w:t>migrants</w:t>
      </w:r>
      <w:r>
        <w:t xml:space="preserve"> </w:t>
      </w:r>
      <w:r w:rsidRPr="008516D1">
        <w:t>honduriens</w:t>
      </w:r>
      <w:r>
        <w:t xml:space="preserve"> </w:t>
      </w:r>
      <w:r w:rsidRPr="008516D1">
        <w:t>portés</w:t>
      </w:r>
      <w:r>
        <w:t xml:space="preserve"> </w:t>
      </w:r>
      <w:r w:rsidRPr="008516D1">
        <w:t>disparus,</w:t>
      </w:r>
      <w:r>
        <w:t xml:space="preserve"> </w:t>
      </w:r>
      <w:r w:rsidRPr="008516D1">
        <w:t>avec</w:t>
      </w:r>
      <w:r>
        <w:t xml:space="preserve"> </w:t>
      </w:r>
      <w:r w:rsidRPr="008516D1">
        <w:t>l</w:t>
      </w:r>
      <w:r>
        <w:t>’</w:t>
      </w:r>
      <w:r w:rsidRPr="008516D1">
        <w:t>aide</w:t>
      </w:r>
      <w:r>
        <w:t xml:space="preserve"> </w:t>
      </w:r>
      <w:r w:rsidRPr="008516D1">
        <w:t>du</w:t>
      </w:r>
      <w:r>
        <w:t xml:space="preserve"> </w:t>
      </w:r>
      <w:r w:rsidRPr="008516D1">
        <w:t>Comité</w:t>
      </w:r>
      <w:r>
        <w:t xml:space="preserve"> </w:t>
      </w:r>
      <w:r w:rsidRPr="008516D1">
        <w:t>des</w:t>
      </w:r>
      <w:r>
        <w:t xml:space="preserve"> </w:t>
      </w:r>
      <w:r w:rsidRPr="008516D1">
        <w:t>familles</w:t>
      </w:r>
      <w:r>
        <w:t xml:space="preserve"> </w:t>
      </w:r>
      <w:r w:rsidRPr="008516D1">
        <w:t>des</w:t>
      </w:r>
      <w:r>
        <w:t xml:space="preserve"> </w:t>
      </w:r>
      <w:r w:rsidRPr="008516D1">
        <w:t>migrants</w:t>
      </w:r>
      <w:r>
        <w:t xml:space="preserve"> </w:t>
      </w:r>
      <w:r w:rsidRPr="008516D1">
        <w:t>disparus</w:t>
      </w:r>
      <w:r>
        <w:t xml:space="preserve"> </w:t>
      </w:r>
      <w:r w:rsidRPr="008516D1">
        <w:t>d</w:t>
      </w:r>
      <w:r>
        <w:t>’</w:t>
      </w:r>
      <w:r w:rsidRPr="008516D1">
        <w:t>El</w:t>
      </w:r>
      <w:r w:rsidR="00301C05">
        <w:t> </w:t>
      </w:r>
      <w:proofErr w:type="spellStart"/>
      <w:r w:rsidRPr="008516D1">
        <w:t>Progreso</w:t>
      </w:r>
      <w:proofErr w:type="spellEnd"/>
      <w:r w:rsidRPr="008516D1">
        <w:t>.</w:t>
      </w:r>
    </w:p>
    <w:p w14:paraId="7AE02F01" w14:textId="77777777" w:rsidR="00286956" w:rsidRPr="008516D1" w:rsidRDefault="00286956" w:rsidP="00286956">
      <w:pPr>
        <w:pStyle w:val="SingleTxtG"/>
        <w:rPr>
          <w:szCs w:val="24"/>
        </w:rPr>
      </w:pPr>
      <w:r w:rsidRPr="008516D1">
        <w:t>102.</w:t>
      </w:r>
      <w:r w:rsidRPr="008516D1">
        <w:tab/>
        <w:t>Il</w:t>
      </w:r>
      <w:r>
        <w:t xml:space="preserve"> </w:t>
      </w:r>
      <w:r w:rsidRPr="008516D1">
        <w:t>est</w:t>
      </w:r>
      <w:r>
        <w:t xml:space="preserve"> </w:t>
      </w:r>
      <w:r w:rsidRPr="008516D1">
        <w:t>important</w:t>
      </w:r>
      <w:r>
        <w:t xml:space="preserve"> </w:t>
      </w:r>
      <w:r w:rsidRPr="008516D1">
        <w:t>de</w:t>
      </w:r>
      <w:r>
        <w:t xml:space="preserve"> </w:t>
      </w:r>
      <w:r w:rsidRPr="008516D1">
        <w:t>signaler</w:t>
      </w:r>
      <w:r>
        <w:t xml:space="preserve"> </w:t>
      </w:r>
      <w:r w:rsidRPr="008516D1">
        <w:t>que,</w:t>
      </w:r>
      <w:r>
        <w:t xml:space="preserve"> </w:t>
      </w:r>
      <w:r w:rsidRPr="008516D1">
        <w:t>depuis</w:t>
      </w:r>
      <w:r>
        <w:t xml:space="preserve"> </w:t>
      </w:r>
      <w:r w:rsidRPr="008516D1">
        <w:t>2015,</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est</w:t>
      </w:r>
      <w:r>
        <w:t xml:space="preserve"> </w:t>
      </w:r>
      <w:r w:rsidRPr="008516D1">
        <w:t>représenté</w:t>
      </w:r>
      <w:r>
        <w:t xml:space="preserve"> </w:t>
      </w:r>
      <w:r w:rsidRPr="008516D1">
        <w:t>au</w:t>
      </w:r>
      <w:r>
        <w:t xml:space="preserve"> </w:t>
      </w:r>
      <w:r w:rsidRPr="008516D1">
        <w:t>Groupe</w:t>
      </w:r>
      <w:r>
        <w:t xml:space="preserve"> </w:t>
      </w:r>
      <w:r w:rsidRPr="008516D1">
        <w:t>de</w:t>
      </w:r>
      <w:r>
        <w:t xml:space="preserve"> </w:t>
      </w:r>
      <w:r w:rsidRPr="008516D1">
        <w:t>travail</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coordonné</w:t>
      </w:r>
      <w:r>
        <w:t xml:space="preserve"> </w:t>
      </w:r>
      <w:r w:rsidRPr="008516D1">
        <w:t>par</w:t>
      </w:r>
      <w:r>
        <w:t xml:space="preserve"> </w:t>
      </w:r>
      <w:r w:rsidRPr="008516D1">
        <w:t>le</w:t>
      </w:r>
      <w:r>
        <w:t xml:space="preserve"> </w:t>
      </w:r>
      <w:r w:rsidRPr="008516D1">
        <w:t>CICR,</w:t>
      </w:r>
      <w:r>
        <w:t xml:space="preserve"> </w:t>
      </w:r>
      <w:r w:rsidRPr="008516D1">
        <w:t>qui</w:t>
      </w:r>
      <w:r>
        <w:t xml:space="preserve"> </w:t>
      </w:r>
      <w:r w:rsidRPr="008516D1">
        <w:t>réunit</w:t>
      </w:r>
      <w:r>
        <w:t xml:space="preserve"> </w:t>
      </w:r>
      <w:r w:rsidRPr="008516D1">
        <w:t>les</w:t>
      </w:r>
      <w:r>
        <w:t xml:space="preserve"> </w:t>
      </w:r>
      <w:r w:rsidRPr="008516D1">
        <w:t>institutions</w:t>
      </w:r>
      <w:r>
        <w:t xml:space="preserve"> </w:t>
      </w:r>
      <w:r w:rsidRPr="008516D1">
        <w:t>publiques</w:t>
      </w:r>
      <w:r>
        <w:t xml:space="preserve"> </w:t>
      </w:r>
      <w:r w:rsidRPr="008516D1">
        <w:t>et</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dans</w:t>
      </w:r>
      <w:r>
        <w:t xml:space="preserve"> </w:t>
      </w:r>
      <w:r w:rsidRPr="008516D1">
        <w:t>le</w:t>
      </w:r>
      <w:r>
        <w:t xml:space="preserve"> </w:t>
      </w:r>
      <w:r w:rsidRPr="008516D1">
        <w:t>but</w:t>
      </w:r>
      <w:r>
        <w:t xml:space="preserve"> </w:t>
      </w:r>
      <w:r w:rsidRPr="008516D1">
        <w:t>de</w:t>
      </w:r>
      <w:r>
        <w:t xml:space="preserve"> </w:t>
      </w:r>
      <w:r w:rsidRPr="008516D1">
        <w:t>coordonner</w:t>
      </w:r>
      <w:r>
        <w:t xml:space="preserve"> </w:t>
      </w:r>
      <w:r w:rsidRPr="008516D1">
        <w:t>les</w:t>
      </w:r>
      <w:r>
        <w:t xml:space="preserve"> </w:t>
      </w:r>
      <w:r w:rsidRPr="008516D1">
        <w:t>opérations</w:t>
      </w:r>
      <w:r>
        <w:t xml:space="preserve"> </w:t>
      </w:r>
      <w:r w:rsidRPr="008516D1">
        <w:t>de</w:t>
      </w:r>
      <w:r>
        <w:t xml:space="preserve"> </w:t>
      </w:r>
      <w:r w:rsidRPr="008516D1">
        <w:t>recherche</w:t>
      </w:r>
      <w:r>
        <w:t xml:space="preserve"> </w:t>
      </w:r>
      <w:r w:rsidRPr="008516D1">
        <w:t>des</w:t>
      </w:r>
      <w:r>
        <w:t xml:space="preserve"> </w:t>
      </w:r>
      <w:r w:rsidRPr="008516D1">
        <w:t>migrants</w:t>
      </w:r>
      <w:r>
        <w:t xml:space="preserve"> </w:t>
      </w:r>
      <w:r w:rsidRPr="008516D1">
        <w:t>disparus</w:t>
      </w:r>
      <w:r>
        <w:t xml:space="preserve"> </w:t>
      </w:r>
      <w:r w:rsidRPr="008516D1">
        <w:t>pendant</w:t>
      </w:r>
      <w:r>
        <w:t xml:space="preserve"> </w:t>
      </w:r>
      <w:r w:rsidRPr="008516D1">
        <w:t>leur</w:t>
      </w:r>
      <w:r>
        <w:t xml:space="preserve"> </w:t>
      </w:r>
      <w:r w:rsidRPr="008516D1">
        <w:t>migration.</w:t>
      </w:r>
    </w:p>
    <w:p w14:paraId="05782749" w14:textId="77777777" w:rsidR="00286956" w:rsidRPr="008516D1" w:rsidRDefault="00286956" w:rsidP="00286956">
      <w:pPr>
        <w:pStyle w:val="SingleTxtG"/>
        <w:rPr>
          <w:szCs w:val="24"/>
        </w:rPr>
      </w:pPr>
      <w:r w:rsidRPr="008516D1">
        <w:t>103.</w:t>
      </w:r>
      <w:r w:rsidRPr="008516D1">
        <w:tab/>
        <w:t>Dans</w:t>
      </w:r>
      <w:r>
        <w:t xml:space="preserve"> </w:t>
      </w:r>
      <w:r w:rsidRPr="008516D1">
        <w:t>le</w:t>
      </w:r>
      <w:r>
        <w:t xml:space="preserve"> </w:t>
      </w:r>
      <w:r w:rsidRPr="008516D1">
        <w:t>cadre</w:t>
      </w:r>
      <w:r>
        <w:t xml:space="preserve"> </w:t>
      </w:r>
      <w:r w:rsidRPr="008516D1">
        <w:t>du</w:t>
      </w:r>
      <w:r>
        <w:t xml:space="preserve"> </w:t>
      </w:r>
      <w:r w:rsidRPr="008516D1">
        <w:t>Groupe</w:t>
      </w:r>
      <w:r>
        <w:t xml:space="preserve"> </w:t>
      </w:r>
      <w:r w:rsidRPr="008516D1">
        <w:t>d</w:t>
      </w:r>
      <w:r>
        <w:t>’</w:t>
      </w:r>
      <w:r w:rsidRPr="008516D1">
        <w:t>experts</w:t>
      </w:r>
      <w:r>
        <w:t xml:space="preserve"> </w:t>
      </w:r>
      <w:r w:rsidRPr="008516D1">
        <w:t>sur</w:t>
      </w:r>
      <w:r>
        <w:t xml:space="preserve"> </w:t>
      </w:r>
      <w:r w:rsidRPr="008516D1">
        <w:t>la</w:t>
      </w:r>
      <w:r>
        <w:t xml:space="preserve"> </w:t>
      </w:r>
      <w:r w:rsidRPr="008516D1">
        <w:t>recherche</w:t>
      </w:r>
      <w:r>
        <w:t xml:space="preserve"> </w:t>
      </w:r>
      <w:r w:rsidRPr="008516D1">
        <w:t>des</w:t>
      </w:r>
      <w:r>
        <w:t xml:space="preserve"> </w:t>
      </w:r>
      <w:r w:rsidRPr="008516D1">
        <w:t>personnes</w:t>
      </w:r>
      <w:r>
        <w:t xml:space="preserve"> </w:t>
      </w:r>
      <w:r w:rsidRPr="008516D1">
        <w:t>disparues,</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le</w:t>
      </w:r>
      <w:r>
        <w:t xml:space="preserve"> </w:t>
      </w:r>
      <w:r w:rsidRPr="008516D1">
        <w:t>Registre</w:t>
      </w:r>
      <w:r>
        <w:t xml:space="preserve"> </w:t>
      </w:r>
      <w:r w:rsidRPr="008516D1">
        <w:t>national</w:t>
      </w:r>
      <w:r>
        <w:t xml:space="preserve"> </w:t>
      </w:r>
      <w:r w:rsidRPr="008516D1">
        <w:t>des</w:t>
      </w:r>
      <w:r>
        <w:t xml:space="preserve"> </w:t>
      </w:r>
      <w:r w:rsidRPr="008516D1">
        <w:t>personnes,</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la</w:t>
      </w:r>
      <w:r>
        <w:t xml:space="preserve"> </w:t>
      </w:r>
      <w:r w:rsidRPr="008516D1">
        <w:t>Croix-Rouge</w:t>
      </w:r>
      <w:r>
        <w:t xml:space="preserve"> </w:t>
      </w:r>
      <w:r w:rsidRPr="008516D1">
        <w:t>hondurienne,</w:t>
      </w:r>
      <w:r>
        <w:t xml:space="preserve"> </w:t>
      </w:r>
      <w:r w:rsidRPr="008516D1">
        <w:t>le</w:t>
      </w:r>
      <w:r>
        <w:t xml:space="preserve"> </w:t>
      </w:r>
      <w:r w:rsidRPr="008516D1">
        <w:t>CICR,</w:t>
      </w:r>
      <w:r>
        <w:t xml:space="preserve"> </w:t>
      </w:r>
      <w:r w:rsidRPr="008516D1">
        <w:t>le</w:t>
      </w:r>
      <w:r>
        <w:t xml:space="preserve"> </w:t>
      </w:r>
      <w:r w:rsidRPr="008516D1">
        <w:t>Haut-Commissariat</w:t>
      </w:r>
      <w:r>
        <w:t xml:space="preserve"> </w:t>
      </w:r>
      <w:r w:rsidRPr="008516D1">
        <w:t>des</w:t>
      </w:r>
      <w:r>
        <w:t xml:space="preserve"> </w:t>
      </w:r>
      <w:r w:rsidRPr="008516D1">
        <w:t>Nations</w:t>
      </w:r>
      <w:r>
        <w:t xml:space="preserve"> </w:t>
      </w:r>
      <w:r w:rsidRPr="008516D1">
        <w:t>Unies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ont</w:t>
      </w:r>
      <w:r>
        <w:t xml:space="preserve"> </w:t>
      </w:r>
      <w:r w:rsidRPr="008516D1">
        <w:t>élaboré</w:t>
      </w:r>
      <w:r>
        <w:t xml:space="preserve"> </w:t>
      </w:r>
      <w:r w:rsidRPr="008516D1">
        <w:t>le</w:t>
      </w:r>
      <w:r>
        <w:t xml:space="preserve"> </w:t>
      </w:r>
      <w:r w:rsidRPr="008516D1">
        <w:t>Guide</w:t>
      </w:r>
      <w:r>
        <w:t xml:space="preserve"> </w:t>
      </w:r>
      <w:r w:rsidRPr="008516D1">
        <w:t>d</w:t>
      </w:r>
      <w:r>
        <w:t>’</w:t>
      </w:r>
      <w:r w:rsidRPr="008516D1">
        <w:t>information</w:t>
      </w:r>
      <w:r>
        <w:t xml:space="preserve"> </w:t>
      </w:r>
      <w:r w:rsidRPr="008516D1">
        <w:t>à</w:t>
      </w:r>
      <w:r>
        <w:t xml:space="preserve"> </w:t>
      </w:r>
      <w:r w:rsidRPr="008516D1">
        <w:t>l</w:t>
      </w:r>
      <w:r>
        <w:t>’</w:t>
      </w:r>
      <w:r w:rsidRPr="008516D1">
        <w:t>usage</w:t>
      </w:r>
      <w:r>
        <w:t xml:space="preserve"> </w:t>
      </w:r>
      <w:r w:rsidRPr="008516D1">
        <w:t>des</w:t>
      </w:r>
      <w:r>
        <w:t xml:space="preserve"> </w:t>
      </w:r>
      <w:r w:rsidRPr="008516D1">
        <w:t>familles</w:t>
      </w:r>
      <w:r>
        <w:t xml:space="preserve"> </w:t>
      </w:r>
      <w:r w:rsidRPr="008516D1">
        <w:t>de</w:t>
      </w:r>
      <w:r>
        <w:t xml:space="preserve"> </w:t>
      </w:r>
      <w:r w:rsidRPr="008516D1">
        <w:t>migrants</w:t>
      </w:r>
      <w:r>
        <w:t xml:space="preserve"> </w:t>
      </w:r>
      <w:r w:rsidRPr="008516D1">
        <w:t>disparus.</w:t>
      </w:r>
      <w:r>
        <w:t xml:space="preserve"> </w:t>
      </w:r>
      <w:r w:rsidRPr="008516D1">
        <w:t>Ce</w:t>
      </w:r>
      <w:r>
        <w:t xml:space="preserve"> </w:t>
      </w:r>
      <w:r w:rsidRPr="008516D1">
        <w:t>document,</w:t>
      </w:r>
      <w:r>
        <w:t xml:space="preserve"> </w:t>
      </w:r>
      <w:r w:rsidRPr="008516D1">
        <w:t>présenté</w:t>
      </w:r>
      <w:r>
        <w:t xml:space="preserve"> </w:t>
      </w:r>
      <w:r w:rsidRPr="008516D1">
        <w:t>en</w:t>
      </w:r>
      <w:r>
        <w:t xml:space="preserve"> </w:t>
      </w:r>
      <w:r w:rsidRPr="008516D1">
        <w:t>février</w:t>
      </w:r>
      <w:r>
        <w:t xml:space="preserve"> </w:t>
      </w:r>
      <w:r w:rsidRPr="008516D1">
        <w:t>2020,</w:t>
      </w:r>
      <w:r>
        <w:t xml:space="preserve"> </w:t>
      </w:r>
      <w:r w:rsidRPr="008516D1">
        <w:t>a</w:t>
      </w:r>
      <w:r>
        <w:t xml:space="preserve"> </w:t>
      </w:r>
      <w:r w:rsidRPr="008516D1">
        <w:t>pour</w:t>
      </w:r>
      <w:r>
        <w:t xml:space="preserve"> </w:t>
      </w:r>
      <w:r w:rsidRPr="008516D1">
        <w:t>but</w:t>
      </w:r>
      <w:r>
        <w:t xml:space="preserve"> </w:t>
      </w:r>
      <w:r w:rsidRPr="008516D1">
        <w:t>d</w:t>
      </w:r>
      <w:r>
        <w:t>’</w:t>
      </w:r>
      <w:r w:rsidRPr="008516D1">
        <w:t>informer</w:t>
      </w:r>
      <w:r>
        <w:t xml:space="preserve"> </w:t>
      </w:r>
      <w:r w:rsidRPr="008516D1">
        <w:t>les</w:t>
      </w:r>
      <w:r>
        <w:t xml:space="preserve"> </w:t>
      </w:r>
      <w:r w:rsidRPr="008516D1">
        <w:t>proches</w:t>
      </w:r>
      <w:r>
        <w:t xml:space="preserve"> </w:t>
      </w:r>
      <w:r w:rsidRPr="008516D1">
        <w:t>de</w:t>
      </w:r>
      <w:r>
        <w:t xml:space="preserve"> </w:t>
      </w:r>
      <w:r w:rsidRPr="008516D1">
        <w:t>migrants</w:t>
      </w:r>
      <w:r>
        <w:t xml:space="preserve"> </w:t>
      </w:r>
      <w:r w:rsidRPr="008516D1">
        <w:t>disparus</w:t>
      </w:r>
      <w:r>
        <w:t xml:space="preserve"> </w:t>
      </w:r>
      <w:r w:rsidRPr="008516D1">
        <w:t>afin</w:t>
      </w:r>
      <w:r>
        <w:t xml:space="preserve"> </w:t>
      </w:r>
      <w:r w:rsidRPr="008516D1">
        <w:t>qu</w:t>
      </w:r>
      <w:r>
        <w:t>’</w:t>
      </w:r>
      <w:r w:rsidRPr="008516D1">
        <w:t>ils</w:t>
      </w:r>
      <w:r>
        <w:t xml:space="preserve"> </w:t>
      </w:r>
      <w:r w:rsidRPr="008516D1">
        <w:t>soient</w:t>
      </w:r>
      <w:r>
        <w:t xml:space="preserve"> </w:t>
      </w:r>
      <w:r w:rsidRPr="008516D1">
        <w:t>en</w:t>
      </w:r>
      <w:r>
        <w:t xml:space="preserve"> </w:t>
      </w:r>
      <w:r w:rsidRPr="008516D1">
        <w:t>mesure</w:t>
      </w:r>
      <w:r>
        <w:t xml:space="preserve"> </w:t>
      </w:r>
      <w:r w:rsidRPr="008516D1">
        <w:t>d</w:t>
      </w:r>
      <w:r>
        <w:t>’</w:t>
      </w:r>
      <w:r w:rsidRPr="008516D1">
        <w:t>exercer</w:t>
      </w:r>
      <w:r>
        <w:t xml:space="preserve"> </w:t>
      </w:r>
      <w:r w:rsidRPr="008516D1">
        <w:t>leur</w:t>
      </w:r>
      <w:r>
        <w:t xml:space="preserve"> </w:t>
      </w:r>
      <w:r w:rsidRPr="008516D1">
        <w:t>droit</w:t>
      </w:r>
      <w:r>
        <w:t xml:space="preserve"> </w:t>
      </w:r>
      <w:r w:rsidRPr="008516D1">
        <w:t>à</w:t>
      </w:r>
      <w:r>
        <w:t xml:space="preserve"> </w:t>
      </w:r>
      <w:r w:rsidRPr="008516D1">
        <w:t>la</w:t>
      </w:r>
      <w:r>
        <w:t xml:space="preserve"> </w:t>
      </w:r>
      <w:r w:rsidRPr="008516D1">
        <w:t>vérité,</w:t>
      </w:r>
      <w:r>
        <w:t xml:space="preserve"> </w:t>
      </w:r>
      <w:r w:rsidRPr="008516D1">
        <w:t>à</w:t>
      </w:r>
      <w:r>
        <w:t xml:space="preserve"> </w:t>
      </w:r>
      <w:r w:rsidRPr="008516D1">
        <w:t>la</w:t>
      </w:r>
      <w:r>
        <w:t xml:space="preserve"> </w:t>
      </w:r>
      <w:r w:rsidRPr="008516D1">
        <w:t>justice,</w:t>
      </w:r>
      <w:r>
        <w:t xml:space="preserve"> </w:t>
      </w:r>
      <w:r w:rsidRPr="008516D1">
        <w:t>à</w:t>
      </w:r>
      <w:r>
        <w:t xml:space="preserve"> </w:t>
      </w:r>
      <w:r w:rsidRPr="008516D1">
        <w:t>la</w:t>
      </w:r>
      <w:r>
        <w:t xml:space="preserve"> </w:t>
      </w:r>
      <w:r w:rsidRPr="008516D1">
        <w:t>réparation</w:t>
      </w:r>
      <w:r>
        <w:t xml:space="preserve"> </w:t>
      </w:r>
      <w:r w:rsidRPr="008516D1">
        <w:t>et</w:t>
      </w:r>
      <w:r>
        <w:t xml:space="preserve"> </w:t>
      </w:r>
      <w:r w:rsidRPr="008516D1">
        <w:t>à</w:t>
      </w:r>
      <w:r>
        <w:t xml:space="preserve"> </w:t>
      </w:r>
      <w:r w:rsidRPr="008516D1">
        <w:t>la</w:t>
      </w:r>
      <w:r>
        <w:t xml:space="preserve"> </w:t>
      </w:r>
      <w:r w:rsidRPr="008516D1">
        <w:t>non-répétition.</w:t>
      </w:r>
    </w:p>
    <w:p w14:paraId="6D87E0FA" w14:textId="118C8115" w:rsidR="00286956" w:rsidRPr="008516D1" w:rsidRDefault="00286956" w:rsidP="00286956">
      <w:pPr>
        <w:pStyle w:val="SingleTxtG"/>
        <w:rPr>
          <w:szCs w:val="24"/>
        </w:rPr>
      </w:pPr>
      <w:r w:rsidRPr="008516D1">
        <w:t>104.</w:t>
      </w:r>
      <w:r w:rsidRPr="008516D1">
        <w:tab/>
        <w:t>Concernant</w:t>
      </w:r>
      <w:r>
        <w:t xml:space="preserve"> </w:t>
      </w:r>
      <w:r w:rsidRPr="008516D1">
        <w:t>le</w:t>
      </w:r>
      <w:r>
        <w:t xml:space="preserve"> </w:t>
      </w:r>
      <w:r w:rsidRPr="008516D1">
        <w:t>rapatriement</w:t>
      </w:r>
      <w:r>
        <w:t xml:space="preserve"> </w:t>
      </w:r>
      <w:r w:rsidRPr="008516D1">
        <w:t>digne</w:t>
      </w:r>
      <w:r>
        <w:t xml:space="preserve"> </w:t>
      </w:r>
      <w:r w:rsidRPr="008516D1">
        <w:t>des</w:t>
      </w:r>
      <w:r>
        <w:t xml:space="preserve"> </w:t>
      </w:r>
      <w:r w:rsidRPr="008516D1">
        <w:t>dépouilles</w:t>
      </w:r>
      <w:r>
        <w:t xml:space="preserve"> </w:t>
      </w:r>
      <w:r w:rsidRPr="008516D1">
        <w:t>des</w:t>
      </w:r>
      <w:r>
        <w:t xml:space="preserve"> </w:t>
      </w:r>
      <w:r w:rsidRPr="008516D1">
        <w:t>ressortissants</w:t>
      </w:r>
      <w:r>
        <w:t xml:space="preserve"> </w:t>
      </w:r>
      <w:r w:rsidRPr="008516D1">
        <w:t>honduriens</w:t>
      </w:r>
      <w:r>
        <w:t xml:space="preserve"> </w:t>
      </w:r>
      <w:r w:rsidRPr="008516D1">
        <w:t>décédés</w:t>
      </w:r>
      <w:r>
        <w:t xml:space="preserve"> </w:t>
      </w:r>
      <w:r w:rsidRPr="008516D1">
        <w:t>à</w:t>
      </w:r>
      <w:r>
        <w:t xml:space="preserve"> </w:t>
      </w:r>
      <w:r w:rsidRPr="008516D1">
        <w:t>l</w:t>
      </w:r>
      <w:r>
        <w:t>’</w:t>
      </w:r>
      <w:r w:rsidRPr="008516D1">
        <w:t>étranger,</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aide</w:t>
      </w:r>
      <w:r>
        <w:t xml:space="preserve"> </w:t>
      </w:r>
      <w:r w:rsidRPr="008516D1">
        <w:t>les</w:t>
      </w:r>
      <w:r>
        <w:t xml:space="preserve"> </w:t>
      </w:r>
      <w:r w:rsidRPr="008516D1">
        <w:t>familles,</w:t>
      </w:r>
      <w:r>
        <w:t xml:space="preserve"> </w:t>
      </w:r>
      <w:r w:rsidRPr="008516D1">
        <w:t>en</w:t>
      </w:r>
      <w:r>
        <w:t xml:space="preserve"> </w:t>
      </w:r>
      <w:r w:rsidRPr="008516D1">
        <w:t>couvrant</w:t>
      </w:r>
      <w:r>
        <w:t xml:space="preserve"> </w:t>
      </w:r>
      <w:r w:rsidRPr="008516D1">
        <w:t>les</w:t>
      </w:r>
      <w:r>
        <w:t xml:space="preserve"> </w:t>
      </w:r>
      <w:r w:rsidRPr="008516D1">
        <w:t>frais</w:t>
      </w:r>
      <w:r>
        <w:t xml:space="preserve"> </w:t>
      </w:r>
      <w:r w:rsidRPr="008516D1">
        <w:t>de</w:t>
      </w:r>
      <w:r>
        <w:t xml:space="preserve"> </w:t>
      </w:r>
      <w:r w:rsidRPr="008516D1">
        <w:t>rapatriement.</w:t>
      </w:r>
      <w:r>
        <w:t xml:space="preserve"> </w:t>
      </w:r>
      <w:r w:rsidRPr="008516D1">
        <w:t>Selon</w:t>
      </w:r>
      <w:r>
        <w:t xml:space="preserve"> </w:t>
      </w:r>
      <w:r w:rsidRPr="008516D1">
        <w:t>l</w:t>
      </w:r>
      <w:r>
        <w:t>’</w:t>
      </w:r>
      <w:r w:rsidRPr="008516D1">
        <w:t>Observatoire</w:t>
      </w:r>
      <w:r>
        <w:t xml:space="preserve"> </w:t>
      </w:r>
      <w:r w:rsidRPr="008516D1">
        <w:t>consulaire</w:t>
      </w:r>
      <w:r>
        <w:t xml:space="preserve"> </w:t>
      </w:r>
      <w:r w:rsidRPr="008516D1">
        <w:t>et</w:t>
      </w:r>
      <w:r>
        <w:t xml:space="preserve"> </w:t>
      </w:r>
      <w:r w:rsidRPr="008516D1">
        <w:t>migratoire</w:t>
      </w:r>
      <w:r>
        <w:t xml:space="preserve"> </w:t>
      </w:r>
      <w:r w:rsidRPr="008516D1">
        <w:t>du</w:t>
      </w:r>
      <w:r>
        <w:t xml:space="preserve"> </w:t>
      </w:r>
      <w:r w:rsidRPr="008516D1">
        <w:t>Honduras,</w:t>
      </w:r>
      <w:r>
        <w:t xml:space="preserve"> </w:t>
      </w:r>
      <w:r w:rsidRPr="008516D1">
        <w:t>1</w:t>
      </w:r>
      <w:r w:rsidR="00ED5AA3">
        <w:t> </w:t>
      </w:r>
      <w:r w:rsidRPr="008516D1">
        <w:t>563</w:t>
      </w:r>
      <w:r w:rsidR="00ED5AA3">
        <w:t xml:space="preserve"> </w:t>
      </w:r>
      <w:r w:rsidRPr="008516D1">
        <w:t>demandes</w:t>
      </w:r>
      <w:r>
        <w:t xml:space="preserve"> </w:t>
      </w:r>
      <w:r w:rsidRPr="008516D1">
        <w:t>d</w:t>
      </w:r>
      <w:r>
        <w:t>’</w:t>
      </w:r>
      <w:r w:rsidRPr="008516D1">
        <w:t>aide</w:t>
      </w:r>
      <w:r>
        <w:t xml:space="preserve"> </w:t>
      </w:r>
      <w:r w:rsidRPr="008516D1">
        <w:t>déposées</w:t>
      </w:r>
      <w:r>
        <w:t xml:space="preserve"> </w:t>
      </w:r>
      <w:r w:rsidRPr="008516D1">
        <w:t>par</w:t>
      </w:r>
      <w:r>
        <w:t xml:space="preserve"> </w:t>
      </w:r>
      <w:r w:rsidRPr="008516D1">
        <w:t>les</w:t>
      </w:r>
      <w:r>
        <w:t xml:space="preserve"> </w:t>
      </w:r>
      <w:r w:rsidRPr="008516D1">
        <w:t>familles</w:t>
      </w:r>
      <w:r>
        <w:t xml:space="preserve"> </w:t>
      </w:r>
      <w:r w:rsidRPr="008516D1">
        <w:t>de</w:t>
      </w:r>
      <w:r>
        <w:t xml:space="preserve"> </w:t>
      </w:r>
      <w:r w:rsidRPr="008516D1">
        <w:t>migrants</w:t>
      </w:r>
      <w:r>
        <w:t xml:space="preserve"> </w:t>
      </w:r>
      <w:r w:rsidRPr="008516D1">
        <w:t>honduriens</w:t>
      </w:r>
      <w:r>
        <w:t xml:space="preserve"> </w:t>
      </w:r>
      <w:r w:rsidRPr="008516D1">
        <w:t>décédés</w:t>
      </w:r>
      <w:r>
        <w:t xml:space="preserve"> </w:t>
      </w:r>
      <w:r w:rsidRPr="008516D1">
        <w:t>à</w:t>
      </w:r>
      <w:r>
        <w:t xml:space="preserve"> </w:t>
      </w:r>
      <w:r w:rsidRPr="008516D1">
        <w:t>l</w:t>
      </w:r>
      <w:r>
        <w:t>’</w:t>
      </w:r>
      <w:r w:rsidRPr="008516D1">
        <w:t>étranger</w:t>
      </w:r>
      <w:r>
        <w:t xml:space="preserve"> </w:t>
      </w:r>
      <w:r w:rsidRPr="008516D1">
        <w:t>ont</w:t>
      </w:r>
      <w:r>
        <w:t xml:space="preserve"> </w:t>
      </w:r>
      <w:r w:rsidRPr="008516D1">
        <w:t>été</w:t>
      </w:r>
      <w:r>
        <w:t xml:space="preserve"> </w:t>
      </w:r>
      <w:r w:rsidRPr="008516D1">
        <w:t>enregistrées</w:t>
      </w:r>
      <w:r>
        <w:t xml:space="preserve"> </w:t>
      </w:r>
      <w:r w:rsidRPr="008516D1">
        <w:t>entre</w:t>
      </w:r>
      <w:r>
        <w:t xml:space="preserve"> </w:t>
      </w:r>
      <w:r w:rsidRPr="008516D1">
        <w:t>2016</w:t>
      </w:r>
      <w:r>
        <w:t xml:space="preserve"> </w:t>
      </w:r>
      <w:r w:rsidRPr="008516D1">
        <w:t>et</w:t>
      </w:r>
      <w:r>
        <w:t xml:space="preserve"> </w:t>
      </w:r>
      <w:r w:rsidRPr="008516D1">
        <w:t>mai</w:t>
      </w:r>
      <w:r>
        <w:t xml:space="preserve"> </w:t>
      </w:r>
      <w:r w:rsidRPr="008516D1">
        <w:t>2021</w:t>
      </w:r>
      <w:r w:rsidRPr="008516D1">
        <w:rPr>
          <w:rStyle w:val="Appelnotedebasdep"/>
        </w:rPr>
        <w:footnoteReference w:id="81"/>
      </w:r>
      <w:r w:rsidRPr="008516D1">
        <w:t>.</w:t>
      </w:r>
      <w:r>
        <w:t xml:space="preserve"> </w:t>
      </w:r>
      <w:r w:rsidRPr="008516D1">
        <w:t>Le</w:t>
      </w:r>
      <w:r>
        <w:t xml:space="preserve"> </w:t>
      </w:r>
      <w:r w:rsidRPr="008516D1">
        <w:t>nombre</w:t>
      </w:r>
      <w:r>
        <w:t xml:space="preserve"> </w:t>
      </w:r>
      <w:r w:rsidRPr="008516D1">
        <w:t>total</w:t>
      </w:r>
      <w:r>
        <w:t xml:space="preserve"> </w:t>
      </w:r>
      <w:r w:rsidRPr="008516D1">
        <w:t>d</w:t>
      </w:r>
      <w:r>
        <w:t>’</w:t>
      </w:r>
      <w:r w:rsidRPr="008516D1">
        <w:t>aides</w:t>
      </w:r>
      <w:r>
        <w:t xml:space="preserve"> </w:t>
      </w:r>
      <w:r w:rsidRPr="008516D1">
        <w:t>au</w:t>
      </w:r>
      <w:r>
        <w:t xml:space="preserve"> </w:t>
      </w:r>
      <w:r w:rsidRPr="008516D1">
        <w:t>rapatriement</w:t>
      </w:r>
      <w:r>
        <w:t xml:space="preserve"> </w:t>
      </w:r>
      <w:r w:rsidRPr="008516D1">
        <w:t>de</w:t>
      </w:r>
      <w:r>
        <w:t xml:space="preserve"> </w:t>
      </w:r>
      <w:r w:rsidRPr="008516D1">
        <w:t>dépouilles</w:t>
      </w:r>
      <w:r>
        <w:t xml:space="preserve"> </w:t>
      </w:r>
      <w:r w:rsidRPr="008516D1">
        <w:t>de</w:t>
      </w:r>
      <w:r>
        <w:t xml:space="preserve"> </w:t>
      </w:r>
      <w:r w:rsidRPr="008516D1">
        <w:t>ressortissants</w:t>
      </w:r>
      <w:r>
        <w:t xml:space="preserve"> </w:t>
      </w:r>
      <w:r w:rsidRPr="008516D1">
        <w:t>honduriens</w:t>
      </w:r>
      <w:r>
        <w:t xml:space="preserve"> </w:t>
      </w:r>
      <w:r w:rsidRPr="008516D1">
        <w:t>décédés</w:t>
      </w:r>
      <w:r>
        <w:t xml:space="preserve"> </w:t>
      </w:r>
      <w:r w:rsidRPr="008516D1">
        <w:t>à</w:t>
      </w:r>
      <w:r>
        <w:t xml:space="preserve"> </w:t>
      </w:r>
      <w:r w:rsidRPr="008516D1">
        <w:t>l</w:t>
      </w:r>
      <w:r>
        <w:t>’</w:t>
      </w:r>
      <w:r w:rsidRPr="008516D1">
        <w:t>étranger</w:t>
      </w:r>
      <w:r>
        <w:t xml:space="preserve"> </w:t>
      </w:r>
      <w:r w:rsidRPr="008516D1">
        <w:t>est</w:t>
      </w:r>
      <w:r>
        <w:t xml:space="preserve"> </w:t>
      </w:r>
      <w:r w:rsidRPr="008516D1">
        <w:t>détaillé</w:t>
      </w:r>
      <w:r>
        <w:t xml:space="preserve"> </w:t>
      </w:r>
      <w:r w:rsidRPr="008516D1">
        <w:t>dans</w:t>
      </w:r>
      <w:r>
        <w:t xml:space="preserve"> </w:t>
      </w:r>
      <w:r w:rsidRPr="008516D1">
        <w:t>le</w:t>
      </w:r>
      <w:r>
        <w:t xml:space="preserve"> </w:t>
      </w:r>
      <w:r w:rsidRPr="008516D1">
        <w:t>tableau</w:t>
      </w:r>
      <w:r>
        <w:t xml:space="preserve"> </w:t>
      </w:r>
      <w:r w:rsidRPr="008516D1">
        <w:t>ci-après.</w:t>
      </w:r>
      <w:r>
        <w:rPr>
          <w:color w:val="FF0000"/>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999"/>
        <w:gridCol w:w="1821"/>
        <w:gridCol w:w="1784"/>
        <w:gridCol w:w="1766"/>
      </w:tblGrid>
      <w:tr w:rsidR="00286956" w:rsidRPr="00286956" w14:paraId="668C9BFF" w14:textId="77777777" w:rsidTr="00286956">
        <w:trPr>
          <w:tblHeader/>
        </w:trPr>
        <w:tc>
          <w:tcPr>
            <w:tcW w:w="7370" w:type="dxa"/>
            <w:gridSpan w:val="4"/>
            <w:tcBorders>
              <w:top w:val="single" w:sz="4" w:space="0" w:color="auto"/>
              <w:bottom w:val="single" w:sz="12" w:space="0" w:color="auto"/>
            </w:tcBorders>
            <w:shd w:val="clear" w:color="auto" w:fill="auto"/>
            <w:vAlign w:val="bottom"/>
          </w:tcPr>
          <w:p w14:paraId="10CEBF46" w14:textId="631F7B2C" w:rsidR="00286956" w:rsidRPr="00286956" w:rsidRDefault="00286956" w:rsidP="00286956">
            <w:pPr>
              <w:suppressAutoHyphens w:val="0"/>
              <w:spacing w:before="80" w:after="80" w:line="200" w:lineRule="exact"/>
              <w:rPr>
                <w:bCs/>
                <w:i/>
                <w:sz w:val="16"/>
              </w:rPr>
            </w:pPr>
            <w:r w:rsidRPr="00286956">
              <w:rPr>
                <w:i/>
                <w:sz w:val="16"/>
              </w:rPr>
              <w:t>Aide aux familles des ressortissants honduriens décédés à l’étranger, ventilée par sexe et par année</w:t>
            </w:r>
          </w:p>
        </w:tc>
      </w:tr>
      <w:tr w:rsidR="00286956" w:rsidRPr="00286956" w14:paraId="04F37CAF" w14:textId="77777777" w:rsidTr="00286956">
        <w:tc>
          <w:tcPr>
            <w:tcW w:w="1999" w:type="dxa"/>
            <w:tcBorders>
              <w:top w:val="single" w:sz="12" w:space="0" w:color="auto"/>
            </w:tcBorders>
            <w:shd w:val="clear" w:color="auto" w:fill="auto"/>
          </w:tcPr>
          <w:p w14:paraId="3B496EFD" w14:textId="77777777" w:rsidR="00286956" w:rsidRPr="00286956" w:rsidRDefault="00286956" w:rsidP="00286956">
            <w:pPr>
              <w:suppressAutoHyphens w:val="0"/>
              <w:spacing w:before="40" w:after="40" w:line="220" w:lineRule="exact"/>
              <w:rPr>
                <w:b/>
                <w:sz w:val="18"/>
              </w:rPr>
            </w:pPr>
            <w:r w:rsidRPr="00286956">
              <w:rPr>
                <w:b/>
                <w:sz w:val="18"/>
              </w:rPr>
              <w:t>Année</w:t>
            </w:r>
          </w:p>
        </w:tc>
        <w:tc>
          <w:tcPr>
            <w:tcW w:w="1821" w:type="dxa"/>
            <w:tcBorders>
              <w:top w:val="single" w:sz="12" w:space="0" w:color="auto"/>
            </w:tcBorders>
            <w:shd w:val="clear" w:color="auto" w:fill="auto"/>
          </w:tcPr>
          <w:p w14:paraId="0B33A23A" w14:textId="77777777" w:rsidR="00286956" w:rsidRPr="00286956" w:rsidRDefault="00286956" w:rsidP="00286956">
            <w:pPr>
              <w:suppressAutoHyphens w:val="0"/>
              <w:spacing w:before="40" w:after="40" w:line="220" w:lineRule="exact"/>
              <w:jc w:val="right"/>
              <w:rPr>
                <w:b/>
                <w:sz w:val="18"/>
              </w:rPr>
            </w:pPr>
            <w:r w:rsidRPr="00286956">
              <w:rPr>
                <w:b/>
                <w:sz w:val="18"/>
              </w:rPr>
              <w:t>Hommes</w:t>
            </w:r>
          </w:p>
        </w:tc>
        <w:tc>
          <w:tcPr>
            <w:tcW w:w="1784" w:type="dxa"/>
            <w:tcBorders>
              <w:top w:val="single" w:sz="12" w:space="0" w:color="auto"/>
            </w:tcBorders>
            <w:shd w:val="clear" w:color="auto" w:fill="auto"/>
          </w:tcPr>
          <w:p w14:paraId="56E33507" w14:textId="77777777" w:rsidR="00286956" w:rsidRPr="00286956" w:rsidRDefault="00286956" w:rsidP="00286956">
            <w:pPr>
              <w:suppressAutoHyphens w:val="0"/>
              <w:spacing w:before="40" w:after="40" w:line="220" w:lineRule="exact"/>
              <w:jc w:val="right"/>
              <w:rPr>
                <w:b/>
                <w:sz w:val="18"/>
              </w:rPr>
            </w:pPr>
            <w:r w:rsidRPr="00286956">
              <w:rPr>
                <w:b/>
                <w:sz w:val="18"/>
              </w:rPr>
              <w:t>Femmes</w:t>
            </w:r>
          </w:p>
        </w:tc>
        <w:tc>
          <w:tcPr>
            <w:tcW w:w="1766" w:type="dxa"/>
            <w:tcBorders>
              <w:top w:val="single" w:sz="12" w:space="0" w:color="auto"/>
            </w:tcBorders>
            <w:shd w:val="clear" w:color="auto" w:fill="auto"/>
          </w:tcPr>
          <w:p w14:paraId="657642F4" w14:textId="77777777" w:rsidR="00286956" w:rsidRPr="00286956" w:rsidRDefault="00286956" w:rsidP="00286956">
            <w:pPr>
              <w:suppressAutoHyphens w:val="0"/>
              <w:spacing w:before="40" w:after="40" w:line="220" w:lineRule="exact"/>
              <w:jc w:val="right"/>
              <w:rPr>
                <w:b/>
                <w:sz w:val="18"/>
              </w:rPr>
            </w:pPr>
            <w:r w:rsidRPr="00286956">
              <w:rPr>
                <w:b/>
                <w:sz w:val="18"/>
              </w:rPr>
              <w:t>Total</w:t>
            </w:r>
          </w:p>
        </w:tc>
      </w:tr>
      <w:tr w:rsidR="00286956" w:rsidRPr="00286956" w14:paraId="101D9988" w14:textId="77777777" w:rsidTr="00286956">
        <w:tc>
          <w:tcPr>
            <w:tcW w:w="1999" w:type="dxa"/>
            <w:shd w:val="clear" w:color="auto" w:fill="auto"/>
          </w:tcPr>
          <w:p w14:paraId="0C030A96" w14:textId="77777777" w:rsidR="00286956" w:rsidRPr="00286956" w:rsidRDefault="00286956" w:rsidP="00286956">
            <w:pPr>
              <w:suppressAutoHyphens w:val="0"/>
              <w:spacing w:before="40" w:after="40" w:line="220" w:lineRule="exact"/>
              <w:rPr>
                <w:b/>
                <w:sz w:val="18"/>
              </w:rPr>
            </w:pPr>
            <w:r w:rsidRPr="00286956">
              <w:rPr>
                <w:b/>
                <w:sz w:val="18"/>
              </w:rPr>
              <w:t>2016</w:t>
            </w:r>
          </w:p>
        </w:tc>
        <w:tc>
          <w:tcPr>
            <w:tcW w:w="1821" w:type="dxa"/>
            <w:shd w:val="clear" w:color="auto" w:fill="auto"/>
          </w:tcPr>
          <w:p w14:paraId="6BB9DB21" w14:textId="77777777" w:rsidR="00286956" w:rsidRPr="00286956" w:rsidRDefault="00286956" w:rsidP="00286956">
            <w:pPr>
              <w:suppressAutoHyphens w:val="0"/>
              <w:spacing w:before="40" w:after="40" w:line="220" w:lineRule="exact"/>
              <w:jc w:val="right"/>
              <w:rPr>
                <w:sz w:val="18"/>
              </w:rPr>
            </w:pPr>
            <w:r w:rsidRPr="00286956">
              <w:rPr>
                <w:sz w:val="18"/>
              </w:rPr>
              <w:t>222</w:t>
            </w:r>
          </w:p>
        </w:tc>
        <w:tc>
          <w:tcPr>
            <w:tcW w:w="1784" w:type="dxa"/>
            <w:shd w:val="clear" w:color="auto" w:fill="auto"/>
          </w:tcPr>
          <w:p w14:paraId="54187B7F" w14:textId="77777777" w:rsidR="00286956" w:rsidRPr="00286956" w:rsidRDefault="00286956" w:rsidP="00286956">
            <w:pPr>
              <w:suppressAutoHyphens w:val="0"/>
              <w:spacing w:before="40" w:after="40" w:line="220" w:lineRule="exact"/>
              <w:jc w:val="right"/>
              <w:rPr>
                <w:sz w:val="18"/>
              </w:rPr>
            </w:pPr>
            <w:r w:rsidRPr="00286956">
              <w:rPr>
                <w:sz w:val="18"/>
              </w:rPr>
              <w:t>52</w:t>
            </w:r>
          </w:p>
        </w:tc>
        <w:tc>
          <w:tcPr>
            <w:tcW w:w="1766" w:type="dxa"/>
            <w:shd w:val="clear" w:color="auto" w:fill="auto"/>
          </w:tcPr>
          <w:p w14:paraId="4A469060" w14:textId="77777777" w:rsidR="00286956" w:rsidRPr="00286956" w:rsidRDefault="00286956" w:rsidP="00286956">
            <w:pPr>
              <w:suppressAutoHyphens w:val="0"/>
              <w:spacing w:before="40" w:after="40" w:line="220" w:lineRule="exact"/>
              <w:jc w:val="right"/>
              <w:rPr>
                <w:sz w:val="18"/>
              </w:rPr>
            </w:pPr>
            <w:r w:rsidRPr="00286956">
              <w:rPr>
                <w:sz w:val="18"/>
              </w:rPr>
              <w:t>274</w:t>
            </w:r>
          </w:p>
        </w:tc>
      </w:tr>
      <w:tr w:rsidR="00286956" w:rsidRPr="00286956" w14:paraId="73BE4F92" w14:textId="77777777" w:rsidTr="00286956">
        <w:tc>
          <w:tcPr>
            <w:tcW w:w="1999" w:type="dxa"/>
            <w:shd w:val="clear" w:color="auto" w:fill="auto"/>
          </w:tcPr>
          <w:p w14:paraId="5A97A409" w14:textId="77777777" w:rsidR="00286956" w:rsidRPr="00286956" w:rsidRDefault="00286956" w:rsidP="00286956">
            <w:pPr>
              <w:suppressAutoHyphens w:val="0"/>
              <w:spacing w:before="40" w:after="40" w:line="220" w:lineRule="exact"/>
              <w:rPr>
                <w:b/>
                <w:sz w:val="18"/>
              </w:rPr>
            </w:pPr>
            <w:r w:rsidRPr="00286956">
              <w:rPr>
                <w:b/>
                <w:sz w:val="18"/>
              </w:rPr>
              <w:t>2017</w:t>
            </w:r>
          </w:p>
        </w:tc>
        <w:tc>
          <w:tcPr>
            <w:tcW w:w="1821" w:type="dxa"/>
            <w:shd w:val="clear" w:color="auto" w:fill="auto"/>
          </w:tcPr>
          <w:p w14:paraId="067CDEDD" w14:textId="77777777" w:rsidR="00286956" w:rsidRPr="00286956" w:rsidRDefault="00286956" w:rsidP="00286956">
            <w:pPr>
              <w:suppressAutoHyphens w:val="0"/>
              <w:spacing w:before="40" w:after="40" w:line="220" w:lineRule="exact"/>
              <w:jc w:val="right"/>
              <w:rPr>
                <w:sz w:val="18"/>
              </w:rPr>
            </w:pPr>
            <w:r w:rsidRPr="00286956">
              <w:rPr>
                <w:sz w:val="18"/>
              </w:rPr>
              <w:t>193</w:t>
            </w:r>
          </w:p>
        </w:tc>
        <w:tc>
          <w:tcPr>
            <w:tcW w:w="1784" w:type="dxa"/>
            <w:shd w:val="clear" w:color="auto" w:fill="auto"/>
          </w:tcPr>
          <w:p w14:paraId="7F7E85D8" w14:textId="77777777" w:rsidR="00286956" w:rsidRPr="00286956" w:rsidRDefault="00286956" w:rsidP="00286956">
            <w:pPr>
              <w:suppressAutoHyphens w:val="0"/>
              <w:spacing w:before="40" w:after="40" w:line="220" w:lineRule="exact"/>
              <w:jc w:val="right"/>
              <w:rPr>
                <w:sz w:val="18"/>
              </w:rPr>
            </w:pPr>
            <w:r w:rsidRPr="00286956">
              <w:rPr>
                <w:sz w:val="18"/>
              </w:rPr>
              <w:t>43</w:t>
            </w:r>
          </w:p>
        </w:tc>
        <w:tc>
          <w:tcPr>
            <w:tcW w:w="1766" w:type="dxa"/>
            <w:shd w:val="clear" w:color="auto" w:fill="auto"/>
          </w:tcPr>
          <w:p w14:paraId="33E1AD33" w14:textId="77777777" w:rsidR="00286956" w:rsidRPr="00286956" w:rsidRDefault="00286956" w:rsidP="00286956">
            <w:pPr>
              <w:suppressAutoHyphens w:val="0"/>
              <w:spacing w:before="40" w:after="40" w:line="220" w:lineRule="exact"/>
              <w:jc w:val="right"/>
              <w:rPr>
                <w:sz w:val="18"/>
              </w:rPr>
            </w:pPr>
            <w:r w:rsidRPr="00286956">
              <w:rPr>
                <w:sz w:val="18"/>
              </w:rPr>
              <w:t>236</w:t>
            </w:r>
          </w:p>
        </w:tc>
      </w:tr>
      <w:tr w:rsidR="00286956" w:rsidRPr="00286956" w14:paraId="29B310E8" w14:textId="77777777" w:rsidTr="00286956">
        <w:tc>
          <w:tcPr>
            <w:tcW w:w="1999" w:type="dxa"/>
            <w:shd w:val="clear" w:color="auto" w:fill="auto"/>
          </w:tcPr>
          <w:p w14:paraId="66FF9045" w14:textId="77777777" w:rsidR="00286956" w:rsidRPr="00286956" w:rsidRDefault="00286956" w:rsidP="00286956">
            <w:pPr>
              <w:suppressAutoHyphens w:val="0"/>
              <w:spacing w:before="40" w:after="40" w:line="220" w:lineRule="exact"/>
              <w:rPr>
                <w:b/>
                <w:sz w:val="18"/>
              </w:rPr>
            </w:pPr>
            <w:r w:rsidRPr="00286956">
              <w:rPr>
                <w:b/>
                <w:sz w:val="18"/>
              </w:rPr>
              <w:t>2018</w:t>
            </w:r>
          </w:p>
        </w:tc>
        <w:tc>
          <w:tcPr>
            <w:tcW w:w="1821" w:type="dxa"/>
            <w:shd w:val="clear" w:color="auto" w:fill="auto"/>
          </w:tcPr>
          <w:p w14:paraId="754E8732" w14:textId="77777777" w:rsidR="00286956" w:rsidRPr="00286956" w:rsidRDefault="00286956" w:rsidP="00286956">
            <w:pPr>
              <w:suppressAutoHyphens w:val="0"/>
              <w:spacing w:before="40" w:after="40" w:line="220" w:lineRule="exact"/>
              <w:jc w:val="right"/>
              <w:rPr>
                <w:sz w:val="18"/>
              </w:rPr>
            </w:pPr>
            <w:r w:rsidRPr="00286956">
              <w:rPr>
                <w:sz w:val="18"/>
              </w:rPr>
              <w:t>231</w:t>
            </w:r>
          </w:p>
        </w:tc>
        <w:tc>
          <w:tcPr>
            <w:tcW w:w="1784" w:type="dxa"/>
            <w:shd w:val="clear" w:color="auto" w:fill="auto"/>
          </w:tcPr>
          <w:p w14:paraId="60A58B17" w14:textId="77777777" w:rsidR="00286956" w:rsidRPr="00286956" w:rsidRDefault="00286956" w:rsidP="00286956">
            <w:pPr>
              <w:suppressAutoHyphens w:val="0"/>
              <w:spacing w:before="40" w:after="40" w:line="220" w:lineRule="exact"/>
              <w:jc w:val="right"/>
              <w:rPr>
                <w:sz w:val="18"/>
              </w:rPr>
            </w:pPr>
            <w:r w:rsidRPr="00286956">
              <w:rPr>
                <w:sz w:val="18"/>
              </w:rPr>
              <w:t>51</w:t>
            </w:r>
          </w:p>
        </w:tc>
        <w:tc>
          <w:tcPr>
            <w:tcW w:w="1766" w:type="dxa"/>
            <w:shd w:val="clear" w:color="auto" w:fill="auto"/>
          </w:tcPr>
          <w:p w14:paraId="49D5C9FF" w14:textId="77777777" w:rsidR="00286956" w:rsidRPr="00286956" w:rsidRDefault="00286956" w:rsidP="00286956">
            <w:pPr>
              <w:suppressAutoHyphens w:val="0"/>
              <w:spacing w:before="40" w:after="40" w:line="220" w:lineRule="exact"/>
              <w:jc w:val="right"/>
              <w:rPr>
                <w:sz w:val="18"/>
              </w:rPr>
            </w:pPr>
            <w:r w:rsidRPr="00286956">
              <w:rPr>
                <w:sz w:val="18"/>
              </w:rPr>
              <w:t>282</w:t>
            </w:r>
          </w:p>
        </w:tc>
      </w:tr>
      <w:tr w:rsidR="00286956" w:rsidRPr="00286956" w14:paraId="4E7D5D87" w14:textId="77777777" w:rsidTr="00286956">
        <w:tc>
          <w:tcPr>
            <w:tcW w:w="1999" w:type="dxa"/>
            <w:shd w:val="clear" w:color="auto" w:fill="auto"/>
          </w:tcPr>
          <w:p w14:paraId="559C62E1" w14:textId="77777777" w:rsidR="00286956" w:rsidRPr="00286956" w:rsidRDefault="00286956" w:rsidP="00286956">
            <w:pPr>
              <w:suppressAutoHyphens w:val="0"/>
              <w:spacing w:before="40" w:after="40" w:line="220" w:lineRule="exact"/>
              <w:rPr>
                <w:b/>
                <w:sz w:val="18"/>
              </w:rPr>
            </w:pPr>
            <w:r w:rsidRPr="00286956">
              <w:rPr>
                <w:b/>
                <w:sz w:val="18"/>
              </w:rPr>
              <w:t>2019</w:t>
            </w:r>
          </w:p>
        </w:tc>
        <w:tc>
          <w:tcPr>
            <w:tcW w:w="1821" w:type="dxa"/>
            <w:shd w:val="clear" w:color="auto" w:fill="auto"/>
          </w:tcPr>
          <w:p w14:paraId="6B8A4055" w14:textId="77777777" w:rsidR="00286956" w:rsidRPr="00286956" w:rsidRDefault="00286956" w:rsidP="00286956">
            <w:pPr>
              <w:suppressAutoHyphens w:val="0"/>
              <w:spacing w:before="40" w:after="40" w:line="220" w:lineRule="exact"/>
              <w:jc w:val="right"/>
              <w:rPr>
                <w:sz w:val="18"/>
              </w:rPr>
            </w:pPr>
            <w:r w:rsidRPr="00286956">
              <w:rPr>
                <w:sz w:val="18"/>
              </w:rPr>
              <w:t>225</w:t>
            </w:r>
          </w:p>
        </w:tc>
        <w:tc>
          <w:tcPr>
            <w:tcW w:w="1784" w:type="dxa"/>
            <w:shd w:val="clear" w:color="auto" w:fill="auto"/>
          </w:tcPr>
          <w:p w14:paraId="31D2DA9E" w14:textId="77777777" w:rsidR="00286956" w:rsidRPr="00286956" w:rsidRDefault="00286956" w:rsidP="00286956">
            <w:pPr>
              <w:suppressAutoHyphens w:val="0"/>
              <w:spacing w:before="40" w:after="40" w:line="220" w:lineRule="exact"/>
              <w:jc w:val="right"/>
              <w:rPr>
                <w:sz w:val="18"/>
              </w:rPr>
            </w:pPr>
            <w:r w:rsidRPr="00286956">
              <w:rPr>
                <w:sz w:val="18"/>
              </w:rPr>
              <w:t>69</w:t>
            </w:r>
          </w:p>
        </w:tc>
        <w:tc>
          <w:tcPr>
            <w:tcW w:w="1766" w:type="dxa"/>
            <w:shd w:val="clear" w:color="auto" w:fill="auto"/>
          </w:tcPr>
          <w:p w14:paraId="01199BDF" w14:textId="77777777" w:rsidR="00286956" w:rsidRPr="00286956" w:rsidRDefault="00286956" w:rsidP="00286956">
            <w:pPr>
              <w:suppressAutoHyphens w:val="0"/>
              <w:spacing w:before="40" w:after="40" w:line="220" w:lineRule="exact"/>
              <w:jc w:val="right"/>
              <w:rPr>
                <w:sz w:val="18"/>
              </w:rPr>
            </w:pPr>
            <w:r w:rsidRPr="00286956">
              <w:rPr>
                <w:sz w:val="18"/>
              </w:rPr>
              <w:t>294</w:t>
            </w:r>
          </w:p>
        </w:tc>
      </w:tr>
      <w:tr w:rsidR="00286956" w:rsidRPr="00286956" w14:paraId="075E61AF" w14:textId="77777777" w:rsidTr="00286956">
        <w:tc>
          <w:tcPr>
            <w:tcW w:w="1999" w:type="dxa"/>
            <w:shd w:val="clear" w:color="auto" w:fill="auto"/>
          </w:tcPr>
          <w:p w14:paraId="3A79E1A1" w14:textId="77777777" w:rsidR="00286956" w:rsidRPr="00286956" w:rsidRDefault="00286956" w:rsidP="00286956">
            <w:pPr>
              <w:suppressAutoHyphens w:val="0"/>
              <w:spacing w:before="40" w:after="40" w:line="220" w:lineRule="exact"/>
              <w:rPr>
                <w:b/>
                <w:sz w:val="18"/>
              </w:rPr>
            </w:pPr>
            <w:r w:rsidRPr="00286956">
              <w:rPr>
                <w:b/>
                <w:sz w:val="18"/>
              </w:rPr>
              <w:t>2020</w:t>
            </w:r>
          </w:p>
        </w:tc>
        <w:tc>
          <w:tcPr>
            <w:tcW w:w="1821" w:type="dxa"/>
            <w:shd w:val="clear" w:color="auto" w:fill="auto"/>
          </w:tcPr>
          <w:p w14:paraId="70D1BDC5" w14:textId="77777777" w:rsidR="00286956" w:rsidRPr="00286956" w:rsidRDefault="00286956" w:rsidP="00286956">
            <w:pPr>
              <w:suppressAutoHyphens w:val="0"/>
              <w:spacing w:before="40" w:after="40" w:line="220" w:lineRule="exact"/>
              <w:jc w:val="right"/>
              <w:rPr>
                <w:sz w:val="18"/>
              </w:rPr>
            </w:pPr>
            <w:r w:rsidRPr="00286956">
              <w:rPr>
                <w:sz w:val="18"/>
              </w:rPr>
              <w:t>239</w:t>
            </w:r>
          </w:p>
        </w:tc>
        <w:tc>
          <w:tcPr>
            <w:tcW w:w="1784" w:type="dxa"/>
            <w:shd w:val="clear" w:color="auto" w:fill="auto"/>
          </w:tcPr>
          <w:p w14:paraId="396A1811" w14:textId="77777777" w:rsidR="00286956" w:rsidRPr="00286956" w:rsidRDefault="00286956" w:rsidP="00286956">
            <w:pPr>
              <w:suppressAutoHyphens w:val="0"/>
              <w:spacing w:before="40" w:after="40" w:line="220" w:lineRule="exact"/>
              <w:jc w:val="right"/>
              <w:rPr>
                <w:sz w:val="18"/>
              </w:rPr>
            </w:pPr>
            <w:r w:rsidRPr="00286956">
              <w:rPr>
                <w:sz w:val="18"/>
              </w:rPr>
              <w:t>61</w:t>
            </w:r>
          </w:p>
        </w:tc>
        <w:tc>
          <w:tcPr>
            <w:tcW w:w="1766" w:type="dxa"/>
            <w:shd w:val="clear" w:color="auto" w:fill="auto"/>
          </w:tcPr>
          <w:p w14:paraId="362A146D" w14:textId="77777777" w:rsidR="00286956" w:rsidRPr="00286956" w:rsidRDefault="00286956" w:rsidP="00286956">
            <w:pPr>
              <w:suppressAutoHyphens w:val="0"/>
              <w:spacing w:before="40" w:after="40" w:line="220" w:lineRule="exact"/>
              <w:jc w:val="right"/>
              <w:rPr>
                <w:sz w:val="18"/>
              </w:rPr>
            </w:pPr>
            <w:r w:rsidRPr="00286956">
              <w:rPr>
                <w:sz w:val="18"/>
              </w:rPr>
              <w:t>300</w:t>
            </w:r>
          </w:p>
        </w:tc>
      </w:tr>
      <w:tr w:rsidR="00286956" w:rsidRPr="00286956" w14:paraId="6C0722DD" w14:textId="77777777" w:rsidTr="00286956">
        <w:tc>
          <w:tcPr>
            <w:tcW w:w="1999" w:type="dxa"/>
            <w:tcBorders>
              <w:bottom w:val="single" w:sz="4" w:space="0" w:color="auto"/>
            </w:tcBorders>
            <w:shd w:val="clear" w:color="auto" w:fill="auto"/>
          </w:tcPr>
          <w:p w14:paraId="4AD62002" w14:textId="77777777" w:rsidR="00286956" w:rsidRPr="00286956" w:rsidRDefault="00286956" w:rsidP="00286956">
            <w:pPr>
              <w:suppressAutoHyphens w:val="0"/>
              <w:spacing w:before="40" w:after="40" w:line="220" w:lineRule="exact"/>
              <w:rPr>
                <w:b/>
                <w:bCs/>
                <w:sz w:val="18"/>
              </w:rPr>
            </w:pPr>
            <w:r w:rsidRPr="00286956">
              <w:rPr>
                <w:b/>
                <w:bCs/>
                <w:sz w:val="18"/>
              </w:rPr>
              <w:t>2021</w:t>
            </w:r>
          </w:p>
        </w:tc>
        <w:tc>
          <w:tcPr>
            <w:tcW w:w="1821" w:type="dxa"/>
            <w:tcBorders>
              <w:bottom w:val="single" w:sz="4" w:space="0" w:color="auto"/>
            </w:tcBorders>
            <w:shd w:val="clear" w:color="auto" w:fill="auto"/>
          </w:tcPr>
          <w:p w14:paraId="1396D7BA" w14:textId="77777777" w:rsidR="00286956" w:rsidRPr="00286956" w:rsidRDefault="00286956" w:rsidP="00286956">
            <w:pPr>
              <w:suppressAutoHyphens w:val="0"/>
              <w:spacing w:before="40" w:after="40" w:line="220" w:lineRule="exact"/>
              <w:jc w:val="right"/>
              <w:rPr>
                <w:sz w:val="18"/>
              </w:rPr>
            </w:pPr>
            <w:r w:rsidRPr="00286956">
              <w:rPr>
                <w:sz w:val="18"/>
              </w:rPr>
              <w:t>141</w:t>
            </w:r>
          </w:p>
        </w:tc>
        <w:tc>
          <w:tcPr>
            <w:tcW w:w="1784" w:type="dxa"/>
            <w:tcBorders>
              <w:bottom w:val="single" w:sz="4" w:space="0" w:color="auto"/>
            </w:tcBorders>
            <w:shd w:val="clear" w:color="auto" w:fill="auto"/>
          </w:tcPr>
          <w:p w14:paraId="1CDEBCBC" w14:textId="77777777" w:rsidR="00286956" w:rsidRPr="00286956" w:rsidRDefault="00286956" w:rsidP="00286956">
            <w:pPr>
              <w:suppressAutoHyphens w:val="0"/>
              <w:spacing w:before="40" w:after="40" w:line="220" w:lineRule="exact"/>
              <w:jc w:val="right"/>
              <w:rPr>
                <w:sz w:val="18"/>
              </w:rPr>
            </w:pPr>
            <w:r w:rsidRPr="00286956">
              <w:rPr>
                <w:sz w:val="18"/>
              </w:rPr>
              <w:t>36</w:t>
            </w:r>
          </w:p>
        </w:tc>
        <w:tc>
          <w:tcPr>
            <w:tcW w:w="1766" w:type="dxa"/>
            <w:tcBorders>
              <w:bottom w:val="single" w:sz="4" w:space="0" w:color="auto"/>
            </w:tcBorders>
            <w:shd w:val="clear" w:color="auto" w:fill="auto"/>
          </w:tcPr>
          <w:p w14:paraId="27FB3AAF" w14:textId="77777777" w:rsidR="00286956" w:rsidRPr="00286956" w:rsidRDefault="00286956" w:rsidP="00286956">
            <w:pPr>
              <w:suppressAutoHyphens w:val="0"/>
              <w:spacing w:before="40" w:after="40" w:line="220" w:lineRule="exact"/>
              <w:jc w:val="right"/>
              <w:rPr>
                <w:sz w:val="18"/>
              </w:rPr>
            </w:pPr>
            <w:r w:rsidRPr="00286956">
              <w:rPr>
                <w:sz w:val="18"/>
              </w:rPr>
              <w:t>177</w:t>
            </w:r>
          </w:p>
        </w:tc>
      </w:tr>
      <w:tr w:rsidR="00286956" w:rsidRPr="00286956" w14:paraId="59EA8D51" w14:textId="77777777" w:rsidTr="00286956">
        <w:tc>
          <w:tcPr>
            <w:tcW w:w="1999" w:type="dxa"/>
            <w:tcBorders>
              <w:top w:val="single" w:sz="4" w:space="0" w:color="auto"/>
              <w:bottom w:val="single" w:sz="12" w:space="0" w:color="auto"/>
            </w:tcBorders>
            <w:shd w:val="clear" w:color="auto" w:fill="auto"/>
          </w:tcPr>
          <w:p w14:paraId="68D16993" w14:textId="77777777" w:rsidR="00286956" w:rsidRPr="00286956" w:rsidRDefault="00286956" w:rsidP="00286956">
            <w:pPr>
              <w:suppressAutoHyphens w:val="0"/>
              <w:spacing w:before="80" w:after="80" w:line="220" w:lineRule="exact"/>
              <w:ind w:left="283"/>
              <w:rPr>
                <w:b/>
                <w:bCs/>
                <w:sz w:val="18"/>
              </w:rPr>
            </w:pPr>
            <w:r w:rsidRPr="00286956">
              <w:rPr>
                <w:b/>
                <w:sz w:val="18"/>
              </w:rPr>
              <w:t>Total</w:t>
            </w:r>
          </w:p>
        </w:tc>
        <w:tc>
          <w:tcPr>
            <w:tcW w:w="1821" w:type="dxa"/>
            <w:tcBorders>
              <w:top w:val="single" w:sz="4" w:space="0" w:color="auto"/>
              <w:bottom w:val="single" w:sz="12" w:space="0" w:color="auto"/>
            </w:tcBorders>
            <w:shd w:val="clear" w:color="auto" w:fill="auto"/>
          </w:tcPr>
          <w:p w14:paraId="44CC1ED1" w14:textId="1F659871" w:rsidR="00286956" w:rsidRPr="00286956" w:rsidRDefault="00286956" w:rsidP="00286956">
            <w:pPr>
              <w:suppressAutoHyphens w:val="0"/>
              <w:spacing w:before="80" w:after="80" w:line="220" w:lineRule="exact"/>
              <w:jc w:val="right"/>
              <w:rPr>
                <w:b/>
                <w:sz w:val="18"/>
              </w:rPr>
            </w:pPr>
            <w:r w:rsidRPr="00286956">
              <w:rPr>
                <w:b/>
                <w:sz w:val="18"/>
              </w:rPr>
              <w:t>1</w:t>
            </w:r>
            <w:r>
              <w:rPr>
                <w:b/>
                <w:sz w:val="18"/>
              </w:rPr>
              <w:t xml:space="preserve"> </w:t>
            </w:r>
            <w:r w:rsidRPr="00286956">
              <w:rPr>
                <w:b/>
                <w:sz w:val="18"/>
              </w:rPr>
              <w:t>251</w:t>
            </w:r>
          </w:p>
        </w:tc>
        <w:tc>
          <w:tcPr>
            <w:tcW w:w="1784" w:type="dxa"/>
            <w:tcBorders>
              <w:top w:val="single" w:sz="4" w:space="0" w:color="auto"/>
              <w:bottom w:val="single" w:sz="12" w:space="0" w:color="auto"/>
            </w:tcBorders>
            <w:shd w:val="clear" w:color="auto" w:fill="auto"/>
          </w:tcPr>
          <w:p w14:paraId="65C71FC6" w14:textId="77777777" w:rsidR="00286956" w:rsidRPr="00286956" w:rsidRDefault="00286956" w:rsidP="00286956">
            <w:pPr>
              <w:suppressAutoHyphens w:val="0"/>
              <w:spacing w:before="80" w:after="80" w:line="220" w:lineRule="exact"/>
              <w:jc w:val="right"/>
              <w:rPr>
                <w:b/>
                <w:sz w:val="18"/>
              </w:rPr>
            </w:pPr>
            <w:r w:rsidRPr="00286956">
              <w:rPr>
                <w:b/>
                <w:sz w:val="18"/>
              </w:rPr>
              <w:t>312</w:t>
            </w:r>
          </w:p>
        </w:tc>
        <w:tc>
          <w:tcPr>
            <w:tcW w:w="1766" w:type="dxa"/>
            <w:tcBorders>
              <w:top w:val="single" w:sz="4" w:space="0" w:color="auto"/>
              <w:bottom w:val="single" w:sz="12" w:space="0" w:color="auto"/>
            </w:tcBorders>
            <w:shd w:val="clear" w:color="auto" w:fill="auto"/>
          </w:tcPr>
          <w:p w14:paraId="231AE5B1" w14:textId="77777777" w:rsidR="00286956" w:rsidRPr="00286956" w:rsidRDefault="00286956" w:rsidP="00286956">
            <w:pPr>
              <w:suppressAutoHyphens w:val="0"/>
              <w:spacing w:before="80" w:after="80" w:line="220" w:lineRule="exact"/>
              <w:jc w:val="right"/>
              <w:rPr>
                <w:b/>
                <w:sz w:val="18"/>
              </w:rPr>
            </w:pPr>
            <w:r w:rsidRPr="00286956">
              <w:rPr>
                <w:b/>
                <w:sz w:val="18"/>
              </w:rPr>
              <w:t>1 563</w:t>
            </w:r>
          </w:p>
        </w:tc>
      </w:tr>
    </w:tbl>
    <w:p w14:paraId="163C4A59" w14:textId="12614ACB" w:rsidR="00286956" w:rsidRPr="00286956" w:rsidRDefault="00286956" w:rsidP="00286956">
      <w:pPr>
        <w:pStyle w:val="SingleTxtG"/>
        <w:spacing w:before="120" w:after="240" w:line="220" w:lineRule="atLeast"/>
        <w:ind w:firstLine="170"/>
        <w:rPr>
          <w:sz w:val="18"/>
          <w:szCs w:val="18"/>
        </w:rPr>
      </w:pPr>
      <w:r w:rsidRPr="00286956">
        <w:rPr>
          <w:i/>
          <w:iCs/>
          <w:sz w:val="18"/>
          <w:szCs w:val="18"/>
        </w:rPr>
        <w:t>Source</w:t>
      </w:r>
      <w:r>
        <w:rPr>
          <w:sz w:val="18"/>
          <w:szCs w:val="18"/>
        </w:rPr>
        <w:t> :</w:t>
      </w:r>
      <w:r w:rsidRPr="00286956">
        <w:rPr>
          <w:sz w:val="18"/>
          <w:szCs w:val="18"/>
        </w:rPr>
        <w:t xml:space="preserve"> Observatoire consulaire et migratoire du Honduras</w:t>
      </w:r>
      <w:r>
        <w:rPr>
          <w:sz w:val="18"/>
          <w:szCs w:val="18"/>
        </w:rPr>
        <w:t>.</w:t>
      </w:r>
    </w:p>
    <w:p w14:paraId="21FCFDB8" w14:textId="314A9DDE" w:rsidR="00286956" w:rsidRPr="00EE63B9" w:rsidRDefault="00286956" w:rsidP="00286956">
      <w:pPr>
        <w:pStyle w:val="SingleTxtG"/>
        <w:rPr>
          <w:spacing w:val="-2"/>
        </w:rPr>
      </w:pPr>
      <w:r w:rsidRPr="00EE63B9">
        <w:rPr>
          <w:spacing w:val="-2"/>
        </w:rPr>
        <w:t>105.</w:t>
      </w:r>
      <w:r w:rsidRPr="00EE63B9">
        <w:rPr>
          <w:spacing w:val="-2"/>
        </w:rPr>
        <w:tab/>
        <w:t>Au sujet du paragraphe 29</w:t>
      </w:r>
      <w:r w:rsidR="00A74554" w:rsidRPr="00EE63B9">
        <w:rPr>
          <w:spacing w:val="-2"/>
        </w:rPr>
        <w:t> c)</w:t>
      </w:r>
      <w:r w:rsidRPr="00EE63B9">
        <w:rPr>
          <w:spacing w:val="-2"/>
        </w:rPr>
        <w:t xml:space="preserve"> des observations finales sur l’établissement d’une base de données actualisée relative aux migrants disparus, il convient de signaler la mise en place de la base de données médico-légales sur les migrants disparus pour collecter, systématiser, évaluer et harmoniser les données concernant les migrants non localisés ou disparus pendant leur migration. Des accords ont également été conclus, et des protocoles élaborés, pour permettre des croiser des informations et d’améliorer les pratiques médico-légales au niveau régional</w:t>
      </w:r>
      <w:r w:rsidRPr="00EE63B9">
        <w:rPr>
          <w:rStyle w:val="Appelnotedebasdep"/>
          <w:spacing w:val="-2"/>
        </w:rPr>
        <w:footnoteReference w:id="82"/>
      </w:r>
      <w:r w:rsidRPr="00EE63B9">
        <w:rPr>
          <w:spacing w:val="-2"/>
        </w:rPr>
        <w:t>.</w:t>
      </w:r>
    </w:p>
    <w:p w14:paraId="019E36F7" w14:textId="52BC2D68" w:rsidR="00286956" w:rsidRPr="008516D1" w:rsidRDefault="00286956" w:rsidP="00286956">
      <w:pPr>
        <w:pStyle w:val="SingleTxtG"/>
      </w:pPr>
      <w:r w:rsidRPr="008516D1">
        <w:t>106.</w:t>
      </w:r>
      <w:r w:rsidRPr="008516D1">
        <w:tab/>
        <w:t>Entre</w:t>
      </w:r>
      <w:r>
        <w:t xml:space="preserve"> </w:t>
      </w:r>
      <w:r w:rsidRPr="008516D1">
        <w:t>2011</w:t>
      </w:r>
      <w:r>
        <w:t xml:space="preserve"> </w:t>
      </w:r>
      <w:r w:rsidRPr="008516D1">
        <w:t>et</w:t>
      </w:r>
      <w:r>
        <w:t xml:space="preserve"> </w:t>
      </w:r>
      <w:r w:rsidRPr="008516D1">
        <w:t>le</w:t>
      </w:r>
      <w:r>
        <w:t xml:space="preserve"> </w:t>
      </w:r>
      <w:r w:rsidRPr="008516D1">
        <w:t>5</w:t>
      </w:r>
      <w:r w:rsidR="00EE63B9">
        <w:t> </w:t>
      </w:r>
      <w:r w:rsidRPr="008516D1">
        <w:t>août</w:t>
      </w:r>
      <w:r>
        <w:t xml:space="preserve"> </w:t>
      </w:r>
      <w:r w:rsidRPr="008516D1">
        <w:t>2020,</w:t>
      </w:r>
      <w:r>
        <w:t xml:space="preserve"> </w:t>
      </w:r>
      <w:r w:rsidRPr="008516D1">
        <w:t>556</w:t>
      </w:r>
      <w:r w:rsidR="00EE63B9">
        <w:t> </w:t>
      </w:r>
      <w:r w:rsidRPr="008516D1">
        <w:t>cas</w:t>
      </w:r>
      <w:r>
        <w:t xml:space="preserve"> </w:t>
      </w:r>
      <w:r w:rsidRPr="008516D1">
        <w:t>de</w:t>
      </w:r>
      <w:r>
        <w:t xml:space="preserve"> </w:t>
      </w:r>
      <w:r w:rsidRPr="008516D1">
        <w:t>migrants</w:t>
      </w:r>
      <w:r>
        <w:t xml:space="preserve"> </w:t>
      </w:r>
      <w:r w:rsidRPr="008516D1">
        <w:t>disparus</w:t>
      </w:r>
      <w:r>
        <w:t xml:space="preserve"> </w:t>
      </w:r>
      <w:r w:rsidRPr="008516D1">
        <w:t>ont</w:t>
      </w:r>
      <w:r>
        <w:t xml:space="preserve"> </w:t>
      </w:r>
      <w:r w:rsidRPr="008516D1">
        <w:t>été</w:t>
      </w:r>
      <w:r>
        <w:t xml:space="preserve"> </w:t>
      </w:r>
      <w:r w:rsidRPr="008516D1">
        <w:t>enregistrés</w:t>
      </w:r>
      <w:r>
        <w:t xml:space="preserve"> </w:t>
      </w:r>
      <w:r w:rsidRPr="008516D1">
        <w:t>dans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médico-légales</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du</w:t>
      </w:r>
      <w:r>
        <w:t xml:space="preserve"> </w:t>
      </w:r>
      <w:r w:rsidRPr="008516D1">
        <w:t>Honduras.</w:t>
      </w:r>
      <w:r>
        <w:t xml:space="preserve"> </w:t>
      </w:r>
      <w:r w:rsidRPr="008516D1">
        <w:t>Dans</w:t>
      </w:r>
      <w:r>
        <w:t xml:space="preserve"> </w:t>
      </w:r>
      <w:r w:rsidRPr="008516D1">
        <w:t>ce</w:t>
      </w:r>
      <w:r>
        <w:t xml:space="preserve"> </w:t>
      </w:r>
      <w:r w:rsidRPr="008516D1">
        <w:t>cadre,</w:t>
      </w:r>
      <w:r>
        <w:t xml:space="preserve"> </w:t>
      </w:r>
      <w:r w:rsidRPr="008516D1">
        <w:t>1</w:t>
      </w:r>
      <w:r w:rsidR="00EE63B9">
        <w:t> </w:t>
      </w:r>
      <w:r w:rsidRPr="008516D1">
        <w:t>276</w:t>
      </w:r>
      <w:r>
        <w:t xml:space="preserve"> </w:t>
      </w:r>
      <w:r w:rsidRPr="008516D1">
        <w:lastRenderedPageBreak/>
        <w:t>profils</w:t>
      </w:r>
      <w:r>
        <w:t xml:space="preserve"> </w:t>
      </w:r>
      <w:r w:rsidRPr="008516D1">
        <w:t>génétiques</w:t>
      </w:r>
      <w:r>
        <w:t xml:space="preserve"> </w:t>
      </w:r>
      <w:r w:rsidRPr="008516D1">
        <w:t>ont</w:t>
      </w:r>
      <w:r>
        <w:t xml:space="preserve"> </w:t>
      </w:r>
      <w:r w:rsidRPr="008516D1">
        <w:t>été</w:t>
      </w:r>
      <w:r>
        <w:t xml:space="preserve"> </w:t>
      </w:r>
      <w:r w:rsidRPr="008516D1">
        <w:t>déterminés</w:t>
      </w:r>
      <w:r>
        <w:t xml:space="preserve"> </w:t>
      </w:r>
      <w:r w:rsidRPr="008516D1">
        <w:t>dans</w:t>
      </w:r>
      <w:r>
        <w:t xml:space="preserve"> </w:t>
      </w:r>
      <w:r w:rsidRPr="008516D1">
        <w:t>519</w:t>
      </w:r>
      <w:r w:rsidR="00EE63B9">
        <w:t> </w:t>
      </w:r>
      <w:r w:rsidRPr="008516D1">
        <w:t>familles</w:t>
      </w:r>
      <w:r>
        <w:t xml:space="preserve"> </w:t>
      </w:r>
      <w:r w:rsidRPr="008516D1">
        <w:t>et</w:t>
      </w:r>
      <w:r>
        <w:t xml:space="preserve"> </w:t>
      </w:r>
      <w:r w:rsidRPr="008516D1">
        <w:t>51</w:t>
      </w:r>
      <w:r w:rsidR="00EE63B9">
        <w:t> </w:t>
      </w:r>
      <w:r w:rsidRPr="008516D1">
        <w:t>dépouilles</w:t>
      </w:r>
      <w:r>
        <w:t xml:space="preserve"> </w:t>
      </w:r>
      <w:r w:rsidRPr="008516D1">
        <w:t>de</w:t>
      </w:r>
      <w:r>
        <w:t xml:space="preserve"> </w:t>
      </w:r>
      <w:r w:rsidRPr="008516D1">
        <w:t>ressortissants</w:t>
      </w:r>
      <w:r>
        <w:t xml:space="preserve"> </w:t>
      </w:r>
      <w:r w:rsidRPr="008516D1">
        <w:t>honduriens</w:t>
      </w:r>
      <w:r>
        <w:t xml:space="preserve"> </w:t>
      </w:r>
      <w:r w:rsidRPr="008516D1">
        <w:t>ont</w:t>
      </w:r>
      <w:r>
        <w:t xml:space="preserve"> </w:t>
      </w:r>
      <w:r w:rsidRPr="008516D1">
        <w:t>été</w:t>
      </w:r>
      <w:r>
        <w:t xml:space="preserve"> </w:t>
      </w:r>
      <w:r w:rsidRPr="008516D1">
        <w:t>retrouvées</w:t>
      </w:r>
      <w:r>
        <w:t xml:space="preserve"> </w:t>
      </w:r>
      <w:r w:rsidRPr="008516D1">
        <w:t>et</w:t>
      </w:r>
      <w:r>
        <w:t xml:space="preserve"> </w:t>
      </w:r>
      <w:r w:rsidRPr="008516D1">
        <w:t>identifiées,</w:t>
      </w:r>
      <w:r>
        <w:t xml:space="preserve"> </w:t>
      </w:r>
      <w:r w:rsidRPr="008516D1">
        <w:t>dont</w:t>
      </w:r>
      <w:r>
        <w:t xml:space="preserve"> </w:t>
      </w:r>
      <w:r w:rsidRPr="008516D1">
        <w:t>22</w:t>
      </w:r>
      <w:r>
        <w:t xml:space="preserve"> </w:t>
      </w:r>
      <w:r w:rsidRPr="008516D1">
        <w:t>aux</w:t>
      </w:r>
      <w:r>
        <w:t xml:space="preserve"> </w:t>
      </w:r>
      <w:r w:rsidRPr="008516D1">
        <w:t>États-Unis</w:t>
      </w:r>
      <w:r>
        <w:t xml:space="preserve"> </w:t>
      </w:r>
      <w:r w:rsidRPr="008516D1">
        <w:t>d</w:t>
      </w:r>
      <w:r>
        <w:t>’</w:t>
      </w:r>
      <w:r w:rsidRPr="008516D1">
        <w:t>Amérique</w:t>
      </w:r>
      <w:r>
        <w:t xml:space="preserve"> </w:t>
      </w:r>
      <w:r w:rsidRPr="008516D1">
        <w:t>(17</w:t>
      </w:r>
      <w:r>
        <w:t xml:space="preserve"> </w:t>
      </w:r>
      <w:r w:rsidRPr="008516D1">
        <w:t>en</w:t>
      </w:r>
      <w:r>
        <w:t xml:space="preserve"> </w:t>
      </w:r>
      <w:r w:rsidRPr="008516D1">
        <w:t>Arizona</w:t>
      </w:r>
      <w:r>
        <w:t xml:space="preserve"> </w:t>
      </w:r>
      <w:r w:rsidRPr="008516D1">
        <w:t>et</w:t>
      </w:r>
      <w:r>
        <w:t xml:space="preserve"> </w:t>
      </w:r>
      <w:r w:rsidRPr="008516D1">
        <w:t>5</w:t>
      </w:r>
      <w:r>
        <w:t xml:space="preserve"> </w:t>
      </w:r>
      <w:r w:rsidRPr="008516D1">
        <w:t>au</w:t>
      </w:r>
      <w:r>
        <w:t xml:space="preserve"> </w:t>
      </w:r>
      <w:r w:rsidRPr="008516D1">
        <w:t>Texas)</w:t>
      </w:r>
      <w:r>
        <w:t xml:space="preserve"> </w:t>
      </w:r>
      <w:r w:rsidRPr="008516D1">
        <w:t>et</w:t>
      </w:r>
      <w:r>
        <w:t xml:space="preserve"> </w:t>
      </w:r>
      <w:r w:rsidRPr="008516D1">
        <w:t>29</w:t>
      </w:r>
      <w:r>
        <w:t xml:space="preserve"> </w:t>
      </w:r>
      <w:r w:rsidRPr="008516D1">
        <w:t>au</w:t>
      </w:r>
      <w:r>
        <w:t xml:space="preserve"> </w:t>
      </w:r>
      <w:r w:rsidRPr="008516D1">
        <w:t>Mexique</w:t>
      </w:r>
      <w:r>
        <w:t xml:space="preserve"> </w:t>
      </w:r>
      <w:r w:rsidRPr="008516D1">
        <w:t>(12</w:t>
      </w:r>
      <w:r>
        <w:t xml:space="preserve"> </w:t>
      </w:r>
      <w:r w:rsidRPr="008516D1">
        <w:t>dans</w:t>
      </w:r>
      <w:r>
        <w:t xml:space="preserve"> </w:t>
      </w:r>
      <w:r w:rsidRPr="008516D1">
        <w:t>le</w:t>
      </w:r>
      <w:r>
        <w:t xml:space="preserve"> </w:t>
      </w:r>
      <w:r w:rsidRPr="008516D1">
        <w:t>Tamaulipas,</w:t>
      </w:r>
      <w:r>
        <w:t xml:space="preserve"> </w:t>
      </w:r>
      <w:r w:rsidRPr="008516D1">
        <w:t>10</w:t>
      </w:r>
      <w:r>
        <w:t xml:space="preserve"> </w:t>
      </w:r>
      <w:r w:rsidRPr="008516D1">
        <w:t>dans</w:t>
      </w:r>
      <w:r>
        <w:t xml:space="preserve"> </w:t>
      </w:r>
      <w:r w:rsidRPr="008516D1">
        <w:t>le</w:t>
      </w:r>
      <w:r>
        <w:t xml:space="preserve"> </w:t>
      </w:r>
      <w:proofErr w:type="spellStart"/>
      <w:r w:rsidRPr="008516D1">
        <w:t>Nuevo</w:t>
      </w:r>
      <w:proofErr w:type="spellEnd"/>
      <w:r>
        <w:t xml:space="preserve"> </w:t>
      </w:r>
      <w:r w:rsidRPr="008516D1">
        <w:t>León,</w:t>
      </w:r>
      <w:r>
        <w:t xml:space="preserve"> </w:t>
      </w:r>
      <w:r w:rsidRPr="008516D1">
        <w:t>3</w:t>
      </w:r>
      <w:r>
        <w:t xml:space="preserve"> </w:t>
      </w:r>
      <w:r w:rsidRPr="008516D1">
        <w:t>dans</w:t>
      </w:r>
      <w:r>
        <w:t xml:space="preserve"> </w:t>
      </w:r>
      <w:r w:rsidRPr="008516D1">
        <w:t>le</w:t>
      </w:r>
      <w:r>
        <w:t xml:space="preserve"> </w:t>
      </w:r>
      <w:r w:rsidRPr="008516D1">
        <w:t>Coahuila,</w:t>
      </w:r>
      <w:r>
        <w:t xml:space="preserve"> </w:t>
      </w:r>
      <w:r w:rsidRPr="008516D1">
        <w:t>2</w:t>
      </w:r>
      <w:r>
        <w:t xml:space="preserve"> </w:t>
      </w:r>
      <w:r w:rsidRPr="008516D1">
        <w:t>dans</w:t>
      </w:r>
      <w:r>
        <w:t xml:space="preserve"> </w:t>
      </w:r>
      <w:r w:rsidRPr="008516D1">
        <w:t>la</w:t>
      </w:r>
      <w:r>
        <w:t xml:space="preserve"> </w:t>
      </w:r>
      <w:r w:rsidRPr="008516D1">
        <w:t>Basse-Californie,</w:t>
      </w:r>
      <w:r>
        <w:t xml:space="preserve"> </w:t>
      </w:r>
      <w:r w:rsidRPr="008516D1">
        <w:t>1</w:t>
      </w:r>
      <w:r>
        <w:t xml:space="preserve"> </w:t>
      </w:r>
      <w:r w:rsidRPr="008516D1">
        <w:t>dans</w:t>
      </w:r>
      <w:r>
        <w:t xml:space="preserve"> </w:t>
      </w:r>
      <w:r w:rsidRPr="008516D1">
        <w:t>le</w:t>
      </w:r>
      <w:r>
        <w:t xml:space="preserve"> </w:t>
      </w:r>
      <w:r w:rsidRPr="008516D1">
        <w:t>Quintana</w:t>
      </w:r>
      <w:r>
        <w:t xml:space="preserve"> </w:t>
      </w:r>
      <w:proofErr w:type="spellStart"/>
      <w:r w:rsidRPr="008516D1">
        <w:t>Roo</w:t>
      </w:r>
      <w:proofErr w:type="spellEnd"/>
      <w:r>
        <w:t xml:space="preserve"> </w:t>
      </w:r>
      <w:r w:rsidRPr="008516D1">
        <w:t>et</w:t>
      </w:r>
      <w:r>
        <w:t xml:space="preserve"> </w:t>
      </w:r>
      <w:r w:rsidRPr="008516D1">
        <w:t>1</w:t>
      </w:r>
      <w:r>
        <w:t xml:space="preserve"> </w:t>
      </w:r>
      <w:r w:rsidRPr="008516D1">
        <w:t>dans</w:t>
      </w:r>
      <w:r>
        <w:t xml:space="preserve"> </w:t>
      </w:r>
      <w:r w:rsidRPr="008516D1">
        <w:t>le</w:t>
      </w:r>
      <w:r>
        <w:t xml:space="preserve"> </w:t>
      </w:r>
      <w:r w:rsidRPr="008516D1">
        <w:t>Sinaloa).</w:t>
      </w:r>
    </w:p>
    <w:p w14:paraId="2DAF6145" w14:textId="2051ACF5" w:rsidR="00286956" w:rsidRPr="008516D1" w:rsidRDefault="00286956" w:rsidP="00286956">
      <w:pPr>
        <w:pStyle w:val="SingleTxtG"/>
      </w:pPr>
      <w:r w:rsidRPr="008516D1">
        <w:t>107.</w:t>
      </w:r>
      <w:r w:rsidRPr="008516D1">
        <w:tab/>
        <w:t>D</w:t>
      </w:r>
      <w:r>
        <w:t>’</w:t>
      </w:r>
      <w:r w:rsidRPr="008516D1">
        <w:t>après</w:t>
      </w:r>
      <w:r>
        <w:t xml:space="preserve"> </w:t>
      </w:r>
      <w:r w:rsidRPr="008516D1">
        <w:t>les</w:t>
      </w:r>
      <w:r>
        <w:t xml:space="preserve"> </w:t>
      </w:r>
      <w:r w:rsidRPr="008516D1">
        <w:t>données</w:t>
      </w:r>
      <w:r>
        <w:t xml:space="preserve"> </w:t>
      </w:r>
      <w:r w:rsidRPr="008516D1">
        <w:rPr>
          <w:i/>
          <w:iCs/>
        </w:rPr>
        <w:t>ante</w:t>
      </w:r>
      <w:r>
        <w:rPr>
          <w:i/>
          <w:iCs/>
        </w:rPr>
        <w:t xml:space="preserve"> </w:t>
      </w:r>
      <w:r w:rsidRPr="008516D1">
        <w:rPr>
          <w:i/>
          <w:iCs/>
        </w:rPr>
        <w:t>mortem</w:t>
      </w:r>
      <w:r>
        <w:rPr>
          <w:i/>
          <w:iCs/>
        </w:rPr>
        <w:t xml:space="preserve"> </w:t>
      </w:r>
      <w:r w:rsidRPr="008516D1">
        <w:t>enregistrées</w:t>
      </w:r>
      <w:r>
        <w:t xml:space="preserve"> </w:t>
      </w:r>
      <w:r w:rsidRPr="008516D1">
        <w:t>en</w:t>
      </w:r>
      <w:r>
        <w:t xml:space="preserve"> </w:t>
      </w:r>
      <w:r w:rsidRPr="008516D1">
        <w:t>août</w:t>
      </w:r>
      <w:r>
        <w:t xml:space="preserve"> </w:t>
      </w:r>
      <w:r w:rsidRPr="008516D1">
        <w:t>2020</w:t>
      </w:r>
      <w:r>
        <w:t xml:space="preserve"> </w:t>
      </w:r>
      <w:r w:rsidRPr="008516D1">
        <w:t>dans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médico-légales,</w:t>
      </w:r>
      <w:r>
        <w:t xml:space="preserve"> </w:t>
      </w:r>
      <w:r w:rsidRPr="008516D1">
        <w:t>sur</w:t>
      </w:r>
      <w:r>
        <w:t xml:space="preserve"> </w:t>
      </w:r>
      <w:r w:rsidRPr="008516D1">
        <w:t>le</w:t>
      </w:r>
      <w:r>
        <w:t xml:space="preserve"> </w:t>
      </w:r>
      <w:r w:rsidRPr="008516D1">
        <w:t>nombre</w:t>
      </w:r>
      <w:r>
        <w:t xml:space="preserve"> </w:t>
      </w:r>
      <w:r w:rsidRPr="008516D1">
        <w:t>total</w:t>
      </w:r>
      <w:r>
        <w:t xml:space="preserve"> </w:t>
      </w:r>
      <w:r w:rsidRPr="008516D1">
        <w:t>de</w:t>
      </w:r>
      <w:r>
        <w:t xml:space="preserve"> </w:t>
      </w:r>
      <w:r w:rsidRPr="008516D1">
        <w:t>cas</w:t>
      </w:r>
      <w:r>
        <w:t xml:space="preserve"> </w:t>
      </w:r>
      <w:r w:rsidRPr="008516D1">
        <w:t>enregistrés,</w:t>
      </w:r>
      <w:r>
        <w:t xml:space="preserve"> </w:t>
      </w:r>
      <w:r w:rsidRPr="008516D1">
        <w:t>481</w:t>
      </w:r>
      <w:r>
        <w:t xml:space="preserve"> </w:t>
      </w:r>
      <w:r w:rsidRPr="008516D1">
        <w:t>sont</w:t>
      </w:r>
      <w:r>
        <w:t xml:space="preserve"> </w:t>
      </w:r>
      <w:r w:rsidRPr="008516D1">
        <w:t>des</w:t>
      </w:r>
      <w:r>
        <w:t xml:space="preserve"> </w:t>
      </w:r>
      <w:r w:rsidRPr="008516D1">
        <w:t>adultes</w:t>
      </w:r>
      <w:r>
        <w:t xml:space="preserve"> </w:t>
      </w:r>
      <w:r w:rsidRPr="008516D1">
        <w:t>(384</w:t>
      </w:r>
      <w:r w:rsidR="00EE63B9">
        <w:t> </w:t>
      </w:r>
      <w:r w:rsidRPr="008516D1">
        <w:t>hommes</w:t>
      </w:r>
      <w:r>
        <w:t xml:space="preserve"> </w:t>
      </w:r>
      <w:r w:rsidRPr="008516D1">
        <w:t>et</w:t>
      </w:r>
      <w:r>
        <w:t xml:space="preserve"> </w:t>
      </w:r>
      <w:r w:rsidRPr="008516D1">
        <w:t>97</w:t>
      </w:r>
      <w:r w:rsidR="00EE63B9">
        <w:t> </w:t>
      </w:r>
      <w:r w:rsidRPr="008516D1">
        <w:t>femmes)</w:t>
      </w:r>
      <w:r>
        <w:t xml:space="preserve"> </w:t>
      </w:r>
      <w:r w:rsidRPr="008516D1">
        <w:t>et</w:t>
      </w:r>
      <w:r>
        <w:t xml:space="preserve"> </w:t>
      </w:r>
      <w:r w:rsidRPr="008516D1">
        <w:t>62</w:t>
      </w:r>
      <w:r>
        <w:t xml:space="preserve"> </w:t>
      </w:r>
      <w:r w:rsidRPr="008516D1">
        <w:t>sont</w:t>
      </w:r>
      <w:r>
        <w:t xml:space="preserve"> </w:t>
      </w:r>
      <w:r w:rsidRPr="008516D1">
        <w:t>des</w:t>
      </w:r>
      <w:r>
        <w:t xml:space="preserve"> </w:t>
      </w:r>
      <w:r w:rsidRPr="008516D1">
        <w:t>jeunes</w:t>
      </w:r>
      <w:r>
        <w:t xml:space="preserve"> </w:t>
      </w:r>
      <w:r w:rsidRPr="008516D1">
        <w:t>de</w:t>
      </w:r>
      <w:r>
        <w:t xml:space="preserve"> </w:t>
      </w:r>
      <w:r w:rsidRPr="008516D1">
        <w:t>moins</w:t>
      </w:r>
      <w:r>
        <w:t xml:space="preserve"> </w:t>
      </w:r>
      <w:r w:rsidRPr="008516D1">
        <w:t>de</w:t>
      </w:r>
      <w:r>
        <w:t xml:space="preserve"> </w:t>
      </w:r>
      <w:r w:rsidRPr="008516D1">
        <w:t>18</w:t>
      </w:r>
      <w:r w:rsidR="00EE63B9">
        <w:t> </w:t>
      </w:r>
      <w:r w:rsidRPr="008516D1">
        <w:t>ans</w:t>
      </w:r>
      <w:r>
        <w:t xml:space="preserve"> </w:t>
      </w:r>
      <w:r w:rsidRPr="008516D1">
        <w:t>(46</w:t>
      </w:r>
      <w:r w:rsidR="00EE63B9">
        <w:t> </w:t>
      </w:r>
      <w:r w:rsidRPr="008516D1">
        <w:t>garçons</w:t>
      </w:r>
      <w:r>
        <w:t xml:space="preserve"> </w:t>
      </w:r>
      <w:r w:rsidRPr="008516D1">
        <w:t>et</w:t>
      </w:r>
      <w:r>
        <w:t xml:space="preserve"> </w:t>
      </w:r>
      <w:r w:rsidRPr="008516D1">
        <w:t>16</w:t>
      </w:r>
      <w:r w:rsidR="00EE63B9">
        <w:t> </w:t>
      </w:r>
      <w:r w:rsidRPr="008516D1">
        <w:t>filles).</w:t>
      </w:r>
    </w:p>
    <w:p w14:paraId="3C336F1B" w14:textId="7E02769F" w:rsidR="00286956" w:rsidRPr="008516D1" w:rsidRDefault="00286956" w:rsidP="00286956">
      <w:pPr>
        <w:pStyle w:val="SingleTxtG"/>
      </w:pPr>
      <w:r w:rsidRPr="008516D1">
        <w:t>108.</w:t>
      </w:r>
      <w:r w:rsidRPr="008516D1">
        <w:tab/>
        <w:t>Les</w:t>
      </w:r>
      <w:r>
        <w:t xml:space="preserve"> </w:t>
      </w:r>
      <w:r w:rsidRPr="008516D1">
        <w:t>départements</w:t>
      </w:r>
      <w:r>
        <w:t xml:space="preserve"> </w:t>
      </w:r>
      <w:r w:rsidRPr="008516D1">
        <w:t>d</w:t>
      </w:r>
      <w:r>
        <w:t>’</w:t>
      </w:r>
      <w:r w:rsidRPr="008516D1">
        <w:t>origine</w:t>
      </w:r>
      <w:r>
        <w:t xml:space="preserve"> </w:t>
      </w:r>
      <w:r w:rsidRPr="008516D1">
        <w:t>de</w:t>
      </w:r>
      <w:r>
        <w:t xml:space="preserve"> </w:t>
      </w:r>
      <w:r w:rsidRPr="008516D1">
        <w:t>la</w:t>
      </w:r>
      <w:r>
        <w:t xml:space="preserve"> </w:t>
      </w:r>
      <w:r w:rsidRPr="008516D1">
        <w:t>plupart</w:t>
      </w:r>
      <w:r>
        <w:t xml:space="preserve"> </w:t>
      </w:r>
      <w:r w:rsidRPr="008516D1">
        <w:t>des</w:t>
      </w:r>
      <w:r>
        <w:t xml:space="preserve"> </w:t>
      </w:r>
      <w:r w:rsidRPr="008516D1">
        <w:t>migrants</w:t>
      </w:r>
      <w:r>
        <w:t xml:space="preserve"> </w:t>
      </w:r>
      <w:r w:rsidRPr="008516D1">
        <w:t>non</w:t>
      </w:r>
      <w:r>
        <w:t xml:space="preserve"> </w:t>
      </w:r>
      <w:r w:rsidRPr="008516D1">
        <w:t>retrouvés</w:t>
      </w:r>
      <w:r>
        <w:t xml:space="preserve"> </w:t>
      </w:r>
      <w:r w:rsidRPr="008516D1">
        <w:t>sont</w:t>
      </w:r>
      <w:r>
        <w:t xml:space="preserve"> </w:t>
      </w:r>
      <w:r w:rsidRPr="008516D1">
        <w:t>Yoro</w:t>
      </w:r>
      <w:r>
        <w:t xml:space="preserve"> </w:t>
      </w:r>
      <w:r w:rsidRPr="008516D1">
        <w:t>(155</w:t>
      </w:r>
      <w:r w:rsidR="00EE63B9">
        <w:t> </w:t>
      </w:r>
      <w:r w:rsidRPr="008516D1">
        <w:t>cas),</w:t>
      </w:r>
      <w:r>
        <w:t xml:space="preserve"> </w:t>
      </w:r>
      <w:r w:rsidRPr="008516D1">
        <w:t>Francisco</w:t>
      </w:r>
      <w:r>
        <w:t xml:space="preserve"> </w:t>
      </w:r>
      <w:r w:rsidRPr="008516D1">
        <w:t>Morazán</w:t>
      </w:r>
      <w:r>
        <w:t xml:space="preserve"> </w:t>
      </w:r>
      <w:r w:rsidRPr="008516D1">
        <w:t>(137</w:t>
      </w:r>
      <w:r w:rsidR="00EE63B9">
        <w:t> </w:t>
      </w:r>
      <w:r w:rsidRPr="008516D1">
        <w:t>cas),</w:t>
      </w:r>
      <w:r>
        <w:t xml:space="preserve"> </w:t>
      </w:r>
      <w:r w:rsidRPr="008516D1">
        <w:t>Cortés</w:t>
      </w:r>
      <w:r>
        <w:t xml:space="preserve"> </w:t>
      </w:r>
      <w:r w:rsidRPr="008516D1">
        <w:t>(99</w:t>
      </w:r>
      <w:r w:rsidR="00EE63B9">
        <w:t> </w:t>
      </w:r>
      <w:r w:rsidRPr="008516D1">
        <w:t>cas),</w:t>
      </w:r>
      <w:r>
        <w:t xml:space="preserve"> </w:t>
      </w:r>
      <w:r w:rsidRPr="008516D1">
        <w:t>Comayagua</w:t>
      </w:r>
      <w:r>
        <w:t xml:space="preserve"> </w:t>
      </w:r>
      <w:r w:rsidRPr="008516D1">
        <w:t>(49</w:t>
      </w:r>
      <w:r w:rsidR="00EE63B9">
        <w:t> </w:t>
      </w:r>
      <w:r w:rsidRPr="008516D1">
        <w:t>cas),</w:t>
      </w:r>
      <w:r>
        <w:t xml:space="preserve"> </w:t>
      </w:r>
      <w:proofErr w:type="spellStart"/>
      <w:r w:rsidRPr="008516D1">
        <w:t>Atlántida</w:t>
      </w:r>
      <w:proofErr w:type="spellEnd"/>
      <w:r>
        <w:t xml:space="preserve"> </w:t>
      </w:r>
      <w:r w:rsidRPr="008516D1">
        <w:t>(24</w:t>
      </w:r>
      <w:r w:rsidR="00EE63B9">
        <w:t> </w:t>
      </w:r>
      <w:r w:rsidRPr="008516D1">
        <w:t>cas)</w:t>
      </w:r>
      <w:r>
        <w:t xml:space="preserve"> </w:t>
      </w:r>
      <w:r w:rsidRPr="008516D1">
        <w:t>et</w:t>
      </w:r>
      <w:r>
        <w:t xml:space="preserve"> </w:t>
      </w:r>
      <w:r w:rsidRPr="008516D1">
        <w:t>Choluteca</w:t>
      </w:r>
      <w:r>
        <w:t xml:space="preserve"> </w:t>
      </w:r>
      <w:r w:rsidRPr="008516D1">
        <w:t>(22</w:t>
      </w:r>
      <w:r w:rsidR="00EE63B9">
        <w:t> </w:t>
      </w:r>
      <w:r w:rsidRPr="008516D1">
        <w:t>cas).</w:t>
      </w:r>
    </w:p>
    <w:p w14:paraId="1C3A3863" w14:textId="0E4C10D4" w:rsidR="00286956" w:rsidRPr="008516D1" w:rsidRDefault="00286956" w:rsidP="00286956">
      <w:pPr>
        <w:pStyle w:val="SingleTxtG"/>
      </w:pPr>
      <w:r w:rsidRPr="008516D1">
        <w:t>109.</w:t>
      </w:r>
      <w:r w:rsidRPr="008516D1">
        <w:tab/>
        <w:t>Sur</w:t>
      </w:r>
      <w:r>
        <w:t xml:space="preserve"> </w:t>
      </w:r>
      <w:r w:rsidRPr="008516D1">
        <w:t>le</w:t>
      </w:r>
      <w:r>
        <w:t xml:space="preserve"> </w:t>
      </w:r>
      <w:r w:rsidRPr="008516D1">
        <w:t>nombre</w:t>
      </w:r>
      <w:r>
        <w:t xml:space="preserve"> </w:t>
      </w:r>
      <w:r w:rsidRPr="008516D1">
        <w:t>total</w:t>
      </w:r>
      <w:r>
        <w:t xml:space="preserve"> </w:t>
      </w:r>
      <w:r w:rsidRPr="008516D1">
        <w:t>de</w:t>
      </w:r>
      <w:r>
        <w:t xml:space="preserve"> </w:t>
      </w:r>
      <w:r w:rsidRPr="008516D1">
        <w:t>personnes</w:t>
      </w:r>
      <w:r>
        <w:t xml:space="preserve"> </w:t>
      </w:r>
      <w:r w:rsidRPr="008516D1">
        <w:t>disparues</w:t>
      </w:r>
      <w:r>
        <w:t xml:space="preserve"> </w:t>
      </w:r>
      <w:r w:rsidRPr="008516D1">
        <w:t>enregistrées</w:t>
      </w:r>
      <w:r>
        <w:t xml:space="preserve"> </w:t>
      </w:r>
      <w:r w:rsidRPr="008516D1">
        <w:t>dans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médico-légales</w:t>
      </w:r>
      <w:r w:rsidRPr="008516D1">
        <w:rPr>
          <w:rStyle w:val="Appelnotedebasdep"/>
        </w:rPr>
        <w:footnoteReference w:id="83"/>
      </w:r>
      <w:r w:rsidRPr="008516D1">
        <w:t>,</w:t>
      </w:r>
      <w:r>
        <w:t xml:space="preserve"> </w:t>
      </w:r>
      <w:r w:rsidRPr="008516D1">
        <w:t>18</w:t>
      </w:r>
      <w:r>
        <w:t xml:space="preserve"> </w:t>
      </w:r>
      <w:r w:rsidRPr="008516D1">
        <w:t>concernent</w:t>
      </w:r>
      <w:r>
        <w:t xml:space="preserve"> </w:t>
      </w:r>
      <w:r w:rsidRPr="008516D1">
        <w:t>des</w:t>
      </w:r>
      <w:r>
        <w:t xml:space="preserve"> </w:t>
      </w:r>
      <w:r w:rsidRPr="008516D1">
        <w:t>disparitions</w:t>
      </w:r>
      <w:r>
        <w:t xml:space="preserve"> </w:t>
      </w:r>
      <w:r w:rsidRPr="008516D1">
        <w:t>survenues</w:t>
      </w:r>
      <w:r>
        <w:t xml:space="preserve"> </w:t>
      </w:r>
      <w:r w:rsidRPr="008516D1">
        <w:t>avant</w:t>
      </w:r>
      <w:r>
        <w:t xml:space="preserve"> </w:t>
      </w:r>
      <w:r w:rsidRPr="008516D1">
        <w:t>1989,</w:t>
      </w:r>
      <w:r>
        <w:t xml:space="preserve"> </w:t>
      </w:r>
      <w:r w:rsidRPr="008516D1">
        <w:t>30</w:t>
      </w:r>
      <w:r>
        <w:t xml:space="preserve"> </w:t>
      </w:r>
      <w:r w:rsidRPr="008516D1">
        <w:t>entre</w:t>
      </w:r>
      <w:r>
        <w:t xml:space="preserve"> </w:t>
      </w:r>
      <w:r w:rsidRPr="008516D1">
        <w:t>1989</w:t>
      </w:r>
      <w:r>
        <w:t xml:space="preserve"> </w:t>
      </w:r>
      <w:r w:rsidRPr="008516D1">
        <w:t>et</w:t>
      </w:r>
      <w:r>
        <w:t xml:space="preserve"> </w:t>
      </w:r>
      <w:r w:rsidRPr="008516D1">
        <w:t>1994,</w:t>
      </w:r>
      <w:r>
        <w:t xml:space="preserve"> </w:t>
      </w:r>
      <w:r w:rsidRPr="008516D1">
        <w:t>258</w:t>
      </w:r>
      <w:r>
        <w:t xml:space="preserve"> </w:t>
      </w:r>
      <w:r w:rsidRPr="008516D1">
        <w:t>entre</w:t>
      </w:r>
      <w:r>
        <w:t xml:space="preserve"> </w:t>
      </w:r>
      <w:r w:rsidRPr="008516D1">
        <w:t>1995</w:t>
      </w:r>
      <w:r>
        <w:t xml:space="preserve"> </w:t>
      </w:r>
      <w:r w:rsidRPr="008516D1">
        <w:t>et</w:t>
      </w:r>
      <w:r>
        <w:t xml:space="preserve"> </w:t>
      </w:r>
      <w:r w:rsidRPr="008516D1">
        <w:t>2009,</w:t>
      </w:r>
      <w:r>
        <w:t xml:space="preserve"> </w:t>
      </w:r>
      <w:r w:rsidRPr="008516D1">
        <w:t>164</w:t>
      </w:r>
      <w:r>
        <w:t xml:space="preserve"> </w:t>
      </w:r>
      <w:r w:rsidRPr="008516D1">
        <w:t>entre</w:t>
      </w:r>
      <w:r>
        <w:t xml:space="preserve"> </w:t>
      </w:r>
      <w:r w:rsidRPr="008516D1">
        <w:t>2010</w:t>
      </w:r>
      <w:r>
        <w:t xml:space="preserve"> </w:t>
      </w:r>
      <w:r w:rsidRPr="008516D1">
        <w:t>et</w:t>
      </w:r>
      <w:r>
        <w:t xml:space="preserve"> </w:t>
      </w:r>
      <w:r w:rsidRPr="008516D1">
        <w:t>2014</w:t>
      </w:r>
      <w:r>
        <w:t xml:space="preserve"> </w:t>
      </w:r>
      <w:r w:rsidRPr="008516D1">
        <w:t>et</w:t>
      </w:r>
      <w:r>
        <w:t xml:space="preserve"> </w:t>
      </w:r>
      <w:r w:rsidRPr="008516D1">
        <w:t>74</w:t>
      </w:r>
      <w:r>
        <w:t xml:space="preserve"> </w:t>
      </w:r>
      <w:r w:rsidRPr="008516D1">
        <w:t>entre</w:t>
      </w:r>
      <w:r>
        <w:t xml:space="preserve"> </w:t>
      </w:r>
      <w:r w:rsidRPr="008516D1">
        <w:t>2015</w:t>
      </w:r>
      <w:r>
        <w:t xml:space="preserve"> </w:t>
      </w:r>
      <w:r w:rsidRPr="008516D1">
        <w:t>et</w:t>
      </w:r>
      <w:r>
        <w:t xml:space="preserve"> </w:t>
      </w:r>
      <w:r w:rsidRPr="008516D1">
        <w:t>2019.</w:t>
      </w:r>
      <w:r>
        <w:t xml:space="preserve"> </w:t>
      </w:r>
      <w:r w:rsidRPr="008516D1">
        <w:t>On</w:t>
      </w:r>
      <w:r>
        <w:t xml:space="preserve"> </w:t>
      </w:r>
      <w:r w:rsidRPr="008516D1">
        <w:t>compte</w:t>
      </w:r>
      <w:r>
        <w:t xml:space="preserve"> </w:t>
      </w:r>
      <w:r w:rsidRPr="008516D1">
        <w:t>actuellement</w:t>
      </w:r>
      <w:r>
        <w:t xml:space="preserve"> </w:t>
      </w:r>
      <w:r w:rsidRPr="008516D1">
        <w:t>490</w:t>
      </w:r>
      <w:r w:rsidR="00EE63B9">
        <w:t> </w:t>
      </w:r>
      <w:r w:rsidRPr="008516D1">
        <w:t>affaires</w:t>
      </w:r>
      <w:r>
        <w:t xml:space="preserve"> </w:t>
      </w:r>
      <w:r w:rsidRPr="008516D1">
        <w:t>en</w:t>
      </w:r>
      <w:r>
        <w:t xml:space="preserve"> </w:t>
      </w:r>
      <w:r w:rsidRPr="008516D1">
        <w:t>cours</w:t>
      </w:r>
      <w:r>
        <w:t xml:space="preserve"> </w:t>
      </w:r>
      <w:r w:rsidRPr="008516D1">
        <w:t>et</w:t>
      </w:r>
      <w:r>
        <w:t xml:space="preserve"> </w:t>
      </w:r>
      <w:r w:rsidRPr="008516D1">
        <w:t>15</w:t>
      </w:r>
      <w:r w:rsidR="00EE63B9">
        <w:t> </w:t>
      </w:r>
      <w:r w:rsidRPr="008516D1">
        <w:t>affaires</w:t>
      </w:r>
      <w:r>
        <w:t xml:space="preserve"> </w:t>
      </w:r>
      <w:r w:rsidRPr="008516D1">
        <w:t>archivées.</w:t>
      </w:r>
    </w:p>
    <w:p w14:paraId="0091FA65" w14:textId="77777777" w:rsidR="00286956" w:rsidRPr="008516D1" w:rsidRDefault="00286956" w:rsidP="00286956">
      <w:pPr>
        <w:pStyle w:val="SingleTxtG"/>
      </w:pPr>
      <w:r w:rsidRPr="008516D1">
        <w:t>110.</w:t>
      </w:r>
      <w:r w:rsidRPr="008516D1">
        <w:tab/>
        <w:t>Pour</w:t>
      </w:r>
      <w:r>
        <w:t xml:space="preserve"> </w:t>
      </w:r>
      <w:r w:rsidRPr="008516D1">
        <w:t>sa</w:t>
      </w:r>
      <w:r>
        <w:t xml:space="preserve"> </w:t>
      </w:r>
      <w:r w:rsidRPr="008516D1">
        <w:t>part,</w:t>
      </w:r>
      <w:r>
        <w:t xml:space="preserve"> </w:t>
      </w:r>
      <w:r w:rsidRPr="008516D1">
        <w:t>le</w:t>
      </w:r>
      <w:r>
        <w:t xml:space="preserve"> </w:t>
      </w:r>
      <w:r w:rsidRPr="008516D1">
        <w:t>Registre</w:t>
      </w:r>
      <w:r>
        <w:t xml:space="preserve"> </w:t>
      </w:r>
      <w:r w:rsidRPr="008516D1">
        <w:t>national</w:t>
      </w:r>
      <w:r>
        <w:t xml:space="preserve"> </w:t>
      </w:r>
      <w:r w:rsidRPr="008516D1">
        <w:t>des</w:t>
      </w:r>
      <w:r>
        <w:t xml:space="preserve"> </w:t>
      </w:r>
      <w:r w:rsidRPr="008516D1">
        <w:t>personnes</w:t>
      </w:r>
      <w:r>
        <w:t xml:space="preserve"> </w:t>
      </w:r>
      <w:r w:rsidRPr="008516D1">
        <w:t>a</w:t>
      </w:r>
      <w:r>
        <w:t xml:space="preserve"> </w:t>
      </w:r>
      <w:r w:rsidRPr="008516D1">
        <w:t>transmis</w:t>
      </w:r>
      <w:r>
        <w:t xml:space="preserve"> </w:t>
      </w:r>
      <w:r w:rsidRPr="008516D1">
        <w:t>des</w:t>
      </w:r>
      <w:r>
        <w:t xml:space="preserve"> </w:t>
      </w:r>
      <w:r w:rsidRPr="008516D1">
        <w:t>documents</w:t>
      </w:r>
      <w:r>
        <w:t xml:space="preserve"> </w:t>
      </w:r>
      <w:r w:rsidRPr="008516D1">
        <w:t>qui</w:t>
      </w:r>
      <w:r>
        <w:t xml:space="preserve"> </w:t>
      </w:r>
      <w:r w:rsidRPr="008516D1">
        <w:t>ont</w:t>
      </w:r>
      <w:r>
        <w:t xml:space="preserve"> </w:t>
      </w:r>
      <w:r w:rsidRPr="008516D1">
        <w:t>été</w:t>
      </w:r>
      <w:r>
        <w:t xml:space="preserve"> </w:t>
      </w:r>
      <w:r w:rsidRPr="008516D1">
        <w:t>intégrés</w:t>
      </w:r>
      <w:r>
        <w:t xml:space="preserve"> </w:t>
      </w:r>
      <w:r w:rsidRPr="008516D1">
        <w:t>dans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pour</w:t>
      </w:r>
      <w:r>
        <w:t xml:space="preserve"> </w:t>
      </w:r>
      <w:r w:rsidRPr="008516D1">
        <w:t>constituer</w:t>
      </w:r>
      <w:r>
        <w:t xml:space="preserve"> </w:t>
      </w:r>
      <w:r w:rsidRPr="008516D1">
        <w:t>un</w:t>
      </w:r>
      <w:r>
        <w:t xml:space="preserve"> </w:t>
      </w:r>
      <w:r w:rsidRPr="008516D1">
        <w:t>registre</w:t>
      </w:r>
      <w:r>
        <w:t xml:space="preserve"> </w:t>
      </w:r>
      <w:r w:rsidRPr="008516D1">
        <w:t>unique</w:t>
      </w:r>
      <w:r>
        <w:t xml:space="preserve"> </w:t>
      </w:r>
      <w:r w:rsidRPr="008516D1">
        <w:t>et</w:t>
      </w:r>
      <w:r>
        <w:t xml:space="preserve"> </w:t>
      </w:r>
      <w:r w:rsidRPr="008516D1">
        <w:t>harmonisé</w:t>
      </w:r>
      <w:r>
        <w:t xml:space="preserve"> </w:t>
      </w:r>
      <w:r w:rsidRPr="008516D1">
        <w:t>d</w:t>
      </w:r>
      <w:r>
        <w:t>’</w:t>
      </w:r>
      <w:r w:rsidRPr="008516D1">
        <w:t>informations</w:t>
      </w:r>
      <w:r>
        <w:t xml:space="preserve"> </w:t>
      </w:r>
      <w:r w:rsidRPr="008516D1">
        <w:t>sur</w:t>
      </w:r>
      <w:r>
        <w:t xml:space="preserve"> </w:t>
      </w:r>
      <w:r w:rsidRPr="008516D1">
        <w:t>ces</w:t>
      </w:r>
      <w:r>
        <w:t xml:space="preserve"> </w:t>
      </w:r>
      <w:r w:rsidRPr="008516D1">
        <w:t>personnes</w:t>
      </w:r>
      <w:r>
        <w:t xml:space="preserve"> </w:t>
      </w:r>
      <w:r w:rsidRPr="008516D1">
        <w:t>et</w:t>
      </w:r>
      <w:r>
        <w:t xml:space="preserve"> </w:t>
      </w:r>
      <w:r w:rsidRPr="008516D1">
        <w:t>mettre</w:t>
      </w:r>
      <w:r>
        <w:t xml:space="preserve"> </w:t>
      </w:r>
      <w:r w:rsidRPr="008516D1">
        <w:t>en</w:t>
      </w:r>
      <w:r>
        <w:t xml:space="preserve"> </w:t>
      </w:r>
      <w:r w:rsidRPr="008516D1">
        <w:t>place</w:t>
      </w:r>
      <w:r>
        <w:t xml:space="preserve"> </w:t>
      </w:r>
      <w:r w:rsidRPr="008516D1">
        <w:t>des</w:t>
      </w:r>
      <w:r>
        <w:t xml:space="preserve"> </w:t>
      </w:r>
      <w:r w:rsidRPr="008516D1">
        <w:t>mécanismes</w:t>
      </w:r>
      <w:r>
        <w:t xml:space="preserve"> </w:t>
      </w:r>
      <w:r w:rsidRPr="008516D1">
        <w:t>d</w:t>
      </w:r>
      <w:r>
        <w:t>’</w:t>
      </w:r>
      <w:r w:rsidRPr="008516D1">
        <w:t>échange</w:t>
      </w:r>
      <w:r>
        <w:t xml:space="preserve"> </w:t>
      </w:r>
      <w:r w:rsidRPr="008516D1">
        <w:t>d</w:t>
      </w:r>
      <w:r>
        <w:t>’</w:t>
      </w:r>
      <w:r w:rsidRPr="008516D1">
        <w:t>informations,</w:t>
      </w:r>
      <w:r>
        <w:t xml:space="preserve"> </w:t>
      </w:r>
      <w:r w:rsidRPr="008516D1">
        <w:t>en</w:t>
      </w:r>
      <w:r>
        <w:t xml:space="preserve"> </w:t>
      </w:r>
      <w:r w:rsidRPr="008516D1">
        <w:t>coordination</w:t>
      </w:r>
      <w:r>
        <w:t xml:space="preserve"> </w:t>
      </w:r>
      <w:r w:rsidRPr="008516D1">
        <w:t>avec</w:t>
      </w:r>
      <w:r>
        <w:t xml:space="preserve"> </w:t>
      </w:r>
      <w:r w:rsidRPr="008516D1">
        <w:t>le</w:t>
      </w:r>
      <w:r>
        <w:t xml:space="preserve"> </w:t>
      </w:r>
      <w:r w:rsidRPr="008516D1">
        <w:t>CICR.</w:t>
      </w:r>
    </w:p>
    <w:p w14:paraId="7B3FB2A7" w14:textId="49D925D0" w:rsidR="00286956" w:rsidRPr="00EE63B9" w:rsidRDefault="00286956" w:rsidP="00286956">
      <w:pPr>
        <w:pStyle w:val="SingleTxtG"/>
        <w:rPr>
          <w:spacing w:val="-1"/>
        </w:rPr>
      </w:pPr>
      <w:r w:rsidRPr="00EE63B9">
        <w:rPr>
          <w:spacing w:val="-1"/>
        </w:rPr>
        <w:t>111.</w:t>
      </w:r>
      <w:r w:rsidRPr="00EE63B9">
        <w:rPr>
          <w:spacing w:val="-1"/>
        </w:rPr>
        <w:tab/>
        <w:t xml:space="preserve">Le Registre national des personnes a également organisé une réunion d’échange d’expériences avec l’équipe informatique du Ministère de la justice et de la sécurité et la police scientifique de la République d’El Salvador, au sujet de la conception du système informatique </w:t>
      </w:r>
      <w:proofErr w:type="spellStart"/>
      <w:r w:rsidRPr="00EE63B9">
        <w:rPr>
          <w:spacing w:val="-1"/>
        </w:rPr>
        <w:t>multibiométrique</w:t>
      </w:r>
      <w:proofErr w:type="spellEnd"/>
      <w:r w:rsidRPr="00EE63B9">
        <w:rPr>
          <w:spacing w:val="-1"/>
        </w:rPr>
        <w:t>, des bonnes pratiques du Registre national des personnes physiques d’El</w:t>
      </w:r>
      <w:r w:rsidR="00751325">
        <w:rPr>
          <w:spacing w:val="-1"/>
        </w:rPr>
        <w:t> </w:t>
      </w:r>
      <w:r w:rsidRPr="00EE63B9">
        <w:rPr>
          <w:spacing w:val="-1"/>
        </w:rPr>
        <w:t>Salvador et de l’identification des empreintes des personnes décédées sans papiers.</w:t>
      </w:r>
    </w:p>
    <w:p w14:paraId="55B5B930" w14:textId="68F59509" w:rsidR="00286956" w:rsidRPr="008516D1" w:rsidRDefault="00286956" w:rsidP="00286956">
      <w:pPr>
        <w:pStyle w:val="SingleTxtG"/>
      </w:pPr>
      <w:r w:rsidRPr="008516D1">
        <w:t>112.</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29</w:t>
      </w:r>
      <w:r w:rsidR="00A74554">
        <w:t> d)</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garantir</w:t>
      </w:r>
      <w:r>
        <w:t xml:space="preserve"> </w:t>
      </w:r>
      <w:r w:rsidRPr="008516D1">
        <w:t>la</w:t>
      </w:r>
      <w:r>
        <w:t xml:space="preserve"> </w:t>
      </w:r>
      <w:r w:rsidRPr="008516D1">
        <w:t>collecte</w:t>
      </w:r>
      <w:r>
        <w:t xml:space="preserve"> </w:t>
      </w:r>
      <w:r w:rsidRPr="008516D1">
        <w:t>d</w:t>
      </w:r>
      <w:r>
        <w:t>’</w:t>
      </w:r>
      <w:r w:rsidRPr="008516D1">
        <w:t>informations</w:t>
      </w:r>
      <w:r>
        <w:t xml:space="preserve"> </w:t>
      </w:r>
      <w:r w:rsidRPr="008516D1">
        <w:rPr>
          <w:i/>
          <w:iCs/>
        </w:rPr>
        <w:t>ante</w:t>
      </w:r>
      <w:r>
        <w:rPr>
          <w:i/>
          <w:iCs/>
        </w:rPr>
        <w:t xml:space="preserve"> </w:t>
      </w:r>
      <w:r w:rsidRPr="008516D1">
        <w:rPr>
          <w:i/>
          <w:iCs/>
        </w:rPr>
        <w:t>mortem</w:t>
      </w:r>
      <w:r>
        <w:t xml:space="preserve"> </w:t>
      </w:r>
      <w:r w:rsidRPr="008516D1">
        <w:t>et</w:t>
      </w:r>
      <w:r>
        <w:t xml:space="preserve"> </w:t>
      </w:r>
      <w:r w:rsidRPr="008516D1">
        <w:t>leur</w:t>
      </w:r>
      <w:r>
        <w:t xml:space="preserve"> </w:t>
      </w:r>
      <w:r w:rsidRPr="008516D1">
        <w:t>intégration</w:t>
      </w:r>
      <w:r>
        <w:t xml:space="preserve"> </w:t>
      </w:r>
      <w:r w:rsidRPr="008516D1">
        <w:t>dans</w:t>
      </w:r>
      <w:r>
        <w:t xml:space="preserve"> </w:t>
      </w:r>
      <w:r w:rsidRPr="008516D1">
        <w:t>la</w:t>
      </w:r>
      <w:r>
        <w:t xml:space="preserve"> </w:t>
      </w:r>
      <w:r w:rsidRPr="008516D1">
        <w:t>base</w:t>
      </w:r>
      <w:r>
        <w:t xml:space="preserve"> </w:t>
      </w:r>
      <w:r w:rsidRPr="008516D1">
        <w:t>de</w:t>
      </w:r>
      <w:r>
        <w:t xml:space="preserve"> </w:t>
      </w:r>
      <w:r w:rsidRPr="008516D1">
        <w:t>données</w:t>
      </w:r>
      <w:r>
        <w:t xml:space="preserve"> </w:t>
      </w:r>
      <w:r w:rsidRPr="008516D1">
        <w:t>médico-légales,</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w:t>
      </w:r>
      <w:r>
        <w:t xml:space="preserve"> </w:t>
      </w:r>
      <w:r w:rsidRPr="008516D1">
        <w:t>Protocole</w:t>
      </w:r>
      <w:r>
        <w:t xml:space="preserve"> </w:t>
      </w:r>
      <w:r w:rsidRPr="008516D1">
        <w:t>applicable</w:t>
      </w:r>
      <w:r>
        <w:t xml:space="preserve"> </w:t>
      </w:r>
      <w:r w:rsidRPr="008516D1">
        <w:t>à</w:t>
      </w:r>
      <w:r>
        <w:t xml:space="preserve"> </w:t>
      </w:r>
      <w:r w:rsidRPr="008516D1">
        <w:t>la</w:t>
      </w:r>
      <w:r>
        <w:t xml:space="preserve"> </w:t>
      </w:r>
      <w:r w:rsidRPr="008516D1">
        <w:t>recherche</w:t>
      </w:r>
      <w:r>
        <w:t xml:space="preserve"> </w:t>
      </w:r>
      <w:r w:rsidRPr="008516D1">
        <w:t>des</w:t>
      </w:r>
      <w:r>
        <w:t xml:space="preserve"> </w:t>
      </w:r>
      <w:r w:rsidRPr="008516D1">
        <w:t>ressortissants</w:t>
      </w:r>
      <w:r>
        <w:t xml:space="preserve"> </w:t>
      </w:r>
      <w:r w:rsidRPr="008516D1">
        <w:t>honduriens</w:t>
      </w:r>
      <w:r>
        <w:t xml:space="preserve"> </w:t>
      </w:r>
      <w:r w:rsidRPr="008516D1">
        <w:t>disparus</w:t>
      </w:r>
      <w:r>
        <w:t xml:space="preserve"> </w:t>
      </w:r>
      <w:r w:rsidRPr="008516D1">
        <w:t>au</w:t>
      </w:r>
      <w:r>
        <w:t xml:space="preserve"> </w:t>
      </w:r>
      <w:r w:rsidRPr="008516D1">
        <w:t>Mexique</w:t>
      </w:r>
      <w:r>
        <w:t xml:space="preserve"> </w:t>
      </w:r>
      <w:r w:rsidRPr="008516D1">
        <w:t>a</w:t>
      </w:r>
      <w:r>
        <w:t xml:space="preserve"> </w:t>
      </w:r>
      <w:r w:rsidRPr="008516D1">
        <w:t>pour</w:t>
      </w:r>
      <w:r>
        <w:t xml:space="preserve"> </w:t>
      </w:r>
      <w:r w:rsidRPr="008516D1">
        <w:t>objet</w:t>
      </w:r>
      <w:r>
        <w:t xml:space="preserve"> </w:t>
      </w:r>
      <w:r w:rsidRPr="008516D1">
        <w:t>d</w:t>
      </w:r>
      <w:r>
        <w:t>’</w:t>
      </w:r>
      <w:r w:rsidRPr="008516D1">
        <w:t>enquêter</w:t>
      </w:r>
      <w:r>
        <w:t xml:space="preserve"> </w:t>
      </w:r>
      <w:r w:rsidRPr="008516D1">
        <w:t>et</w:t>
      </w:r>
      <w:r>
        <w:t xml:space="preserve"> </w:t>
      </w:r>
      <w:r w:rsidRPr="008516D1">
        <w:t>de</w:t>
      </w:r>
      <w:r>
        <w:t xml:space="preserve"> </w:t>
      </w:r>
      <w:r w:rsidRPr="008516D1">
        <w:t>localiser</w:t>
      </w:r>
      <w:r>
        <w:t xml:space="preserve"> </w:t>
      </w:r>
      <w:r w:rsidRPr="008516D1">
        <w:t>les</w:t>
      </w:r>
      <w:r>
        <w:t xml:space="preserve"> </w:t>
      </w:r>
      <w:r w:rsidRPr="008516D1">
        <w:t>migrants</w:t>
      </w:r>
      <w:r>
        <w:t xml:space="preserve"> </w:t>
      </w:r>
      <w:r w:rsidRPr="008516D1">
        <w:t>honduriens</w:t>
      </w:r>
      <w:r>
        <w:t xml:space="preserve"> </w:t>
      </w:r>
      <w:r w:rsidRPr="008516D1">
        <w:t>qui</w:t>
      </w:r>
      <w:r>
        <w:t xml:space="preserve"> </w:t>
      </w:r>
      <w:r w:rsidRPr="008516D1">
        <w:t>ont</w:t>
      </w:r>
      <w:r>
        <w:t xml:space="preserve"> </w:t>
      </w:r>
      <w:r w:rsidRPr="008516D1">
        <w:t>disparu</w:t>
      </w:r>
      <w:r>
        <w:t xml:space="preserve"> </w:t>
      </w:r>
      <w:r w:rsidRPr="008516D1">
        <w:t>pendant</w:t>
      </w:r>
      <w:r>
        <w:t xml:space="preserve"> </w:t>
      </w:r>
      <w:r w:rsidRPr="008516D1">
        <w:t>leur</w:t>
      </w:r>
      <w:r>
        <w:t xml:space="preserve"> </w:t>
      </w:r>
      <w:r w:rsidRPr="008516D1">
        <w:t>migration,</w:t>
      </w:r>
      <w:r>
        <w:t xml:space="preserve"> </w:t>
      </w:r>
      <w:r w:rsidRPr="008516D1">
        <w:t>qu</w:t>
      </w:r>
      <w:r>
        <w:t>’</w:t>
      </w:r>
      <w:r w:rsidRPr="008516D1">
        <w:t>ils</w:t>
      </w:r>
      <w:r>
        <w:t xml:space="preserve"> </w:t>
      </w:r>
      <w:r w:rsidRPr="008516D1">
        <w:t>soient</w:t>
      </w:r>
      <w:r>
        <w:t xml:space="preserve"> </w:t>
      </w:r>
      <w:r w:rsidRPr="008516D1">
        <w:t>en</w:t>
      </w:r>
      <w:r>
        <w:t xml:space="preserve"> </w:t>
      </w:r>
      <w:r w:rsidRPr="008516D1">
        <w:t>vie</w:t>
      </w:r>
      <w:r>
        <w:t xml:space="preserve"> </w:t>
      </w:r>
      <w:r w:rsidRPr="008516D1">
        <w:t>ou</w:t>
      </w:r>
      <w:r>
        <w:t xml:space="preserve"> </w:t>
      </w:r>
      <w:r w:rsidRPr="008516D1">
        <w:t>décédés.</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dispose</w:t>
      </w:r>
      <w:r>
        <w:t xml:space="preserve"> </w:t>
      </w:r>
      <w:r w:rsidRPr="008516D1">
        <w:t>également</w:t>
      </w:r>
      <w:r>
        <w:t xml:space="preserve"> </w:t>
      </w:r>
      <w:r w:rsidRPr="008516D1">
        <w:t>d</w:t>
      </w:r>
      <w:r>
        <w:t>’</w:t>
      </w:r>
      <w:r w:rsidRPr="008516D1">
        <w:t>un</w:t>
      </w:r>
      <w:r>
        <w:t xml:space="preserve"> </w:t>
      </w:r>
      <w:r w:rsidRPr="008516D1">
        <w:t>système</w:t>
      </w:r>
      <w:r>
        <w:t xml:space="preserve"> </w:t>
      </w:r>
      <w:r w:rsidRPr="008516D1">
        <w:t>interne</w:t>
      </w:r>
      <w:r>
        <w:t xml:space="preserve"> </w:t>
      </w:r>
      <w:r w:rsidRPr="008516D1">
        <w:t>de</w:t>
      </w:r>
      <w:r>
        <w:t xml:space="preserve"> </w:t>
      </w:r>
      <w:r w:rsidRPr="008516D1">
        <w:t>collecte</w:t>
      </w:r>
      <w:r>
        <w:t xml:space="preserve"> </w:t>
      </w:r>
      <w:r w:rsidRPr="008516D1">
        <w:t>de</w:t>
      </w:r>
      <w:r>
        <w:t xml:space="preserve"> </w:t>
      </w:r>
      <w:r w:rsidRPr="008516D1">
        <w:t>données</w:t>
      </w:r>
      <w:r>
        <w:t xml:space="preserve"> </w:t>
      </w:r>
      <w:r w:rsidRPr="008516D1">
        <w:rPr>
          <w:i/>
          <w:iCs/>
        </w:rPr>
        <w:t>ante</w:t>
      </w:r>
      <w:r>
        <w:rPr>
          <w:i/>
          <w:iCs/>
        </w:rPr>
        <w:t xml:space="preserve"> </w:t>
      </w:r>
      <w:r w:rsidRPr="008516D1">
        <w:rPr>
          <w:i/>
          <w:iCs/>
        </w:rPr>
        <w:t>mortem</w:t>
      </w:r>
      <w:r>
        <w:rPr>
          <w:i/>
          <w:iCs/>
        </w:rPr>
        <w:t xml:space="preserve"> </w:t>
      </w:r>
      <w:r w:rsidRPr="008516D1">
        <w:t>dont</w:t>
      </w:r>
      <w:r>
        <w:t xml:space="preserve"> </w:t>
      </w:r>
      <w:r w:rsidRPr="008516D1">
        <w:t>les</w:t>
      </w:r>
      <w:r>
        <w:t xml:space="preserve"> </w:t>
      </w:r>
      <w:r w:rsidRPr="008516D1">
        <w:t>données</w:t>
      </w:r>
      <w:r>
        <w:t xml:space="preserve"> </w:t>
      </w:r>
      <w:r w:rsidRPr="008516D1">
        <w:t>peuvent</w:t>
      </w:r>
      <w:r>
        <w:t xml:space="preserve"> </w:t>
      </w:r>
      <w:r w:rsidRPr="008516D1">
        <w:t>être</w:t>
      </w:r>
      <w:r w:rsidR="00EE63B9">
        <w:t> </w:t>
      </w:r>
      <w:r w:rsidRPr="008516D1">
        <w:t>échangées.</w:t>
      </w:r>
    </w:p>
    <w:p w14:paraId="378E49DE" w14:textId="5EDE19B7" w:rsidR="00286956" w:rsidRPr="008516D1" w:rsidRDefault="00286956" w:rsidP="00286956">
      <w:pPr>
        <w:pStyle w:val="SingleTxtG"/>
      </w:pPr>
      <w:r w:rsidRPr="008516D1">
        <w:t>113.</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29</w:t>
      </w:r>
      <w:r w:rsidR="00A74554">
        <w:t> e)</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les</w:t>
      </w:r>
      <w:r>
        <w:t xml:space="preserve"> </w:t>
      </w:r>
      <w:r w:rsidRPr="008516D1">
        <w:t>parents</w:t>
      </w:r>
      <w:r>
        <w:t xml:space="preserve"> </w:t>
      </w:r>
      <w:r w:rsidRPr="008516D1">
        <w:t>et</w:t>
      </w:r>
      <w:r>
        <w:t xml:space="preserve"> </w:t>
      </w:r>
      <w:r w:rsidRPr="008516D1">
        <w:t>les</w:t>
      </w:r>
      <w:r>
        <w:t xml:space="preserve"> </w:t>
      </w:r>
      <w:r w:rsidRPr="008516D1">
        <w:t>proches</w:t>
      </w:r>
      <w:r>
        <w:t xml:space="preserve"> </w:t>
      </w:r>
      <w:r w:rsidRPr="008516D1">
        <w:t>des</w:t>
      </w:r>
      <w:r>
        <w:t xml:space="preserve"> </w:t>
      </w:r>
      <w:r w:rsidRPr="008516D1">
        <w:t>personnes</w:t>
      </w:r>
      <w:r>
        <w:t xml:space="preserve"> </w:t>
      </w:r>
      <w:r w:rsidRPr="008516D1">
        <w:t>disparues,</w:t>
      </w:r>
      <w:r>
        <w:t xml:space="preserve"> </w:t>
      </w:r>
      <w:r w:rsidRPr="008516D1">
        <w:t>où</w:t>
      </w:r>
      <w:r>
        <w:t xml:space="preserve"> </w:t>
      </w:r>
      <w:r w:rsidRPr="008516D1">
        <w:t>qu</w:t>
      </w:r>
      <w:r>
        <w:t>’</w:t>
      </w:r>
      <w:r w:rsidRPr="008516D1">
        <w:t>ils</w:t>
      </w:r>
      <w:r>
        <w:t xml:space="preserve"> </w:t>
      </w:r>
      <w:r w:rsidRPr="008516D1">
        <w:t>résident,</w:t>
      </w:r>
      <w:r>
        <w:t xml:space="preserve"> </w:t>
      </w:r>
      <w:r w:rsidRPr="008516D1">
        <w:t>aient</w:t>
      </w:r>
      <w:r>
        <w:t xml:space="preserve"> </w:t>
      </w:r>
      <w:r w:rsidRPr="008516D1">
        <w:t>la</w:t>
      </w:r>
      <w:r>
        <w:t xml:space="preserve"> </w:t>
      </w:r>
      <w:r w:rsidRPr="008516D1">
        <w:t>possibilité</w:t>
      </w:r>
      <w:r>
        <w:t xml:space="preserve"> </w:t>
      </w:r>
      <w:r w:rsidRPr="008516D1">
        <w:t>d</w:t>
      </w:r>
      <w:r>
        <w:t>’</w:t>
      </w:r>
      <w:r w:rsidRPr="008516D1">
        <w:t>obtenir</w:t>
      </w:r>
      <w:r>
        <w:t xml:space="preserve"> </w:t>
      </w:r>
      <w:r w:rsidRPr="008516D1">
        <w:t>des</w:t>
      </w:r>
      <w:r>
        <w:t xml:space="preserve"> </w:t>
      </w:r>
      <w:r w:rsidRPr="008516D1">
        <w:t>informations</w:t>
      </w:r>
      <w:r>
        <w:t xml:space="preserve"> </w:t>
      </w:r>
      <w:r w:rsidRPr="008516D1">
        <w:t>et</w:t>
      </w:r>
      <w:r>
        <w:t xml:space="preserve"> </w:t>
      </w:r>
      <w:r w:rsidRPr="008516D1">
        <w:t>de</w:t>
      </w:r>
      <w:r>
        <w:t xml:space="preserve"> </w:t>
      </w:r>
      <w:r w:rsidRPr="008516D1">
        <w:t>participer</w:t>
      </w:r>
      <w:r>
        <w:t xml:space="preserve"> </w:t>
      </w:r>
      <w:r w:rsidRPr="008516D1">
        <w:t>aux</w:t>
      </w:r>
      <w:r>
        <w:t xml:space="preserve"> </w:t>
      </w:r>
      <w:r w:rsidRPr="008516D1">
        <w:t>enquêtes</w:t>
      </w:r>
      <w:r>
        <w:t xml:space="preserve"> </w:t>
      </w:r>
      <w:r w:rsidRPr="008516D1">
        <w:t>et</w:t>
      </w:r>
      <w:r>
        <w:t xml:space="preserve"> </w:t>
      </w:r>
      <w:r w:rsidRPr="008516D1">
        <w:t>aux</w:t>
      </w:r>
      <w:r>
        <w:t xml:space="preserve"> </w:t>
      </w:r>
      <w:r w:rsidRPr="008516D1">
        <w:t>activités</w:t>
      </w:r>
      <w:r>
        <w:t xml:space="preserve"> </w:t>
      </w:r>
      <w:r w:rsidRPr="008516D1">
        <w:t>de</w:t>
      </w:r>
      <w:r>
        <w:t xml:space="preserve"> </w:t>
      </w:r>
      <w:r w:rsidRPr="008516D1">
        <w:t>recherche,</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concernant</w:t>
      </w:r>
      <w:r>
        <w:t xml:space="preserve"> </w:t>
      </w:r>
      <w:r w:rsidRPr="008516D1">
        <w:t>les</w:t>
      </w:r>
      <w:r>
        <w:t xml:space="preserve"> </w:t>
      </w:r>
      <w:r w:rsidRPr="008516D1">
        <w:t>ressortissants</w:t>
      </w:r>
      <w:r>
        <w:t xml:space="preserve"> </w:t>
      </w:r>
      <w:r w:rsidRPr="008516D1">
        <w:t>honduriens</w:t>
      </w:r>
      <w:r>
        <w:t xml:space="preserve"> </w:t>
      </w:r>
      <w:r w:rsidRPr="008516D1">
        <w:t>disparus</w:t>
      </w:r>
      <w:r>
        <w:t xml:space="preserve"> </w:t>
      </w:r>
      <w:r w:rsidRPr="008516D1">
        <w:t>à</w:t>
      </w:r>
      <w:r>
        <w:t xml:space="preserve"> </w:t>
      </w:r>
      <w:r w:rsidRPr="008516D1">
        <w:t>l</w:t>
      </w:r>
      <w:r>
        <w:t>’</w:t>
      </w:r>
      <w:r w:rsidRPr="008516D1">
        <w:t>étranger,</w:t>
      </w:r>
      <w:r>
        <w:t xml:space="preserve"> </w:t>
      </w:r>
      <w:r w:rsidRPr="008516D1">
        <w:t>que</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w:t>
      </w:r>
      <w:r>
        <w:t>’</w:t>
      </w:r>
      <w:r w:rsidRPr="008516D1">
        <w:t>Association</w:t>
      </w:r>
      <w:r>
        <w:t xml:space="preserve"> </w:t>
      </w:r>
      <w:r w:rsidRPr="008516D1">
        <w:t>des</w:t>
      </w:r>
      <w:r>
        <w:t xml:space="preserve"> </w:t>
      </w:r>
      <w:r w:rsidRPr="008516D1">
        <w:t>sœurs</w:t>
      </w:r>
      <w:r>
        <w:t xml:space="preserve"> </w:t>
      </w:r>
      <w:r w:rsidRPr="008516D1">
        <w:t>missionnaires</w:t>
      </w:r>
      <w:r>
        <w:t xml:space="preserve"> </w:t>
      </w:r>
      <w:r w:rsidRPr="008516D1">
        <w:t>de</w:t>
      </w:r>
      <w:r>
        <w:t xml:space="preserve"> </w:t>
      </w:r>
      <w:r w:rsidR="00312EC8" w:rsidRPr="008516D1">
        <w:t>Saint</w:t>
      </w:r>
      <w:r w:rsidR="00312EC8">
        <w:t xml:space="preserve"> </w:t>
      </w:r>
      <w:r w:rsidRPr="008516D1">
        <w:t>Charles</w:t>
      </w:r>
      <w:r>
        <w:t xml:space="preserve"> </w:t>
      </w:r>
      <w:r w:rsidRPr="008516D1">
        <w:t>Borromée</w:t>
      </w:r>
      <w:r>
        <w:t xml:space="preserve"> </w:t>
      </w:r>
      <w:r w:rsidRPr="008516D1">
        <w:t>(</w:t>
      </w:r>
      <w:proofErr w:type="spellStart"/>
      <w:r w:rsidRPr="008516D1">
        <w:t>scalabriniennes</w:t>
      </w:r>
      <w:proofErr w:type="spellEnd"/>
      <w:r w:rsidRPr="008516D1">
        <w:t>),</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sa</w:t>
      </w:r>
      <w:r>
        <w:t xml:space="preserve"> </w:t>
      </w:r>
      <w:r w:rsidRPr="008516D1">
        <w:t>pastorale</w:t>
      </w:r>
      <w:r>
        <w:t xml:space="preserve"> </w:t>
      </w:r>
      <w:r w:rsidRPr="008516D1">
        <w:t>de</w:t>
      </w:r>
      <w:r>
        <w:t xml:space="preserve"> </w:t>
      </w:r>
      <w:r w:rsidRPr="008516D1">
        <w:t>la</w:t>
      </w:r>
      <w:r>
        <w:t xml:space="preserve"> </w:t>
      </w:r>
      <w:r w:rsidRPr="008516D1">
        <w:t>mobilité</w:t>
      </w:r>
      <w:r>
        <w:t xml:space="preserve"> </w:t>
      </w:r>
      <w:r w:rsidRPr="008516D1">
        <w:t>humaine,</w:t>
      </w:r>
      <w:r>
        <w:t xml:space="preserve"> </w:t>
      </w:r>
      <w:r w:rsidRPr="008516D1">
        <w:t>ont</w:t>
      </w:r>
      <w:r>
        <w:t xml:space="preserve"> </w:t>
      </w:r>
      <w:r w:rsidRPr="008516D1">
        <w:t>signé</w:t>
      </w:r>
      <w:r>
        <w:t xml:space="preserve"> </w:t>
      </w:r>
      <w:r w:rsidRPr="008516D1">
        <w:t>en</w:t>
      </w:r>
      <w:r>
        <w:t xml:space="preserve"> </w:t>
      </w:r>
      <w:r w:rsidRPr="008516D1">
        <w:t>2017,</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visant</w:t>
      </w:r>
      <w:r>
        <w:t xml:space="preserve"> </w:t>
      </w:r>
      <w:r w:rsidRPr="008516D1">
        <w:t>à</w:t>
      </w:r>
      <w:r>
        <w:t xml:space="preserve"> </w:t>
      </w:r>
      <w:r w:rsidRPr="008516D1">
        <w:t>protéger</w:t>
      </w:r>
      <w:r>
        <w:t xml:space="preserve"> </w:t>
      </w:r>
      <w:r w:rsidRPr="008516D1">
        <w:t>et</w:t>
      </w:r>
      <w:r>
        <w:t xml:space="preserve"> </w:t>
      </w:r>
      <w:r w:rsidRPr="008516D1">
        <w:t>à</w:t>
      </w:r>
      <w:r>
        <w:t xml:space="preserve"> </w:t>
      </w:r>
      <w:r w:rsidRPr="008516D1">
        <w:t>défendre</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migrants</w:t>
      </w:r>
      <w:r>
        <w:t xml:space="preserve"> </w:t>
      </w:r>
      <w:r w:rsidRPr="008516D1">
        <w:t>et</w:t>
      </w:r>
      <w:r>
        <w:t xml:space="preserve"> </w:t>
      </w:r>
      <w:r w:rsidRPr="008516D1">
        <w:t>de</w:t>
      </w:r>
      <w:r>
        <w:t xml:space="preserve"> </w:t>
      </w:r>
      <w:r w:rsidRPr="008516D1">
        <w:t>leurs</w:t>
      </w:r>
      <w:r>
        <w:t xml:space="preserve"> </w:t>
      </w:r>
      <w:r w:rsidRPr="008516D1">
        <w:t>familles,</w:t>
      </w:r>
      <w:r>
        <w:t xml:space="preserve"> </w:t>
      </w:r>
      <w:r w:rsidRPr="008516D1">
        <w:t>à</w:t>
      </w:r>
      <w:r>
        <w:t xml:space="preserve"> </w:t>
      </w:r>
      <w:r w:rsidRPr="008516D1">
        <w:t>apporter</w:t>
      </w:r>
      <w:r>
        <w:t xml:space="preserve"> </w:t>
      </w:r>
      <w:r w:rsidRPr="008516D1">
        <w:t>soutien</w:t>
      </w:r>
      <w:r>
        <w:t xml:space="preserve"> </w:t>
      </w:r>
      <w:r w:rsidRPr="008516D1">
        <w:t>et</w:t>
      </w:r>
      <w:r>
        <w:t xml:space="preserve"> </w:t>
      </w:r>
      <w:r w:rsidRPr="008516D1">
        <w:t>assistance</w:t>
      </w:r>
      <w:r>
        <w:t xml:space="preserve"> </w:t>
      </w:r>
      <w:r w:rsidRPr="008516D1">
        <w:t>aux</w:t>
      </w:r>
      <w:r>
        <w:t xml:space="preserve"> </w:t>
      </w:r>
      <w:r w:rsidRPr="008516D1">
        <w:t>proches</w:t>
      </w:r>
      <w:r>
        <w:t xml:space="preserve"> </w:t>
      </w:r>
      <w:r w:rsidRPr="008516D1">
        <w:t>de</w:t>
      </w:r>
      <w:r>
        <w:t xml:space="preserve"> </w:t>
      </w:r>
      <w:r w:rsidRPr="008516D1">
        <w:t>migrants</w:t>
      </w:r>
      <w:r>
        <w:t xml:space="preserve"> </w:t>
      </w:r>
      <w:r w:rsidRPr="008516D1">
        <w:t>disparus</w:t>
      </w:r>
      <w:r>
        <w:t xml:space="preserve"> </w:t>
      </w:r>
      <w:r w:rsidRPr="008516D1">
        <w:t>ou</w:t>
      </w:r>
      <w:r>
        <w:t xml:space="preserve"> </w:t>
      </w:r>
      <w:r w:rsidRPr="008516D1">
        <w:t>décédés</w:t>
      </w:r>
      <w:r>
        <w:t xml:space="preserve"> </w:t>
      </w:r>
      <w:r w:rsidRPr="008516D1">
        <w:t>pendant</w:t>
      </w:r>
      <w:r>
        <w:t xml:space="preserve"> </w:t>
      </w:r>
      <w:r w:rsidRPr="008516D1">
        <w:t>leur</w:t>
      </w:r>
      <w:r>
        <w:t xml:space="preserve"> </w:t>
      </w:r>
      <w:r w:rsidRPr="008516D1">
        <w:t>migration,</w:t>
      </w:r>
      <w:r>
        <w:t xml:space="preserve"> </w:t>
      </w:r>
      <w:r w:rsidRPr="008516D1">
        <w:t>à</w:t>
      </w:r>
      <w:r>
        <w:t xml:space="preserve"> </w:t>
      </w:r>
      <w:r w:rsidRPr="008516D1">
        <w:t>rechercher</w:t>
      </w:r>
      <w:r>
        <w:t xml:space="preserve"> </w:t>
      </w:r>
      <w:r w:rsidRPr="008516D1">
        <w:t>la</w:t>
      </w:r>
      <w:r>
        <w:t xml:space="preserve"> </w:t>
      </w:r>
      <w:r w:rsidRPr="008516D1">
        <w:t>vérité</w:t>
      </w:r>
      <w:r>
        <w:t xml:space="preserve"> </w:t>
      </w:r>
      <w:r w:rsidRPr="008516D1">
        <w:t>et</w:t>
      </w:r>
      <w:r>
        <w:t xml:space="preserve"> </w:t>
      </w:r>
      <w:r w:rsidRPr="008516D1">
        <w:t>la</w:t>
      </w:r>
      <w:r>
        <w:t xml:space="preserve"> </w:t>
      </w:r>
      <w:r w:rsidRPr="008516D1">
        <w:t>justice</w:t>
      </w:r>
      <w:r>
        <w:t xml:space="preserve"> </w:t>
      </w:r>
      <w:r w:rsidRPr="008516D1">
        <w:t>les</w:t>
      </w:r>
      <w:r>
        <w:t xml:space="preserve"> </w:t>
      </w:r>
      <w:r w:rsidRPr="008516D1">
        <w:t>concernant</w:t>
      </w:r>
      <w:r>
        <w:t xml:space="preserve"> </w:t>
      </w:r>
      <w:r w:rsidRPr="008516D1">
        <w:t>et</w:t>
      </w:r>
      <w:r>
        <w:t xml:space="preserve"> </w:t>
      </w:r>
      <w:r w:rsidRPr="008516D1">
        <w:t>à</w:t>
      </w:r>
      <w:r>
        <w:t xml:space="preserve"> </w:t>
      </w:r>
      <w:r w:rsidRPr="008516D1">
        <w:t>aider</w:t>
      </w:r>
      <w:r>
        <w:t xml:space="preserve"> </w:t>
      </w:r>
      <w:r w:rsidRPr="008516D1">
        <w:t>les</w:t>
      </w:r>
      <w:r>
        <w:t xml:space="preserve"> </w:t>
      </w:r>
      <w:r w:rsidRPr="008516D1">
        <w:t>proches</w:t>
      </w:r>
      <w:r>
        <w:t xml:space="preserve"> </w:t>
      </w:r>
      <w:r w:rsidRPr="008516D1">
        <w:t>de</w:t>
      </w:r>
      <w:r>
        <w:t xml:space="preserve"> </w:t>
      </w:r>
      <w:r w:rsidRPr="008516D1">
        <w:t>migrants</w:t>
      </w:r>
      <w:r>
        <w:t xml:space="preserve"> </w:t>
      </w:r>
      <w:r w:rsidRPr="008516D1">
        <w:t>privés</w:t>
      </w:r>
      <w:r>
        <w:t xml:space="preserve"> </w:t>
      </w:r>
      <w:r w:rsidRPr="008516D1">
        <w:t>de</w:t>
      </w:r>
      <w:r>
        <w:t xml:space="preserve"> </w:t>
      </w:r>
      <w:r w:rsidRPr="008516D1">
        <w:t>liberté</w:t>
      </w:r>
      <w:r>
        <w:t xml:space="preserve"> </w:t>
      </w:r>
      <w:r w:rsidRPr="008516D1">
        <w:t>dans</w:t>
      </w:r>
      <w:r>
        <w:t xml:space="preserve"> </w:t>
      </w:r>
      <w:r w:rsidRPr="008516D1">
        <w:t>d</w:t>
      </w:r>
      <w:r>
        <w:t>’</w:t>
      </w:r>
      <w:r w:rsidRPr="008516D1">
        <w:t>autres</w:t>
      </w:r>
      <w:r>
        <w:t xml:space="preserve"> </w:t>
      </w:r>
      <w:r w:rsidRPr="008516D1">
        <w:t>pays,</w:t>
      </w:r>
      <w:r>
        <w:t xml:space="preserve"> </w:t>
      </w:r>
      <w:r w:rsidRPr="008516D1">
        <w:t>afin</w:t>
      </w:r>
      <w:r>
        <w:t xml:space="preserve"> </w:t>
      </w:r>
      <w:r w:rsidRPr="008516D1">
        <w:t>que</w:t>
      </w:r>
      <w:r>
        <w:t xml:space="preserve"> </w:t>
      </w:r>
      <w:r w:rsidRPr="008516D1">
        <w:t>ceux-ci</w:t>
      </w:r>
      <w:r>
        <w:t xml:space="preserve"> </w:t>
      </w:r>
      <w:r w:rsidRPr="008516D1">
        <w:t>bénéficient</w:t>
      </w:r>
      <w:r>
        <w:t xml:space="preserve"> </w:t>
      </w:r>
      <w:r w:rsidRPr="008516D1">
        <w:t>d</w:t>
      </w:r>
      <w:r>
        <w:t>’</w:t>
      </w:r>
      <w:r w:rsidRPr="008516D1">
        <w:t>une</w:t>
      </w:r>
      <w:r>
        <w:t xml:space="preserve"> </w:t>
      </w:r>
      <w:r w:rsidRPr="008516D1">
        <w:t>procédure</w:t>
      </w:r>
      <w:r>
        <w:t xml:space="preserve"> </w:t>
      </w:r>
      <w:r w:rsidRPr="008516D1">
        <w:t>régulière</w:t>
      </w:r>
      <w:r w:rsidRPr="008516D1">
        <w:rPr>
          <w:rStyle w:val="Appelnotedebasdep"/>
        </w:rPr>
        <w:footnoteReference w:id="84"/>
      </w:r>
      <w:r w:rsidRPr="008516D1">
        <w:t>.</w:t>
      </w:r>
    </w:p>
    <w:p w14:paraId="68B4A4E9" w14:textId="12B938DE" w:rsidR="00286956" w:rsidRPr="008516D1" w:rsidRDefault="00286956" w:rsidP="00286956">
      <w:pPr>
        <w:pStyle w:val="SingleTxtG"/>
      </w:pPr>
      <w:r w:rsidRPr="008516D1">
        <w:t>114.</w:t>
      </w:r>
      <w:r w:rsidRPr="008516D1">
        <w:tab/>
        <w:t>En</w:t>
      </w:r>
      <w:r>
        <w:t xml:space="preserve"> </w:t>
      </w:r>
      <w:r w:rsidRPr="008516D1">
        <w:t>2020,</w:t>
      </w:r>
      <w:r>
        <w:t xml:space="preserve"> </w:t>
      </w:r>
      <w:r w:rsidRPr="008516D1">
        <w:t>quatre</w:t>
      </w:r>
      <w:r>
        <w:t xml:space="preserve"> </w:t>
      </w:r>
      <w:r w:rsidRPr="008516D1">
        <w:t>groupes</w:t>
      </w:r>
      <w:r>
        <w:t xml:space="preserve"> </w:t>
      </w:r>
      <w:r w:rsidRPr="008516D1">
        <w:t>d</w:t>
      </w:r>
      <w:r>
        <w:t>’</w:t>
      </w:r>
      <w:r w:rsidRPr="008516D1">
        <w:t>experts</w:t>
      </w:r>
      <w:r>
        <w:t xml:space="preserve"> </w:t>
      </w:r>
      <w:r w:rsidRPr="008516D1">
        <w:t>sur</w:t>
      </w:r>
      <w:r>
        <w:t xml:space="preserve"> </w:t>
      </w:r>
      <w:r w:rsidRPr="008516D1">
        <w:t>la</w:t>
      </w:r>
      <w:r>
        <w:t xml:space="preserve"> </w:t>
      </w:r>
      <w:r w:rsidRPr="008516D1">
        <w:t>recherche</w:t>
      </w:r>
      <w:r>
        <w:t xml:space="preserve"> </w:t>
      </w:r>
      <w:r w:rsidRPr="008516D1">
        <w:t>de</w:t>
      </w:r>
      <w:r>
        <w:t xml:space="preserve"> </w:t>
      </w:r>
      <w:r w:rsidRPr="008516D1">
        <w:t>migrants</w:t>
      </w:r>
      <w:r>
        <w:t xml:space="preserve"> </w:t>
      </w:r>
      <w:r w:rsidRPr="008516D1">
        <w:t>disparus</w:t>
      </w:r>
      <w:r>
        <w:t xml:space="preserve"> </w:t>
      </w:r>
      <w:r w:rsidRPr="008516D1">
        <w:t>avaient</w:t>
      </w:r>
      <w:r>
        <w:t xml:space="preserve"> </w:t>
      </w:r>
      <w:r w:rsidRPr="008516D1">
        <w:t>été</w:t>
      </w:r>
      <w:r w:rsidR="00EE63B9">
        <w:t> </w:t>
      </w:r>
      <w:r w:rsidRPr="008516D1">
        <w:t>mis</w:t>
      </w:r>
      <w:r>
        <w:t xml:space="preserve"> </w:t>
      </w:r>
      <w:r w:rsidRPr="008516D1">
        <w:t>en</w:t>
      </w:r>
      <w:r>
        <w:t xml:space="preserve"> </w:t>
      </w:r>
      <w:r w:rsidRPr="008516D1">
        <w:t>place</w:t>
      </w:r>
      <w:r>
        <w:t xml:space="preserve"> </w:t>
      </w:r>
      <w:r w:rsidRPr="008516D1">
        <w:t>grâce</w:t>
      </w:r>
      <w:r>
        <w:t xml:space="preserve"> </w:t>
      </w:r>
      <w:r w:rsidRPr="008516D1">
        <w:t>au</w:t>
      </w:r>
      <w:r>
        <w:t xml:space="preserve"> </w:t>
      </w:r>
      <w:r w:rsidRPr="008516D1">
        <w:t>soutien</w:t>
      </w:r>
      <w:r>
        <w:t xml:space="preserve"> </w:t>
      </w:r>
      <w:r w:rsidRPr="008516D1">
        <w:t>du</w:t>
      </w:r>
      <w:r>
        <w:t xml:space="preserve"> </w:t>
      </w:r>
      <w:r w:rsidRPr="008516D1">
        <w:t>CICR,</w:t>
      </w:r>
      <w:r>
        <w:t xml:space="preserve"> </w:t>
      </w:r>
      <w:r w:rsidRPr="008516D1">
        <w:t>avec</w:t>
      </w:r>
      <w:r>
        <w:t xml:space="preserve"> </w:t>
      </w:r>
      <w:r w:rsidRPr="008516D1">
        <w:t>la</w:t>
      </w:r>
      <w:r>
        <w:t xml:space="preserve"> </w:t>
      </w:r>
      <w:r w:rsidRPr="008516D1">
        <w:t>participation</w:t>
      </w:r>
      <w:r>
        <w:t xml:space="preserve"> </w:t>
      </w:r>
      <w:r w:rsidRPr="008516D1">
        <w:t>de</w:t>
      </w:r>
      <w:r>
        <w:t xml:space="preserve"> </w:t>
      </w:r>
      <w:r w:rsidRPr="008516D1">
        <w:t>19</w:t>
      </w:r>
      <w:r w:rsidR="00EE63B9">
        <w:t> </w:t>
      </w:r>
      <w:r w:rsidRPr="008516D1">
        <w:t>délégations</w:t>
      </w:r>
      <w:r>
        <w:t xml:space="preserve"> </w:t>
      </w:r>
      <w:r w:rsidRPr="008516D1">
        <w:t>représentant</w:t>
      </w:r>
      <w:r>
        <w:t xml:space="preserve"> </w:t>
      </w:r>
      <w:r w:rsidRPr="008516D1">
        <w:t>le</w:t>
      </w:r>
      <w:r>
        <w:t xml:space="preserve"> </w:t>
      </w:r>
      <w:r w:rsidRPr="008516D1">
        <w:t>Honduras,</w:t>
      </w:r>
      <w:r>
        <w:t xml:space="preserve"> </w:t>
      </w:r>
      <w:r w:rsidRPr="008516D1">
        <w:t>le</w:t>
      </w:r>
      <w:r>
        <w:t xml:space="preserve"> </w:t>
      </w:r>
      <w:r w:rsidRPr="008516D1">
        <w:t>Mexique,</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et</w:t>
      </w:r>
      <w:r>
        <w:t xml:space="preserve"> </w:t>
      </w:r>
      <w:r w:rsidRPr="008516D1">
        <w:t>les</w:t>
      </w:r>
      <w:r>
        <w:t xml:space="preserve"> </w:t>
      </w:r>
      <w:r w:rsidRPr="008516D1">
        <w:t>familles</w:t>
      </w:r>
      <w:r>
        <w:t xml:space="preserve"> </w:t>
      </w:r>
      <w:r w:rsidRPr="008516D1">
        <w:t>de</w:t>
      </w:r>
      <w:r>
        <w:t xml:space="preserve"> </w:t>
      </w:r>
      <w:r w:rsidRPr="008516D1">
        <w:t>personnes</w:t>
      </w:r>
      <w:r>
        <w:t xml:space="preserve"> </w:t>
      </w:r>
      <w:r w:rsidRPr="008516D1">
        <w:t>disparues</w:t>
      </w:r>
      <w:r w:rsidRPr="008516D1">
        <w:rPr>
          <w:rStyle w:val="Appelnotedebasdep"/>
        </w:rPr>
        <w:footnoteReference w:id="85"/>
      </w:r>
      <w:r w:rsidRPr="008516D1">
        <w:t>.</w:t>
      </w:r>
    </w:p>
    <w:p w14:paraId="7527619F" w14:textId="77777777" w:rsidR="00286956" w:rsidRPr="008516D1" w:rsidRDefault="00286956" w:rsidP="00286956">
      <w:pPr>
        <w:pStyle w:val="SingleTxtG"/>
      </w:pPr>
      <w:r w:rsidRPr="008516D1">
        <w:t>115.</w:t>
      </w:r>
      <w:r w:rsidRPr="008516D1">
        <w:tab/>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a</w:t>
      </w:r>
      <w:r>
        <w:t xml:space="preserve"> </w:t>
      </w:r>
      <w:r w:rsidRPr="008516D1">
        <w:t>dispensé</w:t>
      </w:r>
      <w:r>
        <w:t xml:space="preserve"> </w:t>
      </w:r>
      <w:r w:rsidRPr="008516D1">
        <w:t>à</w:t>
      </w:r>
      <w:r>
        <w:t xml:space="preserve"> </w:t>
      </w:r>
      <w:r w:rsidRPr="008516D1">
        <w:t>des</w:t>
      </w:r>
      <w:r>
        <w:t xml:space="preserve"> </w:t>
      </w:r>
      <w:r w:rsidRPr="008516D1">
        <w:t>membres</w:t>
      </w:r>
      <w:r>
        <w:t xml:space="preserve"> </w:t>
      </w:r>
      <w:r w:rsidRPr="008516D1">
        <w:t>d</w:t>
      </w:r>
      <w:r>
        <w:t>’</w:t>
      </w:r>
      <w:r w:rsidRPr="008516D1">
        <w:t>organisations</w:t>
      </w:r>
      <w:r>
        <w:t xml:space="preserve"> </w:t>
      </w:r>
      <w:r w:rsidRPr="008516D1">
        <w:t>de</w:t>
      </w:r>
      <w:r>
        <w:t xml:space="preserve"> </w:t>
      </w:r>
      <w:r w:rsidRPr="008516D1">
        <w:t>familles</w:t>
      </w:r>
      <w:r>
        <w:t xml:space="preserve"> </w:t>
      </w:r>
      <w:r w:rsidRPr="008516D1">
        <w:t>de</w:t>
      </w:r>
      <w:r>
        <w:t xml:space="preserve"> </w:t>
      </w:r>
      <w:r w:rsidRPr="008516D1">
        <w:t>migrants</w:t>
      </w:r>
      <w:r>
        <w:t xml:space="preserve"> </w:t>
      </w:r>
      <w:r w:rsidRPr="008516D1">
        <w:t>disparus</w:t>
      </w:r>
      <w:r>
        <w:t xml:space="preserve"> </w:t>
      </w:r>
      <w:r w:rsidRPr="008516D1">
        <w:t>(</w:t>
      </w:r>
      <w:r w:rsidRPr="008516D1">
        <w:rPr>
          <w:i/>
          <w:iCs/>
        </w:rPr>
        <w:t>Amor</w:t>
      </w:r>
      <w:r>
        <w:rPr>
          <w:i/>
          <w:iCs/>
        </w:rPr>
        <w:t xml:space="preserve"> </w:t>
      </w:r>
      <w:r w:rsidRPr="008516D1">
        <w:rPr>
          <w:i/>
          <w:iCs/>
        </w:rPr>
        <w:t>y</w:t>
      </w:r>
      <w:r>
        <w:rPr>
          <w:i/>
          <w:iCs/>
        </w:rPr>
        <w:t xml:space="preserve"> </w:t>
      </w:r>
      <w:r w:rsidRPr="008516D1">
        <w:rPr>
          <w:i/>
          <w:iCs/>
        </w:rPr>
        <w:t>Fe</w:t>
      </w:r>
      <w:r w:rsidRPr="008516D1">
        <w:t>,</w:t>
      </w:r>
      <w:r>
        <w:t xml:space="preserve"> </w:t>
      </w:r>
      <w:r w:rsidRPr="008516D1">
        <w:t>Comité</w:t>
      </w:r>
      <w:r>
        <w:t xml:space="preserve"> </w:t>
      </w:r>
      <w:r w:rsidRPr="008516D1">
        <w:t>des</w:t>
      </w:r>
      <w:r>
        <w:t xml:space="preserve"> </w:t>
      </w:r>
      <w:r w:rsidRPr="008516D1">
        <w:t>familles</w:t>
      </w:r>
      <w:r>
        <w:t xml:space="preserve"> </w:t>
      </w:r>
      <w:r w:rsidRPr="008516D1">
        <w:t>des</w:t>
      </w:r>
      <w:r>
        <w:t xml:space="preserve"> </w:t>
      </w:r>
      <w:r w:rsidRPr="008516D1">
        <w:t>migrants</w:t>
      </w:r>
      <w:r>
        <w:t xml:space="preserve"> </w:t>
      </w:r>
      <w:r w:rsidRPr="008516D1">
        <w:t>de</w:t>
      </w:r>
      <w:r>
        <w:t xml:space="preserve"> </w:t>
      </w:r>
      <w:r w:rsidRPr="008516D1">
        <w:t>Guadalupe</w:t>
      </w:r>
      <w:r>
        <w:t xml:space="preserve"> </w:t>
      </w:r>
      <w:proofErr w:type="spellStart"/>
      <w:r w:rsidRPr="008516D1">
        <w:t>Cedros</w:t>
      </w:r>
      <w:proofErr w:type="spellEnd"/>
      <w:r w:rsidRPr="008516D1">
        <w:t>,</w:t>
      </w:r>
      <w:r>
        <w:t xml:space="preserve"> </w:t>
      </w:r>
      <w:r w:rsidRPr="008516D1">
        <w:t>Comité</w:t>
      </w:r>
      <w:r>
        <w:t xml:space="preserve"> </w:t>
      </w:r>
      <w:r w:rsidRPr="008516D1">
        <w:t>des</w:t>
      </w:r>
      <w:r>
        <w:t xml:space="preserve"> </w:t>
      </w:r>
      <w:r w:rsidRPr="008516D1">
        <w:t>familles</w:t>
      </w:r>
      <w:r>
        <w:t xml:space="preserve"> </w:t>
      </w:r>
      <w:r w:rsidRPr="008516D1">
        <w:t>des</w:t>
      </w:r>
      <w:r>
        <w:t xml:space="preserve"> </w:t>
      </w:r>
      <w:r w:rsidRPr="008516D1">
        <w:t>migrants</w:t>
      </w:r>
      <w:r>
        <w:t xml:space="preserve"> </w:t>
      </w:r>
      <w:r w:rsidRPr="008516D1">
        <w:t>disparus</w:t>
      </w:r>
      <w:r>
        <w:t xml:space="preserve"> </w:t>
      </w:r>
      <w:r w:rsidRPr="008516D1">
        <w:t>d</w:t>
      </w:r>
      <w:r>
        <w:t>’</w:t>
      </w:r>
      <w:r w:rsidRPr="008516D1">
        <w:t>El</w:t>
      </w:r>
      <w:r>
        <w:t xml:space="preserve"> </w:t>
      </w:r>
      <w:proofErr w:type="spellStart"/>
      <w:r w:rsidRPr="008516D1">
        <w:t>Progreso</w:t>
      </w:r>
      <w:proofErr w:type="spellEnd"/>
      <w:r>
        <w:t xml:space="preserve"> </w:t>
      </w:r>
      <w:r w:rsidRPr="008516D1">
        <w:t>et</w:t>
      </w:r>
      <w:r>
        <w:t xml:space="preserve"> </w:t>
      </w:r>
      <w:r w:rsidRPr="008516D1">
        <w:t>Comité</w:t>
      </w:r>
      <w:r>
        <w:t xml:space="preserve"> </w:t>
      </w:r>
      <w:r w:rsidRPr="008516D1">
        <w:t>des</w:t>
      </w:r>
      <w:r>
        <w:t xml:space="preserve"> </w:t>
      </w:r>
      <w:r w:rsidRPr="008516D1">
        <w:t>familles</w:t>
      </w:r>
      <w:r>
        <w:t xml:space="preserve"> </w:t>
      </w:r>
      <w:r w:rsidRPr="008516D1">
        <w:t>de</w:t>
      </w:r>
      <w:r>
        <w:t xml:space="preserve"> </w:t>
      </w:r>
      <w:r w:rsidRPr="008516D1">
        <w:t>migrants</w:t>
      </w:r>
      <w:r>
        <w:t xml:space="preserve"> </w:t>
      </w:r>
      <w:r w:rsidRPr="008516D1">
        <w:t>originaires</w:t>
      </w:r>
      <w:r>
        <w:t xml:space="preserve"> </w:t>
      </w:r>
      <w:r w:rsidRPr="008516D1">
        <w:t>du</w:t>
      </w:r>
      <w:r>
        <w:t xml:space="preserve"> </w:t>
      </w:r>
      <w:r w:rsidRPr="008516D1">
        <w:t>centre</w:t>
      </w:r>
      <w:r>
        <w:t xml:space="preserve"> </w:t>
      </w:r>
      <w:r w:rsidRPr="008516D1">
        <w:t>du</w:t>
      </w:r>
      <w:r>
        <w:t xml:space="preserve"> </w:t>
      </w:r>
      <w:r w:rsidRPr="008516D1">
        <w:t>Honduras),</w:t>
      </w:r>
      <w:r>
        <w:t xml:space="preserve"> </w:t>
      </w:r>
      <w:r w:rsidRPr="008516D1">
        <w:t>toutes</w:t>
      </w:r>
      <w:r>
        <w:t xml:space="preserve"> </w:t>
      </w:r>
      <w:r w:rsidRPr="008516D1">
        <w:t>membres</w:t>
      </w:r>
      <w:r>
        <w:t xml:space="preserve"> </w:t>
      </w:r>
      <w:r w:rsidRPr="008516D1">
        <w:t>de</w:t>
      </w:r>
      <w:r>
        <w:t xml:space="preserve"> </w:t>
      </w:r>
      <w:r w:rsidRPr="008516D1">
        <w:t>l</w:t>
      </w:r>
      <w:r>
        <w:t>’</w:t>
      </w:r>
      <w:r w:rsidRPr="008516D1">
        <w:t>Union</w:t>
      </w:r>
      <w:r>
        <w:t xml:space="preserve"> </w:t>
      </w:r>
      <w:r w:rsidRPr="008516D1">
        <w:t>des</w:t>
      </w:r>
      <w:r>
        <w:t xml:space="preserve"> </w:t>
      </w:r>
      <w:r w:rsidRPr="008516D1">
        <w:t>comités</w:t>
      </w:r>
      <w:r>
        <w:t xml:space="preserve"> </w:t>
      </w:r>
      <w:r w:rsidRPr="008516D1">
        <w:t>des</w:t>
      </w:r>
      <w:r>
        <w:t xml:space="preserve"> </w:t>
      </w:r>
      <w:r w:rsidRPr="008516D1">
        <w:lastRenderedPageBreak/>
        <w:t>familles</w:t>
      </w:r>
      <w:r>
        <w:t xml:space="preserve"> </w:t>
      </w:r>
      <w:r w:rsidRPr="008516D1">
        <w:t>de</w:t>
      </w:r>
      <w:r>
        <w:t xml:space="preserve"> </w:t>
      </w:r>
      <w:r w:rsidRPr="008516D1">
        <w:t>migrants</w:t>
      </w:r>
      <w:r>
        <w:t xml:space="preserve"> </w:t>
      </w:r>
      <w:r w:rsidRPr="008516D1">
        <w:t>disparus</w:t>
      </w:r>
      <w:r>
        <w:t xml:space="preserve"> </w:t>
      </w:r>
      <w:r w:rsidRPr="008516D1">
        <w:t>au</w:t>
      </w:r>
      <w:r>
        <w:t xml:space="preserve"> </w:t>
      </w:r>
      <w:r w:rsidRPr="008516D1">
        <w:t>Honduras,</w:t>
      </w:r>
      <w:r>
        <w:t xml:space="preserve"> </w:t>
      </w:r>
      <w:r w:rsidRPr="008516D1">
        <w:t>une</w:t>
      </w:r>
      <w:r>
        <w:t xml:space="preserve"> </w:t>
      </w:r>
      <w:r w:rsidRPr="008516D1">
        <w:t>formation</w:t>
      </w:r>
      <w:r>
        <w:t xml:space="preserve"> </w:t>
      </w:r>
      <w:r w:rsidRPr="008516D1">
        <w:t>portant</w:t>
      </w:r>
      <w:r>
        <w:t xml:space="preserve"> </w:t>
      </w:r>
      <w:r w:rsidRPr="008516D1">
        <w:t>sur</w:t>
      </w:r>
      <w:r>
        <w:t xml:space="preserve"> </w:t>
      </w:r>
      <w:r w:rsidRPr="008516D1">
        <w:t>les</w:t>
      </w:r>
      <w:r>
        <w:t xml:space="preserve"> </w:t>
      </w:r>
      <w:r w:rsidRPr="008516D1">
        <w:t>disciplines</w:t>
      </w:r>
      <w:r>
        <w:t xml:space="preserve"> </w:t>
      </w:r>
      <w:r w:rsidRPr="008516D1">
        <w:t>médico-légales,</w:t>
      </w:r>
      <w:r>
        <w:t xml:space="preserve"> </w:t>
      </w:r>
      <w:r w:rsidRPr="008516D1">
        <w:t>et</w:t>
      </w:r>
      <w:r>
        <w:t xml:space="preserve"> </w:t>
      </w:r>
      <w:r w:rsidRPr="008516D1">
        <w:t>notamment</w:t>
      </w:r>
      <w:r>
        <w:t xml:space="preserve"> </w:t>
      </w:r>
      <w:r w:rsidRPr="008516D1">
        <w:t>sur</w:t>
      </w:r>
      <w:r>
        <w:t xml:space="preserve"> </w:t>
      </w:r>
      <w:r w:rsidRPr="008516D1">
        <w:t>les</w:t>
      </w:r>
      <w:r>
        <w:t xml:space="preserve"> </w:t>
      </w:r>
      <w:r w:rsidRPr="008516D1">
        <w:t>principes</w:t>
      </w:r>
      <w:r>
        <w:t xml:space="preserve"> </w:t>
      </w:r>
      <w:r w:rsidRPr="008516D1">
        <w:t>de</w:t>
      </w:r>
      <w:r>
        <w:t xml:space="preserve"> </w:t>
      </w:r>
      <w:r w:rsidRPr="008516D1">
        <w:t>base</w:t>
      </w:r>
      <w:r>
        <w:t xml:space="preserve"> </w:t>
      </w:r>
      <w:r w:rsidRPr="008516D1">
        <w:t>des</w:t>
      </w:r>
      <w:r>
        <w:t xml:space="preserve"> </w:t>
      </w:r>
      <w:r w:rsidRPr="008516D1">
        <w:t>entretiens</w:t>
      </w:r>
      <w:r>
        <w:t xml:space="preserve"> </w:t>
      </w:r>
      <w:r w:rsidRPr="008516D1">
        <w:rPr>
          <w:i/>
          <w:iCs/>
        </w:rPr>
        <w:t>ante</w:t>
      </w:r>
      <w:r>
        <w:rPr>
          <w:i/>
          <w:iCs/>
        </w:rPr>
        <w:t xml:space="preserve"> </w:t>
      </w:r>
      <w:r w:rsidRPr="008516D1">
        <w:rPr>
          <w:i/>
          <w:iCs/>
        </w:rPr>
        <w:t>mortem</w:t>
      </w:r>
      <w:r w:rsidRPr="008516D1">
        <w:t>,</w:t>
      </w:r>
      <w:r>
        <w:t xml:space="preserve"> </w:t>
      </w:r>
      <w:r w:rsidRPr="008516D1">
        <w:t>la</w:t>
      </w:r>
      <w:r>
        <w:t xml:space="preserve"> </w:t>
      </w:r>
      <w:r w:rsidRPr="008516D1">
        <w:t>différence</w:t>
      </w:r>
      <w:r>
        <w:t xml:space="preserve"> </w:t>
      </w:r>
      <w:r w:rsidRPr="008516D1">
        <w:t>entre</w:t>
      </w:r>
      <w:r>
        <w:t xml:space="preserve"> </w:t>
      </w:r>
      <w:r w:rsidRPr="008516D1">
        <w:t>reconnaissance</w:t>
      </w:r>
      <w:r>
        <w:t xml:space="preserve"> </w:t>
      </w:r>
      <w:r w:rsidRPr="008516D1">
        <w:t>et</w:t>
      </w:r>
      <w:r>
        <w:t xml:space="preserve"> </w:t>
      </w:r>
      <w:r w:rsidRPr="008516D1">
        <w:t>identification,</w:t>
      </w:r>
      <w:r>
        <w:t xml:space="preserve"> </w:t>
      </w:r>
      <w:r w:rsidRPr="008516D1">
        <w:t>l</w:t>
      </w:r>
      <w:r>
        <w:t>’</w:t>
      </w:r>
      <w:r w:rsidRPr="008516D1">
        <w:t>odontogramme,</w:t>
      </w:r>
      <w:r>
        <w:t xml:space="preserve"> </w:t>
      </w:r>
      <w:r w:rsidRPr="008516D1">
        <w:t>l</w:t>
      </w:r>
      <w:r>
        <w:t>’</w:t>
      </w:r>
      <w:r w:rsidRPr="008516D1">
        <w:t>anthropologie,</w:t>
      </w:r>
      <w:r>
        <w:t xml:space="preserve"> </w:t>
      </w:r>
      <w:r w:rsidRPr="008516D1">
        <w:t>l</w:t>
      </w:r>
      <w:r>
        <w:t>’</w:t>
      </w:r>
      <w:r w:rsidRPr="008516D1">
        <w:t>archéologie</w:t>
      </w:r>
      <w:r>
        <w:t xml:space="preserve"> </w:t>
      </w:r>
      <w:r w:rsidRPr="008516D1">
        <w:t>et</w:t>
      </w:r>
      <w:r>
        <w:t xml:space="preserve"> </w:t>
      </w:r>
      <w:r w:rsidRPr="008516D1">
        <w:t>la</w:t>
      </w:r>
      <w:r>
        <w:t xml:space="preserve"> </w:t>
      </w:r>
      <w:r w:rsidRPr="008516D1">
        <w:t>génétique</w:t>
      </w:r>
      <w:r>
        <w:t xml:space="preserve"> </w:t>
      </w:r>
      <w:r w:rsidRPr="008516D1">
        <w:t>médico-légale</w:t>
      </w:r>
      <w:r w:rsidRPr="008516D1">
        <w:rPr>
          <w:rStyle w:val="Appelnotedebasdep"/>
        </w:rPr>
        <w:footnoteReference w:id="86"/>
      </w:r>
      <w:r w:rsidRPr="008516D1">
        <w:t>.</w:t>
      </w:r>
    </w:p>
    <w:p w14:paraId="02D90EF2" w14:textId="77777777" w:rsidR="00286956" w:rsidRPr="008516D1" w:rsidRDefault="00286956" w:rsidP="00286956">
      <w:pPr>
        <w:pStyle w:val="SingleTxtG"/>
      </w:pPr>
      <w:r w:rsidRPr="008516D1">
        <w:t>116.</w:t>
      </w:r>
      <w:r w:rsidRPr="008516D1">
        <w:tab/>
        <w:t>En</w:t>
      </w:r>
      <w:r>
        <w:t xml:space="preserve"> </w:t>
      </w:r>
      <w:r w:rsidRPr="008516D1">
        <w:t>outre,</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et</w:t>
      </w:r>
      <w:r>
        <w:t xml:space="preserve"> </w:t>
      </w:r>
      <w:r w:rsidRPr="008516D1">
        <w:t>le</w:t>
      </w:r>
      <w:r>
        <w:t xml:space="preserve"> </w:t>
      </w:r>
      <w:r w:rsidRPr="008516D1">
        <w:t>Forum</w:t>
      </w:r>
      <w:r>
        <w:t xml:space="preserve"> </w:t>
      </w:r>
      <w:r w:rsidRPr="008516D1">
        <w:t>national</w:t>
      </w:r>
      <w:r>
        <w:t xml:space="preserve"> </w:t>
      </w:r>
      <w:r w:rsidRPr="008516D1">
        <w:t>sur</w:t>
      </w:r>
      <w:r>
        <w:t xml:space="preserve"> </w:t>
      </w:r>
      <w:r w:rsidRPr="008516D1">
        <w:t>les</w:t>
      </w:r>
      <w:r>
        <w:t xml:space="preserve"> </w:t>
      </w:r>
      <w:r w:rsidRPr="008516D1">
        <w:t>migrations</w:t>
      </w:r>
      <w:r>
        <w:t xml:space="preserve"> </w:t>
      </w:r>
      <w:r w:rsidRPr="008516D1">
        <w:t>au</w:t>
      </w:r>
      <w:r>
        <w:t xml:space="preserve"> </w:t>
      </w:r>
      <w:r w:rsidRPr="008516D1">
        <w:t>Honduras</w:t>
      </w:r>
      <w:r>
        <w:t xml:space="preserve"> </w:t>
      </w:r>
      <w:r w:rsidRPr="008516D1">
        <w:t>viennent</w:t>
      </w:r>
      <w:r>
        <w:t xml:space="preserve"> </w:t>
      </w:r>
      <w:r w:rsidRPr="008516D1">
        <w:t>en</w:t>
      </w:r>
      <w:r>
        <w:t xml:space="preserve"> </w:t>
      </w:r>
      <w:r w:rsidRPr="008516D1">
        <w:t>aide</w:t>
      </w:r>
      <w:r>
        <w:t xml:space="preserve"> </w:t>
      </w:r>
      <w:r w:rsidRPr="008516D1">
        <w:t>aux</w:t>
      </w:r>
      <w:r>
        <w:t xml:space="preserve"> </w:t>
      </w:r>
      <w:r w:rsidRPr="008516D1">
        <w:t>familles</w:t>
      </w:r>
      <w:r>
        <w:t xml:space="preserve"> </w:t>
      </w:r>
      <w:r w:rsidRPr="008516D1">
        <w:t>de</w:t>
      </w:r>
      <w:r>
        <w:t xml:space="preserve"> </w:t>
      </w:r>
      <w:r w:rsidRPr="008516D1">
        <w:t>migrants</w:t>
      </w:r>
      <w:r>
        <w:t xml:space="preserve"> </w:t>
      </w:r>
      <w:r w:rsidRPr="008516D1">
        <w:t>disparus,</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projets</w:t>
      </w:r>
      <w:r>
        <w:t xml:space="preserve"> </w:t>
      </w:r>
      <w:r w:rsidRPr="008516D1">
        <w:t>financés</w:t>
      </w:r>
      <w:r>
        <w:t xml:space="preserve"> </w:t>
      </w:r>
      <w:r w:rsidRPr="008516D1">
        <w:t>par</w:t>
      </w:r>
      <w:r>
        <w:t xml:space="preserve"> </w:t>
      </w:r>
      <w:r w:rsidRPr="008516D1">
        <w:t>le</w:t>
      </w:r>
      <w:r>
        <w:t xml:space="preserve"> </w:t>
      </w:r>
      <w:r w:rsidRPr="008516D1">
        <w:t>Fonds</w:t>
      </w:r>
      <w:r>
        <w:t xml:space="preserve"> </w:t>
      </w:r>
      <w:r w:rsidRPr="008516D1">
        <w:t>de</w:t>
      </w:r>
      <w:r>
        <w:t xml:space="preserve"> </w:t>
      </w:r>
      <w:r w:rsidRPr="008516D1">
        <w:t>solidarité</w:t>
      </w:r>
      <w:r>
        <w:t xml:space="preserve"> </w:t>
      </w:r>
      <w:r w:rsidRPr="008516D1">
        <w:t>pour</w:t>
      </w:r>
      <w:r>
        <w:t xml:space="preserve"> </w:t>
      </w:r>
      <w:r w:rsidRPr="008516D1">
        <w:t>les</w:t>
      </w:r>
      <w:r>
        <w:t xml:space="preserve"> </w:t>
      </w:r>
      <w:r w:rsidRPr="008516D1">
        <w:t>migrants</w:t>
      </w:r>
      <w:r>
        <w:t xml:space="preserve"> </w:t>
      </w:r>
      <w:r w:rsidRPr="008516D1">
        <w:t>honduriens,</w:t>
      </w:r>
      <w:r>
        <w:t xml:space="preserve"> </w:t>
      </w:r>
      <w:r w:rsidRPr="008516D1">
        <w:t>parmi</w:t>
      </w:r>
      <w:r>
        <w:t xml:space="preserve"> </w:t>
      </w:r>
      <w:r w:rsidRPr="008516D1">
        <w:t>lesquels</w:t>
      </w:r>
      <w:r>
        <w:t xml:space="preserve"> </w:t>
      </w:r>
      <w:r w:rsidRPr="008516D1">
        <w:t>il</w:t>
      </w:r>
      <w:r>
        <w:t xml:space="preserve"> </w:t>
      </w:r>
      <w:r w:rsidRPr="008516D1">
        <w:t>convient</w:t>
      </w:r>
      <w:r>
        <w:t xml:space="preserve"> </w:t>
      </w:r>
      <w:r w:rsidRPr="008516D1">
        <w:t>de</w:t>
      </w:r>
      <w:r>
        <w:t xml:space="preserve"> </w:t>
      </w:r>
      <w:r w:rsidRPr="008516D1">
        <w:t>citer</w:t>
      </w:r>
      <w:r>
        <w:t xml:space="preserve"> </w:t>
      </w:r>
      <w:r w:rsidRPr="008516D1">
        <w:t>la</w:t>
      </w:r>
      <w:r>
        <w:t xml:space="preserve"> </w:t>
      </w:r>
      <w:r w:rsidRPr="008516D1">
        <w:t>Stratégie</w:t>
      </w:r>
      <w:r>
        <w:t xml:space="preserve"> </w:t>
      </w:r>
      <w:r w:rsidRPr="008516D1">
        <w:t>pour</w:t>
      </w:r>
      <w:r>
        <w:t xml:space="preserve"> </w:t>
      </w:r>
      <w:r w:rsidRPr="008516D1">
        <w:t>le</w:t>
      </w:r>
      <w:r>
        <w:t xml:space="preserve"> </w:t>
      </w:r>
      <w:r w:rsidRPr="008516D1">
        <w:t>renforcement</w:t>
      </w:r>
      <w:r>
        <w:t xml:space="preserve"> </w:t>
      </w:r>
      <w:r w:rsidRPr="008516D1">
        <w:t>et</w:t>
      </w:r>
      <w:r>
        <w:t xml:space="preserve"> </w:t>
      </w:r>
      <w:r w:rsidRPr="008516D1">
        <w:t>l</w:t>
      </w:r>
      <w:r>
        <w:t>’</w:t>
      </w:r>
      <w:r w:rsidRPr="008516D1">
        <w:t>amélioration</w:t>
      </w:r>
      <w:r>
        <w:t xml:space="preserve"> </w:t>
      </w:r>
      <w:r w:rsidRPr="008516D1">
        <w:t>de</w:t>
      </w:r>
      <w:r>
        <w:t xml:space="preserve"> </w:t>
      </w:r>
      <w:r w:rsidRPr="008516D1">
        <w:t>la</w:t>
      </w:r>
      <w:r>
        <w:t xml:space="preserve"> </w:t>
      </w:r>
      <w:r w:rsidRPr="008516D1">
        <w:t>qualité</w:t>
      </w:r>
      <w:r>
        <w:t xml:space="preserve"> </w:t>
      </w:r>
      <w:r w:rsidRPr="008516D1">
        <w:t>de</w:t>
      </w:r>
      <w:r>
        <w:t xml:space="preserve"> </w:t>
      </w:r>
      <w:r w:rsidRPr="008516D1">
        <w:t>vie</w:t>
      </w:r>
      <w:r>
        <w:t xml:space="preserve"> </w:t>
      </w:r>
      <w:r w:rsidRPr="008516D1">
        <w:t>grâce</w:t>
      </w:r>
      <w:r>
        <w:t xml:space="preserve"> </w:t>
      </w:r>
      <w:r w:rsidRPr="008516D1">
        <w:t>à</w:t>
      </w:r>
      <w:r>
        <w:t xml:space="preserve"> </w:t>
      </w:r>
      <w:r w:rsidRPr="008516D1">
        <w:t>la</w:t>
      </w:r>
      <w:r>
        <w:t xml:space="preserve"> </w:t>
      </w:r>
      <w:r w:rsidRPr="008516D1">
        <w:t>création</w:t>
      </w:r>
      <w:r>
        <w:t xml:space="preserve"> </w:t>
      </w:r>
      <w:r w:rsidRPr="008516D1">
        <w:t>d</w:t>
      </w:r>
      <w:r>
        <w:t>’</w:t>
      </w:r>
      <w:r w:rsidRPr="008516D1">
        <w:t>entreprises.</w:t>
      </w:r>
      <w:r>
        <w:t xml:space="preserve"> </w:t>
      </w:r>
      <w:r w:rsidRPr="008516D1">
        <w:t>Destinée</w:t>
      </w:r>
      <w:r>
        <w:t xml:space="preserve"> </w:t>
      </w:r>
      <w:r w:rsidRPr="008516D1">
        <w:t>notamment</w:t>
      </w:r>
      <w:r>
        <w:t xml:space="preserve"> </w:t>
      </w:r>
      <w:r w:rsidRPr="008516D1">
        <w:t>aux</w:t>
      </w:r>
      <w:r>
        <w:t xml:space="preserve"> </w:t>
      </w:r>
      <w:r w:rsidRPr="008516D1">
        <w:t>familles</w:t>
      </w:r>
      <w:r>
        <w:t xml:space="preserve"> </w:t>
      </w:r>
      <w:r w:rsidRPr="008516D1">
        <w:t>de</w:t>
      </w:r>
      <w:r>
        <w:t xml:space="preserve"> </w:t>
      </w:r>
      <w:r w:rsidRPr="008516D1">
        <w:t>migrants</w:t>
      </w:r>
      <w:r>
        <w:t xml:space="preserve"> </w:t>
      </w:r>
      <w:r w:rsidRPr="008516D1">
        <w:t>disparus,</w:t>
      </w:r>
      <w:r>
        <w:t xml:space="preserve"> </w:t>
      </w:r>
      <w:r w:rsidRPr="008516D1">
        <w:t>aux</w:t>
      </w:r>
      <w:r>
        <w:t xml:space="preserve"> </w:t>
      </w:r>
      <w:r w:rsidRPr="008516D1">
        <w:t>mères</w:t>
      </w:r>
      <w:r>
        <w:t xml:space="preserve"> </w:t>
      </w:r>
      <w:r w:rsidRPr="008516D1">
        <w:t>célibataires</w:t>
      </w:r>
      <w:r>
        <w:t xml:space="preserve"> </w:t>
      </w:r>
      <w:r w:rsidRPr="008516D1">
        <w:t>et</w:t>
      </w:r>
      <w:r>
        <w:t xml:space="preserve"> </w:t>
      </w:r>
      <w:r w:rsidRPr="008516D1">
        <w:t>aux</w:t>
      </w:r>
      <w:r>
        <w:t xml:space="preserve"> </w:t>
      </w:r>
      <w:r w:rsidRPr="008516D1">
        <w:t>jeunes</w:t>
      </w:r>
      <w:r>
        <w:t xml:space="preserve"> </w:t>
      </w:r>
      <w:r w:rsidRPr="008516D1">
        <w:t>migrants</w:t>
      </w:r>
      <w:r>
        <w:t xml:space="preserve"> </w:t>
      </w:r>
      <w:r w:rsidRPr="008516D1">
        <w:t>de</w:t>
      </w:r>
      <w:r>
        <w:t xml:space="preserve"> </w:t>
      </w:r>
      <w:r w:rsidRPr="008516D1">
        <w:t>retour</w:t>
      </w:r>
      <w:r>
        <w:t xml:space="preserve"> </w:t>
      </w:r>
      <w:r w:rsidRPr="008516D1">
        <w:t>au</w:t>
      </w:r>
      <w:r>
        <w:t xml:space="preserve"> </w:t>
      </w:r>
      <w:r w:rsidRPr="008516D1">
        <w:t>pays,</w:t>
      </w:r>
      <w:r>
        <w:t xml:space="preserve"> </w:t>
      </w:r>
      <w:r w:rsidRPr="008516D1">
        <w:t>cette</w:t>
      </w:r>
      <w:r>
        <w:t xml:space="preserve"> </w:t>
      </w:r>
      <w:r w:rsidRPr="008516D1">
        <w:t>stratégie</w:t>
      </w:r>
      <w:r>
        <w:t xml:space="preserve"> </w:t>
      </w:r>
      <w:r w:rsidRPr="008516D1">
        <w:t>a</w:t>
      </w:r>
      <w:r>
        <w:t xml:space="preserve"> </w:t>
      </w:r>
      <w:r w:rsidRPr="008516D1">
        <w:t>pour</w:t>
      </w:r>
      <w:r>
        <w:t xml:space="preserve"> </w:t>
      </w:r>
      <w:r w:rsidRPr="008516D1">
        <w:t>objectif</w:t>
      </w:r>
      <w:r>
        <w:t xml:space="preserve"> </w:t>
      </w:r>
      <w:r w:rsidRPr="008516D1">
        <w:t>de</w:t>
      </w:r>
      <w:r>
        <w:t xml:space="preserve"> </w:t>
      </w:r>
      <w:r w:rsidRPr="008516D1">
        <w:t>promouvoir</w:t>
      </w:r>
      <w:r>
        <w:t xml:space="preserve"> </w:t>
      </w:r>
      <w:r w:rsidRPr="008516D1">
        <w:t>le</w:t>
      </w:r>
      <w:r>
        <w:t xml:space="preserve"> </w:t>
      </w:r>
      <w:r w:rsidRPr="008516D1">
        <w:t>respect</w:t>
      </w:r>
      <w:r>
        <w:t xml:space="preserve"> </w:t>
      </w:r>
      <w:r w:rsidRPr="008516D1">
        <w:t>et</w:t>
      </w:r>
      <w:r>
        <w:t xml:space="preserve"> </w:t>
      </w:r>
      <w:r w:rsidRPr="008516D1">
        <w:t>la</w:t>
      </w:r>
      <w:r>
        <w:t xml:space="preserve"> </w:t>
      </w:r>
      <w:r w:rsidRPr="008516D1">
        <w:t>défense</w:t>
      </w:r>
      <w:r>
        <w:t xml:space="preserve"> </w:t>
      </w:r>
      <w:r w:rsidRPr="008516D1">
        <w:t>des</w:t>
      </w:r>
      <w:r>
        <w:t xml:space="preserve"> </w:t>
      </w:r>
      <w:r w:rsidRPr="008516D1">
        <w:t>droits</w:t>
      </w:r>
      <w:r>
        <w:t xml:space="preserve"> </w:t>
      </w:r>
      <w:r w:rsidRPr="008516D1">
        <w:t>des</w:t>
      </w:r>
      <w:r>
        <w:t xml:space="preserve"> </w:t>
      </w:r>
      <w:r w:rsidRPr="008516D1">
        <w:t>migrants</w:t>
      </w:r>
      <w:r>
        <w:t xml:space="preserve"> </w:t>
      </w:r>
      <w:r w:rsidRPr="008516D1">
        <w:t>de</w:t>
      </w:r>
      <w:r>
        <w:t xml:space="preserve"> </w:t>
      </w:r>
      <w:r w:rsidRPr="008516D1">
        <w:t>retour</w:t>
      </w:r>
      <w:r>
        <w:t xml:space="preserve"> </w:t>
      </w:r>
      <w:r w:rsidRPr="008516D1">
        <w:t>au</w:t>
      </w:r>
      <w:r>
        <w:t xml:space="preserve"> </w:t>
      </w:r>
      <w:r w:rsidRPr="008516D1">
        <w:t>pays</w:t>
      </w:r>
      <w:r>
        <w:t xml:space="preserve"> </w:t>
      </w:r>
      <w:r w:rsidRPr="008516D1">
        <w:t>et</w:t>
      </w:r>
      <w:r>
        <w:t xml:space="preserve"> </w:t>
      </w:r>
      <w:r w:rsidRPr="008516D1">
        <w:t>des</w:t>
      </w:r>
      <w:r>
        <w:t xml:space="preserve"> </w:t>
      </w:r>
      <w:r w:rsidRPr="008516D1">
        <w:t>proches</w:t>
      </w:r>
      <w:r>
        <w:t xml:space="preserve"> </w:t>
      </w:r>
      <w:r w:rsidRPr="008516D1">
        <w:t>de</w:t>
      </w:r>
      <w:r>
        <w:t xml:space="preserve"> </w:t>
      </w:r>
      <w:r w:rsidRPr="008516D1">
        <w:t>migrants</w:t>
      </w:r>
      <w:r>
        <w:t xml:space="preserve"> </w:t>
      </w:r>
      <w:r w:rsidRPr="008516D1">
        <w:t>disparus</w:t>
      </w:r>
      <w:r>
        <w:t xml:space="preserve"> </w:t>
      </w:r>
      <w:r w:rsidRPr="008516D1">
        <w:t>pendant</w:t>
      </w:r>
      <w:r>
        <w:t xml:space="preserve"> </w:t>
      </w:r>
      <w:r w:rsidRPr="008516D1">
        <w:t>leur</w:t>
      </w:r>
      <w:r>
        <w:t xml:space="preserve"> </w:t>
      </w:r>
      <w:r w:rsidRPr="008516D1">
        <w:t>migration,</w:t>
      </w:r>
      <w:r>
        <w:t xml:space="preserve"> </w:t>
      </w:r>
      <w:r w:rsidRPr="008516D1">
        <w:t>grâce</w:t>
      </w:r>
      <w:r>
        <w:t xml:space="preserve"> </w:t>
      </w:r>
      <w:r w:rsidRPr="008516D1">
        <w:t>à</w:t>
      </w:r>
      <w:r>
        <w:t xml:space="preserve"> </w:t>
      </w:r>
      <w:r w:rsidRPr="008516D1">
        <w:t>des</w:t>
      </w:r>
      <w:r>
        <w:t xml:space="preserve"> </w:t>
      </w:r>
      <w:r w:rsidRPr="008516D1">
        <w:t>initiatives</w:t>
      </w:r>
      <w:r>
        <w:t xml:space="preserve"> </w:t>
      </w:r>
      <w:r w:rsidRPr="008516D1">
        <w:t>de</w:t>
      </w:r>
      <w:r>
        <w:t xml:space="preserve"> </w:t>
      </w:r>
      <w:r w:rsidRPr="008516D1">
        <w:t>réinsertion</w:t>
      </w:r>
      <w:r>
        <w:t xml:space="preserve"> </w:t>
      </w:r>
      <w:r w:rsidRPr="008516D1">
        <w:t>sociale</w:t>
      </w:r>
      <w:r>
        <w:t xml:space="preserve"> </w:t>
      </w:r>
      <w:r w:rsidRPr="008516D1">
        <w:t>et</w:t>
      </w:r>
      <w:r>
        <w:t xml:space="preserve"> </w:t>
      </w:r>
      <w:r w:rsidRPr="008516D1">
        <w:t>professionnelle,</w:t>
      </w:r>
      <w:r>
        <w:t xml:space="preserve"> </w:t>
      </w:r>
      <w:r w:rsidRPr="008516D1">
        <w:t>de</w:t>
      </w:r>
      <w:r>
        <w:t xml:space="preserve"> </w:t>
      </w:r>
      <w:r w:rsidRPr="008516D1">
        <w:t>coordination</w:t>
      </w:r>
      <w:r>
        <w:t xml:space="preserve"> </w:t>
      </w:r>
      <w:r w:rsidRPr="008516D1">
        <w:t>et</w:t>
      </w:r>
      <w:r>
        <w:t xml:space="preserve"> </w:t>
      </w:r>
      <w:r w:rsidRPr="008516D1">
        <w:t>de</w:t>
      </w:r>
      <w:r>
        <w:t xml:space="preserve"> </w:t>
      </w:r>
      <w:r w:rsidRPr="008516D1">
        <w:t>renforcement</w:t>
      </w:r>
      <w:r>
        <w:t xml:space="preserve"> </w:t>
      </w:r>
      <w:r w:rsidRPr="008516D1">
        <w:t>des</w:t>
      </w:r>
      <w:r>
        <w:t xml:space="preserve"> </w:t>
      </w:r>
      <w:r w:rsidRPr="008516D1">
        <w:t>partenariats.</w:t>
      </w:r>
    </w:p>
    <w:p w14:paraId="5C1F08E5" w14:textId="0CE60D64" w:rsidR="00286956" w:rsidRPr="008516D1" w:rsidRDefault="00286956" w:rsidP="00286956">
      <w:pPr>
        <w:pStyle w:val="SingleTxtG"/>
      </w:pPr>
      <w:r w:rsidRPr="008516D1">
        <w:t>117.</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29</w:t>
      </w:r>
      <w:r w:rsidR="00A74554">
        <w:t> f)</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renforcer</w:t>
      </w:r>
      <w:r>
        <w:t xml:space="preserve"> </w:t>
      </w:r>
      <w:r w:rsidRPr="008516D1">
        <w:t>la</w:t>
      </w:r>
      <w:r>
        <w:t xml:space="preserve"> </w:t>
      </w:r>
      <w:r w:rsidRPr="008516D1">
        <w:t>coopération</w:t>
      </w:r>
      <w:r>
        <w:t xml:space="preserve"> </w:t>
      </w:r>
      <w:r w:rsidRPr="008516D1">
        <w:t>avec</w:t>
      </w:r>
      <w:r>
        <w:t xml:space="preserve"> </w:t>
      </w:r>
      <w:r w:rsidRPr="008516D1">
        <w:t>les</w:t>
      </w:r>
      <w:r>
        <w:t xml:space="preserve"> </w:t>
      </w:r>
      <w:r w:rsidRPr="008516D1">
        <w:t>autorités</w:t>
      </w:r>
      <w:r>
        <w:t xml:space="preserve"> </w:t>
      </w:r>
      <w:r w:rsidRPr="008516D1">
        <w:t>d</w:t>
      </w:r>
      <w:r>
        <w:t>’</w:t>
      </w:r>
      <w:r w:rsidRPr="008516D1">
        <w:t>autres</w:t>
      </w:r>
      <w:r>
        <w:t xml:space="preserve"> </w:t>
      </w:r>
      <w:r w:rsidRPr="008516D1">
        <w:t>États</w:t>
      </w:r>
      <w:r>
        <w:t xml:space="preserve"> </w:t>
      </w:r>
      <w:r w:rsidRPr="008516D1">
        <w:t>de</w:t>
      </w:r>
      <w:r>
        <w:t xml:space="preserve"> </w:t>
      </w:r>
      <w:r w:rsidRPr="008516D1">
        <w:t>la</w:t>
      </w:r>
      <w:r>
        <w:t xml:space="preserve"> </w:t>
      </w:r>
      <w:r w:rsidRPr="008516D1">
        <w:t>région</w:t>
      </w:r>
      <w:r>
        <w:t xml:space="preserve"> </w:t>
      </w:r>
      <w:r w:rsidRPr="008516D1">
        <w:t>pour</w:t>
      </w:r>
      <w:r>
        <w:t xml:space="preserve"> </w:t>
      </w:r>
      <w:r w:rsidRPr="008516D1">
        <w:t>promouvoir</w:t>
      </w:r>
      <w:r>
        <w:t xml:space="preserve"> </w:t>
      </w:r>
      <w:r w:rsidRPr="008516D1">
        <w:t>la</w:t>
      </w:r>
      <w:r>
        <w:t xml:space="preserve"> </w:t>
      </w:r>
      <w:r w:rsidRPr="008516D1">
        <w:t>recherche</w:t>
      </w:r>
      <w:r>
        <w:t xml:space="preserve"> </w:t>
      </w:r>
      <w:r w:rsidRPr="008516D1">
        <w:t>des</w:t>
      </w:r>
      <w:r>
        <w:t xml:space="preserve"> </w:t>
      </w:r>
      <w:r w:rsidRPr="008516D1">
        <w:t>migrants</w:t>
      </w:r>
      <w:r>
        <w:t xml:space="preserve"> </w:t>
      </w:r>
      <w:r w:rsidRPr="008516D1">
        <w:t>disparus</w:t>
      </w:r>
      <w:r>
        <w:t xml:space="preserve"> </w:t>
      </w:r>
      <w:r w:rsidRPr="008516D1">
        <w:t>et</w:t>
      </w:r>
      <w:r>
        <w:t xml:space="preserve"> </w:t>
      </w:r>
      <w:r w:rsidRPr="008516D1">
        <w:t>les</w:t>
      </w:r>
      <w:r>
        <w:t xml:space="preserve"> </w:t>
      </w:r>
      <w:r w:rsidRPr="008516D1">
        <w:t>enquêtes</w:t>
      </w:r>
      <w:r>
        <w:t xml:space="preserve"> </w:t>
      </w:r>
      <w:r w:rsidRPr="008516D1">
        <w:t>sur</w:t>
      </w:r>
      <w:r>
        <w:t xml:space="preserve"> </w:t>
      </w:r>
      <w:r w:rsidRPr="008516D1">
        <w:t>les</w:t>
      </w:r>
      <w:r>
        <w:t xml:space="preserve"> </w:t>
      </w:r>
      <w:r w:rsidRPr="008516D1">
        <w:t>responsables,</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que</w:t>
      </w:r>
      <w:r>
        <w:t xml:space="preserve"> </w:t>
      </w:r>
      <w:r w:rsidRPr="008516D1">
        <w:t>le</w:t>
      </w:r>
      <w:r>
        <w:t xml:space="preserve"> </w:t>
      </w:r>
      <w:r w:rsidRPr="008516D1">
        <w:t>Groupe</w:t>
      </w:r>
      <w:r>
        <w:t xml:space="preserve"> </w:t>
      </w:r>
      <w:r w:rsidRPr="008516D1">
        <w:t>d</w:t>
      </w:r>
      <w:r>
        <w:t>’</w:t>
      </w:r>
      <w:r w:rsidRPr="008516D1">
        <w:t>experts</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utilise</w:t>
      </w:r>
      <w:r>
        <w:t xml:space="preserve"> </w:t>
      </w:r>
      <w:r w:rsidRPr="008516D1">
        <w:t>un</w:t>
      </w:r>
      <w:r>
        <w:t xml:space="preserve"> </w:t>
      </w:r>
      <w:r w:rsidRPr="008516D1">
        <w:t>formulaire</w:t>
      </w:r>
      <w:r>
        <w:t xml:space="preserve"> </w:t>
      </w:r>
      <w:r w:rsidRPr="008516D1">
        <w:t>unique</w:t>
      </w:r>
      <w:r>
        <w:t xml:space="preserve"> </w:t>
      </w:r>
      <w:r w:rsidRPr="008516D1">
        <w:t>standardisé</w:t>
      </w:r>
      <w:r>
        <w:t xml:space="preserve"> </w:t>
      </w:r>
      <w:r w:rsidRPr="008516D1">
        <w:t>pour</w:t>
      </w:r>
      <w:r>
        <w:t xml:space="preserve"> </w:t>
      </w:r>
      <w:r w:rsidRPr="008516D1">
        <w:t>collecter</w:t>
      </w:r>
      <w:r>
        <w:t xml:space="preserve"> </w:t>
      </w:r>
      <w:r w:rsidRPr="008516D1">
        <w:t>les</w:t>
      </w:r>
      <w:r>
        <w:t xml:space="preserve"> </w:t>
      </w:r>
      <w:r w:rsidRPr="008516D1">
        <w:t>données</w:t>
      </w:r>
      <w:r>
        <w:t xml:space="preserve"> </w:t>
      </w:r>
      <w:r w:rsidRPr="008516D1">
        <w:t>concernant</w:t>
      </w:r>
      <w:r>
        <w:t xml:space="preserve"> </w:t>
      </w:r>
      <w:r w:rsidRPr="008516D1">
        <w:t>les</w:t>
      </w:r>
      <w:r>
        <w:t xml:space="preserve"> </w:t>
      </w:r>
      <w:r w:rsidRPr="008516D1">
        <w:t>migrants</w:t>
      </w:r>
      <w:r>
        <w:t xml:space="preserve"> </w:t>
      </w:r>
      <w:r w:rsidRPr="008516D1">
        <w:t>disparus,</w:t>
      </w:r>
      <w:r>
        <w:t xml:space="preserve"> </w:t>
      </w:r>
      <w:r w:rsidRPr="008516D1">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accord</w:t>
      </w:r>
      <w:r>
        <w:t xml:space="preserve"> </w:t>
      </w:r>
      <w:r w:rsidRPr="008516D1">
        <w:t>de</w:t>
      </w:r>
      <w:r>
        <w:t xml:space="preserve"> </w:t>
      </w:r>
      <w:r w:rsidRPr="008516D1">
        <w:t>coopération</w:t>
      </w:r>
      <w:r>
        <w:t xml:space="preserve"> </w:t>
      </w:r>
      <w:r w:rsidRPr="008516D1">
        <w:t>interinstitutionnelle</w:t>
      </w:r>
      <w:r>
        <w:t xml:space="preserve"> </w:t>
      </w:r>
      <w:r w:rsidRPr="008516D1">
        <w:t>pour</w:t>
      </w:r>
      <w:r>
        <w:t xml:space="preserve"> </w:t>
      </w:r>
      <w:r w:rsidRPr="008516D1">
        <w:t>la</w:t>
      </w:r>
      <w:r>
        <w:t xml:space="preserve"> </w:t>
      </w:r>
      <w:r w:rsidRPr="008516D1">
        <w:t>mise</w:t>
      </w:r>
      <w:r>
        <w:t xml:space="preserve"> </w:t>
      </w:r>
      <w:r w:rsidRPr="008516D1">
        <w:t>en</w:t>
      </w:r>
      <w:r>
        <w:t xml:space="preserve"> </w:t>
      </w:r>
      <w:r w:rsidRPr="008516D1">
        <w:t>place</w:t>
      </w:r>
      <w:r>
        <w:t xml:space="preserve"> </w:t>
      </w:r>
      <w:r w:rsidRPr="008516D1">
        <w:t>de</w:t>
      </w:r>
      <w:r>
        <w:t xml:space="preserve"> </w:t>
      </w:r>
      <w:r w:rsidRPr="008516D1">
        <w:t>mécanismes</w:t>
      </w:r>
      <w:r>
        <w:t xml:space="preserve"> </w:t>
      </w:r>
      <w:r w:rsidRPr="008516D1">
        <w:t>d</w:t>
      </w:r>
      <w:r>
        <w:t>’</w:t>
      </w:r>
      <w:r w:rsidRPr="008516D1">
        <w:t>échange</w:t>
      </w:r>
      <w:r>
        <w:t xml:space="preserve"> </w:t>
      </w:r>
      <w:r w:rsidRPr="008516D1">
        <w:t>d</w:t>
      </w:r>
      <w:r>
        <w:t>’</w:t>
      </w:r>
      <w:r w:rsidRPr="008516D1">
        <w:t>informations</w:t>
      </w:r>
      <w:r>
        <w:t xml:space="preserve"> </w:t>
      </w:r>
      <w:r w:rsidRPr="008516D1">
        <w:t>sur</w:t>
      </w:r>
      <w:r>
        <w:t xml:space="preserve"> </w:t>
      </w:r>
      <w:r w:rsidRPr="008516D1">
        <w:t>les</w:t>
      </w:r>
      <w:r>
        <w:t xml:space="preserve"> </w:t>
      </w:r>
      <w:r w:rsidRPr="008516D1">
        <w:t>migrants</w:t>
      </w:r>
      <w:r>
        <w:t xml:space="preserve"> </w:t>
      </w:r>
      <w:r w:rsidRPr="008516D1">
        <w:t>disparus</w:t>
      </w:r>
      <w:r>
        <w:t xml:space="preserve"> </w:t>
      </w:r>
      <w:r w:rsidRPr="008516D1">
        <w:t>et</w:t>
      </w:r>
      <w:r>
        <w:t xml:space="preserve"> </w:t>
      </w:r>
      <w:r w:rsidRPr="008516D1">
        <w:t>les</w:t>
      </w:r>
      <w:r>
        <w:t xml:space="preserve"> </w:t>
      </w:r>
      <w:r w:rsidRPr="008516D1">
        <w:t>dépouilles</w:t>
      </w:r>
      <w:r>
        <w:t xml:space="preserve"> </w:t>
      </w:r>
      <w:r w:rsidRPr="008516D1">
        <w:t>non</w:t>
      </w:r>
      <w:r>
        <w:t xml:space="preserve"> </w:t>
      </w:r>
      <w:r w:rsidRPr="008516D1">
        <w:t>identifiées.</w:t>
      </w:r>
    </w:p>
    <w:p w14:paraId="2DA50EC3" w14:textId="77777777" w:rsidR="00286956" w:rsidRPr="008516D1" w:rsidRDefault="00286956" w:rsidP="00286956">
      <w:pPr>
        <w:pStyle w:val="SingleTxtG"/>
      </w:pPr>
      <w:r w:rsidRPr="008516D1">
        <w:t>118.</w:t>
      </w:r>
      <w:r w:rsidRPr="008516D1">
        <w:tab/>
        <w:t>Malgré</w:t>
      </w:r>
      <w:r>
        <w:t xml:space="preserve"> </w:t>
      </w:r>
      <w:r w:rsidRPr="008516D1">
        <w:t>les</w:t>
      </w:r>
      <w:r>
        <w:t xml:space="preserve"> </w:t>
      </w:r>
      <w:r w:rsidRPr="008516D1">
        <w:t>efforts</w:t>
      </w:r>
      <w:r>
        <w:t xml:space="preserve"> </w:t>
      </w:r>
      <w:r w:rsidRPr="008516D1">
        <w:t>déjà</w:t>
      </w:r>
      <w:r>
        <w:t xml:space="preserve"> </w:t>
      </w:r>
      <w:r w:rsidRPr="008516D1">
        <w:t>déployés</w:t>
      </w:r>
      <w:r>
        <w:t xml:space="preserve"> </w:t>
      </w:r>
      <w:r w:rsidRPr="008516D1">
        <w:t>par</w:t>
      </w:r>
      <w:r>
        <w:t xml:space="preserve"> </w:t>
      </w:r>
      <w:r w:rsidRPr="008516D1">
        <w:t>l</w:t>
      </w:r>
      <w:r>
        <w:t>’</w:t>
      </w:r>
      <w:r w:rsidRPr="008516D1">
        <w:t>État,</w:t>
      </w:r>
      <w:r>
        <w:t xml:space="preserve"> </w:t>
      </w:r>
      <w:r w:rsidRPr="008516D1">
        <w:t>entrer</w:t>
      </w:r>
      <w:r>
        <w:t xml:space="preserve"> </w:t>
      </w:r>
      <w:r w:rsidRPr="008516D1">
        <w:t>en</w:t>
      </w:r>
      <w:r>
        <w:t xml:space="preserve"> </w:t>
      </w:r>
      <w:r w:rsidRPr="008516D1">
        <w:t>contact</w:t>
      </w:r>
      <w:r>
        <w:t xml:space="preserve"> </w:t>
      </w:r>
      <w:r w:rsidRPr="008516D1">
        <w:t>avec</w:t>
      </w:r>
      <w:r>
        <w:t xml:space="preserve"> </w:t>
      </w:r>
      <w:r w:rsidRPr="008516D1">
        <w:t>les</w:t>
      </w:r>
      <w:r>
        <w:t xml:space="preserve"> </w:t>
      </w:r>
      <w:r w:rsidRPr="008516D1">
        <w:t>autorités</w:t>
      </w:r>
      <w:r>
        <w:t xml:space="preserve"> </w:t>
      </w:r>
      <w:r w:rsidRPr="008516D1">
        <w:t>des</w:t>
      </w:r>
      <w:r>
        <w:t xml:space="preserve"> </w:t>
      </w:r>
      <w:r w:rsidRPr="008516D1">
        <w:t>pays</w:t>
      </w:r>
      <w:r>
        <w:t xml:space="preserve"> </w:t>
      </w:r>
      <w:r w:rsidRPr="008516D1">
        <w:t>de</w:t>
      </w:r>
      <w:r>
        <w:t xml:space="preserve"> </w:t>
      </w:r>
      <w:r w:rsidRPr="008516D1">
        <w:t>transit</w:t>
      </w:r>
      <w:r>
        <w:t xml:space="preserve"> </w:t>
      </w:r>
      <w:r w:rsidRPr="008516D1">
        <w:t>et</w:t>
      </w:r>
      <w:r>
        <w:t xml:space="preserve"> </w:t>
      </w:r>
      <w:r w:rsidRPr="008516D1">
        <w:t>de</w:t>
      </w:r>
      <w:r>
        <w:t xml:space="preserve"> </w:t>
      </w:r>
      <w:r w:rsidRPr="008516D1">
        <w:t>destination,</w:t>
      </w:r>
      <w:r>
        <w:t xml:space="preserve"> </w:t>
      </w:r>
      <w:r w:rsidRPr="008516D1">
        <w:t>collecter</w:t>
      </w:r>
      <w:r>
        <w:t xml:space="preserve"> </w:t>
      </w:r>
      <w:r w:rsidRPr="008516D1">
        <w:t>des</w:t>
      </w:r>
      <w:r>
        <w:t xml:space="preserve"> </w:t>
      </w:r>
      <w:r w:rsidRPr="008516D1">
        <w:t>données</w:t>
      </w:r>
      <w:r>
        <w:t xml:space="preserve"> </w:t>
      </w:r>
      <w:r w:rsidRPr="008516D1">
        <w:t>uniformisées</w:t>
      </w:r>
      <w:r>
        <w:t xml:space="preserve"> </w:t>
      </w:r>
      <w:r w:rsidRPr="008516D1">
        <w:t>afin</w:t>
      </w:r>
      <w:r>
        <w:t xml:space="preserve"> </w:t>
      </w:r>
      <w:r w:rsidRPr="008516D1">
        <w:t>de</w:t>
      </w:r>
      <w:r>
        <w:t xml:space="preserve"> </w:t>
      </w:r>
      <w:r w:rsidRPr="008516D1">
        <w:t>faciliter</w:t>
      </w:r>
      <w:r>
        <w:t xml:space="preserve"> </w:t>
      </w:r>
      <w:r w:rsidRPr="008516D1">
        <w:t>les</w:t>
      </w:r>
      <w:r>
        <w:t xml:space="preserve"> </w:t>
      </w:r>
      <w:r w:rsidRPr="008516D1">
        <w:t>enquêtes</w:t>
      </w:r>
      <w:r>
        <w:t xml:space="preserve"> </w:t>
      </w:r>
      <w:r w:rsidRPr="008516D1">
        <w:t>et</w:t>
      </w:r>
      <w:r>
        <w:t xml:space="preserve"> </w:t>
      </w:r>
      <w:r w:rsidRPr="008516D1">
        <w:t>le</w:t>
      </w:r>
      <w:r>
        <w:t xml:space="preserve"> </w:t>
      </w:r>
      <w:r w:rsidRPr="008516D1">
        <w:t>retour</w:t>
      </w:r>
      <w:r>
        <w:t xml:space="preserve"> </w:t>
      </w:r>
      <w:r w:rsidRPr="008516D1">
        <w:t>d</w:t>
      </w:r>
      <w:r>
        <w:t>’</w:t>
      </w:r>
      <w:r w:rsidRPr="008516D1">
        <w:t>information</w:t>
      </w:r>
      <w:r>
        <w:t xml:space="preserve"> </w:t>
      </w:r>
      <w:r w:rsidRPr="008516D1">
        <w:t>et</w:t>
      </w:r>
      <w:r>
        <w:t xml:space="preserve"> </w:t>
      </w:r>
      <w:r w:rsidRPr="008516D1">
        <w:t>renforcer</w:t>
      </w:r>
      <w:r>
        <w:t xml:space="preserve"> </w:t>
      </w:r>
      <w:r w:rsidRPr="008516D1">
        <w:t>les</w:t>
      </w:r>
      <w:r>
        <w:t xml:space="preserve"> </w:t>
      </w:r>
      <w:r w:rsidRPr="008516D1">
        <w:t>capacités</w:t>
      </w:r>
      <w:r>
        <w:t xml:space="preserve"> </w:t>
      </w:r>
      <w:r w:rsidRPr="008516D1">
        <w:t>institutionnelles</w:t>
      </w:r>
      <w:r>
        <w:t xml:space="preserve"> </w:t>
      </w:r>
      <w:r w:rsidRPr="008516D1">
        <w:t>demeurent</w:t>
      </w:r>
      <w:r>
        <w:t xml:space="preserve"> </w:t>
      </w:r>
      <w:r w:rsidRPr="008516D1">
        <w:t>des</w:t>
      </w:r>
      <w:r>
        <w:t xml:space="preserve"> </w:t>
      </w:r>
      <w:r w:rsidRPr="008516D1">
        <w:t>enjeux</w:t>
      </w:r>
      <w:r>
        <w:t xml:space="preserve"> </w:t>
      </w:r>
      <w:r w:rsidRPr="008516D1">
        <w:t>importants</w:t>
      </w:r>
      <w:r>
        <w:t xml:space="preserve"> </w:t>
      </w:r>
      <w:r w:rsidRPr="008516D1">
        <w:t>pour</w:t>
      </w:r>
      <w:r>
        <w:t xml:space="preserve"> </w:t>
      </w:r>
      <w:r w:rsidRPr="008516D1">
        <w:t>les</w:t>
      </w:r>
      <w:r>
        <w:t xml:space="preserve"> </w:t>
      </w:r>
      <w:r w:rsidRPr="008516D1">
        <w:t>autorités.</w:t>
      </w:r>
    </w:p>
    <w:p w14:paraId="303429F4" w14:textId="60BEDED8" w:rsidR="00286956" w:rsidRPr="008516D1" w:rsidRDefault="00286956" w:rsidP="00286956">
      <w:pPr>
        <w:pStyle w:val="H1G"/>
      </w:pPr>
      <w:bookmarkStart w:id="24" w:name="_Toc76740431"/>
      <w:r w:rsidRPr="008516D1">
        <w:tab/>
        <w:t>K.</w:t>
      </w:r>
      <w:r w:rsidRPr="008516D1">
        <w:tab/>
        <w:t>Mesures</w:t>
      </w:r>
      <w:r>
        <w:t xml:space="preserve"> </w:t>
      </w:r>
      <w:r w:rsidRPr="008516D1">
        <w:t>visant</w:t>
      </w:r>
      <w:r>
        <w:t xml:space="preserve"> </w:t>
      </w:r>
      <w:r w:rsidRPr="008516D1">
        <w:t>à</w:t>
      </w:r>
      <w:r>
        <w:t xml:space="preserve"> </w:t>
      </w:r>
      <w:r w:rsidRPr="008516D1">
        <w:t>prévenir</w:t>
      </w:r>
      <w:r>
        <w:t xml:space="preserve"> </w:t>
      </w:r>
      <w:r w:rsidRPr="008516D1">
        <w:t>la</w:t>
      </w:r>
      <w:r>
        <w:t xml:space="preserve"> </w:t>
      </w:r>
      <w:r w:rsidRPr="008516D1">
        <w:t>disparition</w:t>
      </w:r>
      <w:r>
        <w:t xml:space="preserve"> </w:t>
      </w:r>
      <w:r w:rsidRPr="008516D1">
        <w:t>forcée</w:t>
      </w:r>
      <w:r>
        <w:t xml:space="preserve"> </w:t>
      </w:r>
      <w:r w:rsidRPr="008516D1">
        <w:t>de</w:t>
      </w:r>
      <w:r>
        <w:t xml:space="preserve"> </w:t>
      </w:r>
      <w:r w:rsidRPr="008516D1">
        <w:t>personnes</w:t>
      </w:r>
      <w:r>
        <w:t xml:space="preserve"> </w:t>
      </w:r>
      <w:r w:rsidRPr="008516D1">
        <w:t>privées</w:t>
      </w:r>
      <w:r>
        <w:t xml:space="preserve"> </w:t>
      </w:r>
      <w:r w:rsidRPr="008516D1">
        <w:t>de</w:t>
      </w:r>
      <w:r w:rsidR="00EE63B9">
        <w:t> </w:t>
      </w:r>
      <w:r w:rsidRPr="008516D1">
        <w:t>liberté</w:t>
      </w:r>
      <w:r>
        <w:t xml:space="preserve"> </w:t>
      </w:r>
      <w:r w:rsidRPr="008516D1">
        <w:t>(</w:t>
      </w:r>
      <w:r w:rsidR="003A61DD">
        <w:t>art. </w:t>
      </w:r>
      <w:r w:rsidRPr="008516D1">
        <w:t>17)</w:t>
      </w:r>
      <w:bookmarkEnd w:id="24"/>
    </w:p>
    <w:p w14:paraId="5C3A4AAF" w14:textId="17EF1DE0" w:rsidR="00286956" w:rsidRPr="008516D1" w:rsidRDefault="00286956" w:rsidP="00286956">
      <w:pPr>
        <w:pStyle w:val="SingleTxtG"/>
      </w:pPr>
      <w:r w:rsidRPr="008516D1">
        <w:t>119.</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31</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prendre</w:t>
      </w:r>
      <w:r>
        <w:t xml:space="preserve"> </w:t>
      </w:r>
      <w:r w:rsidRPr="008516D1">
        <w:t>les</w:t>
      </w:r>
      <w:r>
        <w:t xml:space="preserve"> </w:t>
      </w:r>
      <w:r w:rsidRPr="008516D1">
        <w:t>mesures</w:t>
      </w:r>
      <w:r>
        <w:t xml:space="preserve"> </w:t>
      </w:r>
      <w:r w:rsidRPr="008516D1">
        <w:t>nécessaires</w:t>
      </w:r>
      <w:r>
        <w:t xml:space="preserve"> </w:t>
      </w:r>
      <w:r w:rsidRPr="008516D1">
        <w:t>pour</w:t>
      </w:r>
      <w:r>
        <w:t xml:space="preserve"> </w:t>
      </w:r>
      <w:r w:rsidRPr="008516D1">
        <w:t>que</w:t>
      </w:r>
      <w:r>
        <w:t xml:space="preserve"> </w:t>
      </w:r>
      <w:r w:rsidRPr="008516D1">
        <w:t>toutes</w:t>
      </w:r>
      <w:r>
        <w:t xml:space="preserve"> </w:t>
      </w:r>
      <w:r w:rsidRPr="008516D1">
        <w:t>les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bénéficient</w:t>
      </w:r>
      <w:r>
        <w:t xml:space="preserve"> </w:t>
      </w:r>
      <w:r w:rsidRPr="008516D1">
        <w:t>de</w:t>
      </w:r>
      <w:r>
        <w:t xml:space="preserve"> </w:t>
      </w:r>
      <w:r w:rsidRPr="008516D1">
        <w:t>toutes</w:t>
      </w:r>
      <w:r>
        <w:t xml:space="preserve"> </w:t>
      </w:r>
      <w:r w:rsidRPr="008516D1">
        <w:t>les</w:t>
      </w:r>
      <w:r>
        <w:t xml:space="preserve"> </w:t>
      </w:r>
      <w:r w:rsidRPr="008516D1">
        <w:t>garanties</w:t>
      </w:r>
      <w:r>
        <w:t xml:space="preserve"> </w:t>
      </w:r>
      <w:r w:rsidRPr="008516D1">
        <w:t>prévues</w:t>
      </w:r>
      <w:r>
        <w:t xml:space="preserve"> </w:t>
      </w:r>
      <w:r w:rsidRPr="008516D1">
        <w:t>par</w:t>
      </w:r>
      <w:r>
        <w:t xml:space="preserve"> </w:t>
      </w:r>
      <w:r w:rsidRPr="008516D1">
        <w:t>les</w:t>
      </w:r>
      <w:r>
        <w:t xml:space="preserve"> </w:t>
      </w:r>
      <w:r w:rsidRPr="008516D1">
        <w:t>paragraphes</w:t>
      </w:r>
      <w:r w:rsidR="00EE63B9">
        <w:t xml:space="preserve"> </w:t>
      </w:r>
      <w:r w:rsidR="00A74554">
        <w:t>a)</w:t>
      </w:r>
      <w:r>
        <w:t xml:space="preserve"> </w:t>
      </w:r>
      <w:r w:rsidRPr="008516D1">
        <w:t>et</w:t>
      </w:r>
      <w:r w:rsidR="00EE63B9">
        <w:t xml:space="preserve"> </w:t>
      </w:r>
      <w:r w:rsidR="00A74554">
        <w:t>b)</w:t>
      </w:r>
      <w:r>
        <w:t xml:space="preserve"> </w:t>
      </w:r>
      <w:r w:rsidRPr="008516D1">
        <w:t>de</w:t>
      </w:r>
      <w:r>
        <w:t xml:space="preserve"> </w:t>
      </w:r>
      <w:r w:rsidRPr="008516D1">
        <w:t>l</w:t>
      </w:r>
      <w:r>
        <w:t>’</w:t>
      </w:r>
      <w:r w:rsidRPr="008516D1">
        <w:t>article</w:t>
      </w:r>
      <w:r>
        <w:t xml:space="preserve"> </w:t>
      </w:r>
      <w:r w:rsidRPr="008516D1">
        <w:t>17</w:t>
      </w:r>
      <w:r>
        <w:t xml:space="preserve"> </w:t>
      </w:r>
      <w:r w:rsidRPr="008516D1">
        <w:t>de</w:t>
      </w:r>
      <w:r>
        <w:t xml:space="preserve"> </w:t>
      </w:r>
      <w:r w:rsidRPr="008516D1">
        <w:t>la</w:t>
      </w:r>
      <w:r>
        <w:t xml:space="preserve"> </w:t>
      </w:r>
      <w:r w:rsidRPr="008516D1">
        <w:t>Convention,</w:t>
      </w:r>
      <w:r>
        <w:t xml:space="preserve"> </w:t>
      </w:r>
      <w:r w:rsidRPr="008516D1">
        <w:t>ainsi</w:t>
      </w:r>
      <w:r>
        <w:t xml:space="preserve"> </w:t>
      </w:r>
      <w:r w:rsidRPr="008516D1">
        <w:t>que</w:t>
      </w:r>
      <w:r>
        <w:t xml:space="preserve"> </w:t>
      </w:r>
      <w:r w:rsidRPr="008516D1">
        <w:t>par</w:t>
      </w:r>
      <w:r>
        <w:t xml:space="preserve"> </w:t>
      </w:r>
      <w:r w:rsidRPr="008516D1">
        <w:t>la</w:t>
      </w:r>
      <w:r>
        <w:t xml:space="preserve"> </w:t>
      </w:r>
      <w:r w:rsidRPr="008516D1">
        <w:t>Constitution,</w:t>
      </w:r>
      <w:r>
        <w:t xml:space="preserve"> </w:t>
      </w:r>
      <w:r w:rsidRPr="008516D1">
        <w:t>le</w:t>
      </w:r>
      <w:r>
        <w:t xml:space="preserve"> </w:t>
      </w:r>
      <w:r w:rsidRPr="008516D1">
        <w:t>droit</w:t>
      </w:r>
      <w:r>
        <w:t xml:space="preserve"> </w:t>
      </w:r>
      <w:r w:rsidRPr="008516D1">
        <w:t>pénal</w:t>
      </w:r>
      <w:r>
        <w:t xml:space="preserve"> </w:t>
      </w:r>
      <w:r w:rsidRPr="008516D1">
        <w:t>et</w:t>
      </w:r>
      <w:r>
        <w:t xml:space="preserve"> </w:t>
      </w:r>
      <w:r w:rsidRPr="008516D1">
        <w:t>le</w:t>
      </w:r>
      <w:r>
        <w:t xml:space="preserve"> </w:t>
      </w:r>
      <w:r w:rsidRPr="008516D1">
        <w:t>droit</w:t>
      </w:r>
      <w:r>
        <w:t xml:space="preserve"> </w:t>
      </w:r>
      <w:r w:rsidRPr="008516D1">
        <w:t>administratif</w:t>
      </w:r>
      <w:r>
        <w:t xml:space="preserve"> </w:t>
      </w:r>
      <w:r w:rsidRPr="008516D1">
        <w:t>du</w:t>
      </w:r>
      <w:r>
        <w:t xml:space="preserve"> </w:t>
      </w:r>
      <w:r w:rsidRPr="008516D1">
        <w:t>Honduras,</w:t>
      </w:r>
      <w:r>
        <w:t xml:space="preserve"> </w:t>
      </w:r>
      <w:r w:rsidRPr="008516D1">
        <w:t>qui</w:t>
      </w:r>
      <w:r>
        <w:t xml:space="preserve"> </w:t>
      </w:r>
      <w:r w:rsidRPr="008516D1">
        <w:t>définissent</w:t>
      </w:r>
      <w:r>
        <w:t xml:space="preserve"> </w:t>
      </w:r>
      <w:r w:rsidRPr="008516D1">
        <w:t>les</w:t>
      </w:r>
      <w:r>
        <w:t xml:space="preserve"> </w:t>
      </w:r>
      <w:r w:rsidRPr="008516D1">
        <w:t>circonstances</w:t>
      </w:r>
      <w:r>
        <w:t xml:space="preserve"> </w:t>
      </w:r>
      <w:r w:rsidRPr="008516D1">
        <w:t>dans</w:t>
      </w:r>
      <w:r>
        <w:t xml:space="preserve"> </w:t>
      </w:r>
      <w:r w:rsidRPr="008516D1">
        <w:t>lesquelles</w:t>
      </w:r>
      <w:r>
        <w:t xml:space="preserve"> </w:t>
      </w:r>
      <w:r w:rsidRPr="008516D1">
        <w:t>les</w:t>
      </w:r>
      <w:r>
        <w:t xml:space="preserve"> </w:t>
      </w:r>
      <w:r w:rsidRPr="008516D1">
        <w:t>autorités</w:t>
      </w:r>
      <w:r>
        <w:t xml:space="preserve"> </w:t>
      </w:r>
      <w:r w:rsidRPr="008516D1">
        <w:t>compétentes</w:t>
      </w:r>
      <w:r>
        <w:t xml:space="preserve"> </w:t>
      </w:r>
      <w:r w:rsidRPr="008516D1">
        <w:t>sont</w:t>
      </w:r>
      <w:r>
        <w:t xml:space="preserve"> </w:t>
      </w:r>
      <w:r w:rsidRPr="008516D1">
        <w:t>habilitées</w:t>
      </w:r>
      <w:r>
        <w:t xml:space="preserve"> </w:t>
      </w:r>
      <w:r w:rsidRPr="008516D1">
        <w:t>à</w:t>
      </w:r>
      <w:r>
        <w:t xml:space="preserve"> </w:t>
      </w:r>
      <w:r w:rsidRPr="008516D1">
        <w:t>ordonner</w:t>
      </w:r>
      <w:r>
        <w:t xml:space="preserve"> </w:t>
      </w:r>
      <w:r w:rsidRPr="008516D1">
        <w:t>une</w:t>
      </w:r>
      <w:r>
        <w:t xml:space="preserve"> </w:t>
      </w:r>
      <w:r w:rsidRPr="008516D1">
        <w:t>privation</w:t>
      </w:r>
      <w:r>
        <w:t xml:space="preserve"> </w:t>
      </w:r>
      <w:r w:rsidRPr="008516D1">
        <w:t>de</w:t>
      </w:r>
      <w:r>
        <w:t xml:space="preserve"> </w:t>
      </w:r>
      <w:r w:rsidRPr="008516D1">
        <w:t>liberté,</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la</w:t>
      </w:r>
      <w:r>
        <w:t xml:space="preserve"> </w:t>
      </w:r>
      <w:r w:rsidRPr="008516D1">
        <w:t>Politique</w:t>
      </w:r>
      <w:r>
        <w:t xml:space="preserve"> </w:t>
      </w:r>
      <w:r w:rsidRPr="008516D1">
        <w:t>nationale</w:t>
      </w:r>
      <w:r>
        <w:t xml:space="preserve"> </w:t>
      </w:r>
      <w:r w:rsidRPr="008516D1">
        <w:t>de</w:t>
      </w:r>
      <w:r>
        <w:t xml:space="preserve"> </w:t>
      </w:r>
      <w:r w:rsidRPr="008516D1">
        <w:t>sécurité</w:t>
      </w:r>
      <w:r>
        <w:t xml:space="preserve"> </w:t>
      </w:r>
      <w:r w:rsidRPr="008516D1">
        <w:t>et</w:t>
      </w:r>
      <w:r>
        <w:t xml:space="preserve"> </w:t>
      </w:r>
      <w:r w:rsidRPr="008516D1">
        <w:t>des</w:t>
      </w:r>
      <w:r>
        <w:t xml:space="preserve"> </w:t>
      </w:r>
      <w:r w:rsidRPr="008516D1">
        <w:t>stratégies</w:t>
      </w:r>
      <w:r>
        <w:t xml:space="preserve"> </w:t>
      </w:r>
      <w:r w:rsidRPr="008516D1">
        <w:t>relatives</w:t>
      </w:r>
      <w:r>
        <w:t xml:space="preserve"> </w:t>
      </w:r>
      <w:r w:rsidRPr="008516D1">
        <w:t>à</w:t>
      </w:r>
      <w:r>
        <w:t xml:space="preserve"> </w:t>
      </w:r>
      <w:r w:rsidRPr="008516D1">
        <w:t>la</w:t>
      </w:r>
      <w:r>
        <w:t xml:space="preserve"> </w:t>
      </w:r>
      <w:r w:rsidRPr="008516D1">
        <w:t>sécurité</w:t>
      </w:r>
      <w:r>
        <w:t xml:space="preserve"> </w:t>
      </w:r>
      <w:r w:rsidRPr="008516D1">
        <w:t>publique,</w:t>
      </w:r>
      <w:r>
        <w:t xml:space="preserve"> </w:t>
      </w:r>
      <w:r w:rsidRPr="008516D1">
        <w:t>les</w:t>
      </w:r>
      <w:r>
        <w:t xml:space="preserve"> </w:t>
      </w:r>
      <w:r w:rsidRPr="008516D1">
        <w:t>forces</w:t>
      </w:r>
      <w:r>
        <w:t xml:space="preserve"> </w:t>
      </w:r>
      <w:r w:rsidRPr="008516D1">
        <w:t>de</w:t>
      </w:r>
      <w:r>
        <w:t xml:space="preserve"> </w:t>
      </w:r>
      <w:r w:rsidRPr="008516D1">
        <w:t>l</w:t>
      </w:r>
      <w:r>
        <w:t>’</w:t>
      </w:r>
      <w:r w:rsidRPr="008516D1">
        <w:t>ordre,</w:t>
      </w:r>
      <w:r>
        <w:t xml:space="preserve"> </w:t>
      </w:r>
      <w:r w:rsidRPr="008516D1">
        <w:t>lorsqu</w:t>
      </w:r>
      <w:r>
        <w:t>’</w:t>
      </w:r>
      <w:r w:rsidRPr="008516D1">
        <w:t>elles</w:t>
      </w:r>
      <w:r>
        <w:t xml:space="preserve"> </w:t>
      </w:r>
      <w:r w:rsidRPr="008516D1">
        <w:t>doivent</w:t>
      </w:r>
      <w:r>
        <w:t xml:space="preserve"> </w:t>
      </w:r>
      <w:r w:rsidRPr="008516D1">
        <w:t>procéder</w:t>
      </w:r>
      <w:r>
        <w:t xml:space="preserve"> </w:t>
      </w:r>
      <w:r w:rsidRPr="008516D1">
        <w:t>à</w:t>
      </w:r>
      <w:r>
        <w:t xml:space="preserve"> </w:t>
      </w:r>
      <w:r w:rsidRPr="008516D1">
        <w:t>des</w:t>
      </w:r>
      <w:r>
        <w:t xml:space="preserve"> </w:t>
      </w:r>
      <w:r w:rsidRPr="008516D1">
        <w:t>arrestations</w:t>
      </w:r>
      <w:r>
        <w:t xml:space="preserve"> </w:t>
      </w:r>
      <w:r w:rsidRPr="008516D1">
        <w:t>ou</w:t>
      </w:r>
      <w:r>
        <w:t xml:space="preserve"> </w:t>
      </w:r>
      <w:r w:rsidRPr="008516D1">
        <w:t>à</w:t>
      </w:r>
      <w:r>
        <w:t xml:space="preserve"> </w:t>
      </w:r>
      <w:r w:rsidRPr="008516D1">
        <w:t>des</w:t>
      </w:r>
      <w:r>
        <w:t xml:space="preserve"> </w:t>
      </w:r>
      <w:r w:rsidRPr="008516D1">
        <w:t>gardes</w:t>
      </w:r>
      <w:r>
        <w:t xml:space="preserve"> </w:t>
      </w:r>
      <w:r w:rsidRPr="008516D1">
        <w:t>à</w:t>
      </w:r>
      <w:r>
        <w:t xml:space="preserve"> </w:t>
      </w:r>
      <w:r w:rsidRPr="008516D1">
        <w:t>vue,</w:t>
      </w:r>
      <w:r>
        <w:t xml:space="preserve"> </w:t>
      </w:r>
      <w:r w:rsidRPr="008516D1">
        <w:t>respectent</w:t>
      </w:r>
      <w:r>
        <w:t xml:space="preserve"> </w:t>
      </w:r>
      <w:r w:rsidRPr="008516D1">
        <w:t>les</w:t>
      </w:r>
      <w:r>
        <w:t xml:space="preserve"> </w:t>
      </w:r>
      <w:r w:rsidRPr="008516D1">
        <w:t>dispositions</w:t>
      </w:r>
      <w:r>
        <w:t xml:space="preserve"> </w:t>
      </w:r>
      <w:r w:rsidRPr="008516D1">
        <w:t>des</w:t>
      </w:r>
      <w:r>
        <w:t xml:space="preserve"> </w:t>
      </w:r>
      <w:r w:rsidRPr="008516D1">
        <w:t>articles</w:t>
      </w:r>
      <w:r>
        <w:t xml:space="preserve"> </w:t>
      </w:r>
      <w:r w:rsidRPr="008516D1">
        <w:t>68</w:t>
      </w:r>
      <w:r>
        <w:t xml:space="preserve"> </w:t>
      </w:r>
      <w:r w:rsidRPr="008516D1">
        <w:t>et</w:t>
      </w:r>
      <w:r>
        <w:t xml:space="preserve"> </w:t>
      </w:r>
      <w:r w:rsidRPr="008516D1">
        <w:t>71</w:t>
      </w:r>
      <w:r>
        <w:t xml:space="preserve"> </w:t>
      </w:r>
      <w:r w:rsidRPr="008516D1">
        <w:t>de</w:t>
      </w:r>
      <w:r>
        <w:t xml:space="preserve"> </w:t>
      </w:r>
      <w:r w:rsidRPr="008516D1">
        <w:t>la</w:t>
      </w:r>
      <w:r>
        <w:t xml:space="preserve"> </w:t>
      </w:r>
      <w:r w:rsidRPr="008516D1">
        <w:t>Constitution,</w:t>
      </w:r>
      <w:r>
        <w:t xml:space="preserve"> </w:t>
      </w:r>
      <w:r w:rsidRPr="008516D1">
        <w:t>des</w:t>
      </w:r>
      <w:r>
        <w:t xml:space="preserve"> </w:t>
      </w:r>
      <w:r w:rsidRPr="008516D1">
        <w:t>articles</w:t>
      </w:r>
      <w:r>
        <w:t xml:space="preserve"> </w:t>
      </w:r>
      <w:r w:rsidRPr="008516D1">
        <w:t>101,</w:t>
      </w:r>
      <w:r>
        <w:t xml:space="preserve"> </w:t>
      </w:r>
      <w:r w:rsidRPr="008516D1">
        <w:t>175,</w:t>
      </w:r>
      <w:r>
        <w:t xml:space="preserve"> </w:t>
      </w:r>
      <w:r w:rsidRPr="008516D1">
        <w:t>282</w:t>
      </w:r>
      <w:r>
        <w:t xml:space="preserve"> </w:t>
      </w:r>
      <w:r w:rsidRPr="008516D1">
        <w:t>et</w:t>
      </w:r>
      <w:r>
        <w:t xml:space="preserve"> </w:t>
      </w:r>
      <w:r w:rsidRPr="008516D1">
        <w:t>285</w:t>
      </w:r>
      <w:r>
        <w:t xml:space="preserve"> </w:t>
      </w:r>
      <w:r w:rsidRPr="008516D1">
        <w:t>du</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des</w:t>
      </w:r>
      <w:r>
        <w:t xml:space="preserve"> </w:t>
      </w:r>
      <w:r w:rsidRPr="008516D1">
        <w:t>manuels</w:t>
      </w:r>
      <w:r>
        <w:t xml:space="preserve"> </w:t>
      </w:r>
      <w:r w:rsidRPr="008516D1">
        <w:t>de</w:t>
      </w:r>
      <w:r>
        <w:t xml:space="preserve"> </w:t>
      </w:r>
      <w:r w:rsidRPr="008516D1">
        <w:t>procédures</w:t>
      </w:r>
      <w:r>
        <w:t xml:space="preserve"> </w:t>
      </w:r>
      <w:r w:rsidRPr="008516D1">
        <w:t>policières</w:t>
      </w:r>
      <w:r>
        <w:t xml:space="preserve"> </w:t>
      </w:r>
      <w:r w:rsidRPr="008516D1">
        <w:t>et</w:t>
      </w:r>
      <w:r>
        <w:t xml:space="preserve"> </w:t>
      </w:r>
      <w:r w:rsidRPr="008516D1">
        <w:t>du</w:t>
      </w:r>
      <w:r>
        <w:t xml:space="preserve"> </w:t>
      </w:r>
      <w:r w:rsidRPr="008516D1">
        <w:t>Guide</w:t>
      </w:r>
      <w:r>
        <w:t xml:space="preserve"> </w:t>
      </w:r>
      <w:r w:rsidRPr="008516D1">
        <w:t>des</w:t>
      </w:r>
      <w:r>
        <w:t xml:space="preserve"> </w:t>
      </w:r>
      <w:r w:rsidRPr="008516D1">
        <w:t>procédures,</w:t>
      </w:r>
      <w:r>
        <w:t xml:space="preserve"> </w:t>
      </w:r>
      <w:r w:rsidRPr="008516D1">
        <w:t>dans</w:t>
      </w:r>
      <w:r>
        <w:t xml:space="preserve"> </w:t>
      </w:r>
      <w:r w:rsidRPr="008516D1">
        <w:t>le</w:t>
      </w:r>
      <w:r>
        <w:t xml:space="preserve"> </w:t>
      </w:r>
      <w:r w:rsidRPr="008516D1">
        <w:t>strict</w:t>
      </w:r>
      <w:r>
        <w:t xml:space="preserve"> </w:t>
      </w:r>
      <w:r w:rsidRPr="008516D1">
        <w:t>respect</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434FFBA2" w14:textId="59DA284E" w:rsidR="00286956" w:rsidRPr="008516D1" w:rsidRDefault="00286956" w:rsidP="00286956">
      <w:pPr>
        <w:pStyle w:val="SingleTxtG"/>
        <w:keepNext/>
      </w:pPr>
      <w:bookmarkStart w:id="25" w:name="_Hlk92653449"/>
      <w:r w:rsidRPr="008516D1">
        <w:t>120.</w:t>
      </w:r>
      <w:r w:rsidRPr="008516D1">
        <w:tab/>
        <w:t>Lorsqu</w:t>
      </w:r>
      <w:r>
        <w:t>’</w:t>
      </w:r>
      <w:r w:rsidRPr="008516D1">
        <w:t>ils</w:t>
      </w:r>
      <w:r>
        <w:t xml:space="preserve"> </w:t>
      </w:r>
      <w:r w:rsidRPr="008516D1">
        <w:t>procèdent</w:t>
      </w:r>
      <w:r>
        <w:t xml:space="preserve"> </w:t>
      </w:r>
      <w:r w:rsidRPr="008516D1">
        <w:t>à</w:t>
      </w:r>
      <w:r>
        <w:t xml:space="preserve"> </w:t>
      </w:r>
      <w:r w:rsidRPr="008516D1">
        <w:t>l</w:t>
      </w:r>
      <w:r>
        <w:t>’</w:t>
      </w:r>
      <w:r w:rsidRPr="008516D1">
        <w:t>arrestation</w:t>
      </w:r>
      <w:r>
        <w:t xml:space="preserve"> </w:t>
      </w:r>
      <w:r w:rsidRPr="008516D1">
        <w:t>d</w:t>
      </w:r>
      <w:r>
        <w:t>’</w:t>
      </w:r>
      <w:r w:rsidRPr="008516D1">
        <w:t>une</w:t>
      </w:r>
      <w:r>
        <w:t xml:space="preserve"> </w:t>
      </w:r>
      <w:r w:rsidRPr="008516D1">
        <w:t>personne,</w:t>
      </w:r>
      <w:r>
        <w:t xml:space="preserve"> </w:t>
      </w:r>
      <w:r w:rsidRPr="008516D1">
        <w:t>les</w:t>
      </w:r>
      <w:r>
        <w:t xml:space="preserve"> </w:t>
      </w:r>
      <w:r w:rsidRPr="008516D1">
        <w:t>agents</w:t>
      </w:r>
      <w:r>
        <w:t xml:space="preserve"> </w:t>
      </w:r>
      <w:r w:rsidRPr="008516D1">
        <w:t>des</w:t>
      </w:r>
      <w:r>
        <w:t xml:space="preserve"> </w:t>
      </w:r>
      <w:r w:rsidRPr="008516D1">
        <w:t>forces</w:t>
      </w:r>
      <w:r>
        <w:t xml:space="preserve"> </w:t>
      </w:r>
      <w:r w:rsidRPr="008516D1">
        <w:t>de</w:t>
      </w:r>
      <w:r>
        <w:t xml:space="preserve"> </w:t>
      </w:r>
      <w:r w:rsidRPr="008516D1">
        <w:t>l</w:t>
      </w:r>
      <w:r>
        <w:t>’</w:t>
      </w:r>
      <w:r w:rsidRPr="008516D1">
        <w:t>ordre</w:t>
      </w:r>
      <w:r>
        <w:t xml:space="preserve"> </w:t>
      </w:r>
      <w:r w:rsidRPr="008516D1">
        <w:t>sont</w:t>
      </w:r>
      <w:r>
        <w:t xml:space="preserve"> </w:t>
      </w:r>
      <w:r w:rsidRPr="008516D1">
        <w:t>tenus</w:t>
      </w:r>
      <w:r>
        <w:t xml:space="preserve"> </w:t>
      </w:r>
      <w:r w:rsidRPr="008516D1">
        <w:t>de</w:t>
      </w:r>
      <w:r>
        <w:t> :</w:t>
      </w:r>
    </w:p>
    <w:p w14:paraId="6E754A71" w14:textId="7D001965" w:rsidR="00286956" w:rsidRPr="008516D1" w:rsidRDefault="00286956" w:rsidP="00286956">
      <w:pPr>
        <w:pStyle w:val="SingleTxtG"/>
        <w:ind w:firstLine="567"/>
      </w:pPr>
      <w:r w:rsidRPr="008516D1">
        <w:t>a)</w:t>
      </w:r>
      <w:r w:rsidRPr="008516D1">
        <w:tab/>
        <w:t>S</w:t>
      </w:r>
      <w:r>
        <w:t>’</w:t>
      </w:r>
      <w:r w:rsidRPr="008516D1">
        <w:t>identifier</w:t>
      </w:r>
      <w:r>
        <w:t xml:space="preserve"> </w:t>
      </w:r>
      <w:r w:rsidRPr="008516D1">
        <w:t>en</w:t>
      </w:r>
      <w:r>
        <w:t xml:space="preserve"> </w:t>
      </w:r>
      <w:r w:rsidRPr="008516D1">
        <w:t>présentant</w:t>
      </w:r>
      <w:r>
        <w:t xml:space="preserve"> </w:t>
      </w:r>
      <w:r w:rsidRPr="008516D1">
        <w:t>une</w:t>
      </w:r>
      <w:r>
        <w:t xml:space="preserve"> </w:t>
      </w:r>
      <w:r w:rsidRPr="008516D1">
        <w:t>carte</w:t>
      </w:r>
      <w:r>
        <w:t xml:space="preserve"> </w:t>
      </w:r>
      <w:r w:rsidRPr="008516D1">
        <w:t>ou</w:t>
      </w:r>
      <w:r>
        <w:t xml:space="preserve"> </w:t>
      </w:r>
      <w:r w:rsidRPr="008516D1">
        <w:t>une</w:t>
      </w:r>
      <w:r>
        <w:t xml:space="preserve"> </w:t>
      </w:r>
      <w:r w:rsidRPr="008516D1">
        <w:t>plaque</w:t>
      </w:r>
      <w:r>
        <w:t xml:space="preserve"> </w:t>
      </w:r>
      <w:r w:rsidRPr="008516D1">
        <w:t>prouvant</w:t>
      </w:r>
      <w:r>
        <w:t xml:space="preserve"> </w:t>
      </w:r>
      <w:r w:rsidRPr="008516D1">
        <w:t>leur</w:t>
      </w:r>
      <w:r>
        <w:t xml:space="preserve"> </w:t>
      </w:r>
      <w:r w:rsidRPr="008516D1">
        <w:t>qualité</w:t>
      </w:r>
      <w:r>
        <w:t xml:space="preserve"> </w:t>
      </w:r>
      <w:r w:rsidRPr="008516D1">
        <w:t>d</w:t>
      </w:r>
      <w:r>
        <w:t>’</w:t>
      </w:r>
      <w:r w:rsidRPr="008516D1">
        <w:t>agent</w:t>
      </w:r>
      <w:r>
        <w:t xml:space="preserve"> </w:t>
      </w:r>
      <w:r w:rsidRPr="008516D1">
        <w:t>de</w:t>
      </w:r>
      <w:r>
        <w:t xml:space="preserve"> </w:t>
      </w:r>
      <w:r w:rsidRPr="008516D1">
        <w:t>l</w:t>
      </w:r>
      <w:r>
        <w:t>’</w:t>
      </w:r>
      <w:r w:rsidRPr="008516D1">
        <w:t>autorité</w:t>
      </w:r>
      <w:r>
        <w:t> ;</w:t>
      </w:r>
    </w:p>
    <w:p w14:paraId="24B5D407" w14:textId="0143CF33" w:rsidR="00286956" w:rsidRPr="008516D1" w:rsidRDefault="00286956" w:rsidP="00286956">
      <w:pPr>
        <w:pStyle w:val="SingleTxtG"/>
        <w:ind w:firstLine="567"/>
      </w:pPr>
      <w:r w:rsidRPr="008516D1">
        <w:t>b)</w:t>
      </w:r>
      <w:r w:rsidRPr="008516D1">
        <w:tab/>
        <w:t>Ne</w:t>
      </w:r>
      <w:r>
        <w:t xml:space="preserve"> </w:t>
      </w:r>
      <w:r w:rsidRPr="008516D1">
        <w:t>recourir</w:t>
      </w:r>
      <w:r>
        <w:t xml:space="preserve"> </w:t>
      </w:r>
      <w:r w:rsidRPr="008516D1">
        <w:t>à</w:t>
      </w:r>
      <w:r>
        <w:t xml:space="preserve"> </w:t>
      </w:r>
      <w:r w:rsidRPr="008516D1">
        <w:t>la</w:t>
      </w:r>
      <w:r>
        <w:t xml:space="preserve"> </w:t>
      </w:r>
      <w:r w:rsidRPr="008516D1">
        <w:t>force</w:t>
      </w:r>
      <w:r>
        <w:t xml:space="preserve"> </w:t>
      </w:r>
      <w:r w:rsidRPr="008516D1">
        <w:t>qu</w:t>
      </w:r>
      <w:r>
        <w:t>’</w:t>
      </w:r>
      <w:r w:rsidRPr="008516D1">
        <w:t>en</w:t>
      </w:r>
      <w:r>
        <w:t xml:space="preserve"> </w:t>
      </w:r>
      <w:r w:rsidRPr="008516D1">
        <w:t>cas</w:t>
      </w:r>
      <w:r>
        <w:t xml:space="preserve"> </w:t>
      </w:r>
      <w:r w:rsidRPr="008516D1">
        <w:t>d</w:t>
      </w:r>
      <w:r>
        <w:t>’</w:t>
      </w:r>
      <w:r w:rsidRPr="008516D1">
        <w:t>absolue</w:t>
      </w:r>
      <w:r>
        <w:t xml:space="preserve"> </w:t>
      </w:r>
      <w:r w:rsidRPr="008516D1">
        <w:t>nécessité</w:t>
      </w:r>
      <w:r>
        <w:t> ;</w:t>
      </w:r>
    </w:p>
    <w:p w14:paraId="6E93D77F" w14:textId="75215C14" w:rsidR="00286956" w:rsidRPr="008516D1" w:rsidRDefault="00286956" w:rsidP="00286956">
      <w:pPr>
        <w:pStyle w:val="SingleTxtG"/>
        <w:ind w:firstLine="567"/>
      </w:pPr>
      <w:r w:rsidRPr="008516D1">
        <w:t>c)</w:t>
      </w:r>
      <w:r w:rsidRPr="008516D1">
        <w:tab/>
        <w:t>Ne</w:t>
      </w:r>
      <w:r>
        <w:t xml:space="preserve"> </w:t>
      </w:r>
      <w:r w:rsidRPr="008516D1">
        <w:t>pas</w:t>
      </w:r>
      <w:r>
        <w:t xml:space="preserve"> </w:t>
      </w:r>
      <w:r w:rsidRPr="008516D1">
        <w:t>commettre,</w:t>
      </w:r>
      <w:r>
        <w:t xml:space="preserve"> </w:t>
      </w:r>
      <w:r w:rsidRPr="008516D1">
        <w:t>inciter</w:t>
      </w:r>
      <w:r>
        <w:t xml:space="preserve"> </w:t>
      </w:r>
      <w:r w:rsidRPr="008516D1">
        <w:t>à</w:t>
      </w:r>
      <w:r>
        <w:t xml:space="preserve"> </w:t>
      </w:r>
      <w:r w:rsidRPr="008516D1">
        <w:t>la</w:t>
      </w:r>
      <w:r>
        <w:t xml:space="preserve"> </w:t>
      </w:r>
      <w:r w:rsidRPr="008516D1">
        <w:t>commission</w:t>
      </w:r>
      <w:r>
        <w:t xml:space="preserve"> </w:t>
      </w:r>
      <w:r w:rsidRPr="008516D1">
        <w:t>ou</w:t>
      </w:r>
      <w:r>
        <w:t xml:space="preserve"> </w:t>
      </w:r>
      <w:r w:rsidRPr="008516D1">
        <w:t>permettre</w:t>
      </w:r>
      <w:r>
        <w:t xml:space="preserve"> </w:t>
      </w:r>
      <w:r w:rsidRPr="008516D1">
        <w:t>la</w:t>
      </w:r>
      <w:r>
        <w:t xml:space="preserve"> </w:t>
      </w:r>
      <w:r w:rsidRPr="008516D1">
        <w:t>commission</w:t>
      </w:r>
      <w:r>
        <w:t xml:space="preserve"> </w:t>
      </w:r>
      <w:r w:rsidRPr="008516D1">
        <w:t>de</w:t>
      </w:r>
      <w:r>
        <w:t xml:space="preserve"> </w:t>
      </w:r>
      <w:r w:rsidRPr="008516D1">
        <w:t>tortures,</w:t>
      </w:r>
      <w:r>
        <w:t xml:space="preserve"> </w:t>
      </w:r>
      <w:r w:rsidRPr="008516D1">
        <w:t>de</w:t>
      </w:r>
      <w:r>
        <w:t xml:space="preserve"> </w:t>
      </w:r>
      <w:r w:rsidRPr="008516D1">
        <w:t>peines</w:t>
      </w:r>
      <w:r>
        <w:t xml:space="preserve"> </w:t>
      </w:r>
      <w:r w:rsidRPr="008516D1">
        <w:t>ou</w:t>
      </w:r>
      <w:r>
        <w:t xml:space="preserve"> </w:t>
      </w:r>
      <w:r w:rsidRPr="008516D1">
        <w:t>de</w:t>
      </w:r>
      <w:r>
        <w:t xml:space="preserve"> </w:t>
      </w:r>
      <w:r w:rsidRPr="008516D1">
        <w:t>traitements</w:t>
      </w:r>
      <w:r>
        <w:t xml:space="preserve"> </w:t>
      </w:r>
      <w:r w:rsidRPr="008516D1">
        <w:t>cruels,</w:t>
      </w:r>
      <w:r>
        <w:t xml:space="preserve"> </w:t>
      </w:r>
      <w:r w:rsidRPr="008516D1">
        <w:t>inhumains</w:t>
      </w:r>
      <w:r>
        <w:t xml:space="preserve"> </w:t>
      </w:r>
      <w:r w:rsidRPr="008516D1">
        <w:t>ou</w:t>
      </w:r>
      <w:r>
        <w:t xml:space="preserve"> </w:t>
      </w:r>
      <w:r w:rsidRPr="008516D1">
        <w:t>dégradants</w:t>
      </w:r>
      <w:r>
        <w:t> ;</w:t>
      </w:r>
    </w:p>
    <w:p w14:paraId="38BF23DD" w14:textId="08E4BEE7" w:rsidR="00286956" w:rsidRPr="008516D1" w:rsidRDefault="00286956" w:rsidP="00286956">
      <w:pPr>
        <w:pStyle w:val="SingleTxtG"/>
        <w:ind w:firstLine="567"/>
      </w:pPr>
      <w:r w:rsidRPr="008516D1">
        <w:t>d)</w:t>
      </w:r>
      <w:r w:rsidRPr="008516D1">
        <w:tab/>
        <w:t>Assurer</w:t>
      </w:r>
      <w:r>
        <w:t xml:space="preserve"> </w:t>
      </w:r>
      <w:r w:rsidRPr="008516D1">
        <w:t>le</w:t>
      </w:r>
      <w:r>
        <w:t xml:space="preserve"> </w:t>
      </w:r>
      <w:r w:rsidRPr="008516D1">
        <w:t>respect</w:t>
      </w:r>
      <w:r>
        <w:t xml:space="preserve"> </w:t>
      </w:r>
      <w:r w:rsidRPr="008516D1">
        <w:t>de</w:t>
      </w:r>
      <w:r>
        <w:t xml:space="preserve"> </w:t>
      </w:r>
      <w:r w:rsidRPr="008516D1">
        <w:t>la</w:t>
      </w:r>
      <w:r>
        <w:t xml:space="preserve"> </w:t>
      </w:r>
      <w:r w:rsidRPr="008516D1">
        <w:t>présomption</w:t>
      </w:r>
      <w:r>
        <w:t xml:space="preserve"> </w:t>
      </w:r>
      <w:r w:rsidRPr="008516D1">
        <w:t>d</w:t>
      </w:r>
      <w:r>
        <w:t>’</w:t>
      </w:r>
      <w:r w:rsidRPr="008516D1">
        <w:t>innocence</w:t>
      </w:r>
      <w:r>
        <w:t xml:space="preserve"> </w:t>
      </w:r>
      <w:r w:rsidRPr="008516D1">
        <w:t>et</w:t>
      </w:r>
      <w:r>
        <w:t xml:space="preserve"> </w:t>
      </w:r>
      <w:r w:rsidRPr="008516D1">
        <w:t>du</w:t>
      </w:r>
      <w:r>
        <w:t xml:space="preserve"> </w:t>
      </w:r>
      <w:r w:rsidRPr="008516D1">
        <w:t>droit</w:t>
      </w:r>
      <w:r>
        <w:t xml:space="preserve"> </w:t>
      </w:r>
      <w:r w:rsidRPr="008516D1">
        <w:t>à</w:t>
      </w:r>
      <w:r>
        <w:t xml:space="preserve"> </w:t>
      </w:r>
      <w:r w:rsidRPr="008516D1">
        <w:t>l</w:t>
      </w:r>
      <w:r>
        <w:t>’</w:t>
      </w:r>
      <w:r w:rsidRPr="008516D1">
        <w:t>image</w:t>
      </w:r>
      <w:r>
        <w:t> ;</w:t>
      </w:r>
    </w:p>
    <w:p w14:paraId="17CFB186" w14:textId="22B586FB" w:rsidR="00286956" w:rsidRPr="008516D1" w:rsidRDefault="00286956" w:rsidP="00286956">
      <w:pPr>
        <w:pStyle w:val="SingleTxtG"/>
        <w:ind w:firstLine="567"/>
      </w:pPr>
      <w:r w:rsidRPr="008516D1">
        <w:t>e)</w:t>
      </w:r>
      <w:r w:rsidRPr="008516D1">
        <w:tab/>
        <w:t>Informer</w:t>
      </w:r>
      <w:r>
        <w:t xml:space="preserve"> </w:t>
      </w:r>
      <w:r w:rsidRPr="008516D1">
        <w:t>les</w:t>
      </w:r>
      <w:r>
        <w:t xml:space="preserve"> </w:t>
      </w:r>
      <w:r w:rsidRPr="008516D1">
        <w:t>personnes</w:t>
      </w:r>
      <w:r>
        <w:t xml:space="preserve"> </w:t>
      </w:r>
      <w:r w:rsidRPr="008516D1">
        <w:t>arrêtées</w:t>
      </w:r>
      <w:r>
        <w:t xml:space="preserve"> </w:t>
      </w:r>
      <w:r w:rsidRPr="008516D1">
        <w:t>ou</w:t>
      </w:r>
      <w:r>
        <w:t xml:space="preserve"> </w:t>
      </w:r>
      <w:r w:rsidRPr="008516D1">
        <w:t>placées</w:t>
      </w:r>
      <w:r>
        <w:t xml:space="preserve"> </w:t>
      </w:r>
      <w:r w:rsidRPr="008516D1">
        <w:t>en</w:t>
      </w:r>
      <w:r>
        <w:t xml:space="preserve"> </w:t>
      </w:r>
      <w:r w:rsidRPr="008516D1">
        <w:t>garde</w:t>
      </w:r>
      <w:r>
        <w:t xml:space="preserve"> </w:t>
      </w:r>
      <w:r w:rsidRPr="008516D1">
        <w:t>à</w:t>
      </w:r>
      <w:r>
        <w:t xml:space="preserve"> </w:t>
      </w:r>
      <w:r w:rsidRPr="008516D1">
        <w:t>vue</w:t>
      </w:r>
      <w:r>
        <w:t xml:space="preserve"> </w:t>
      </w:r>
      <w:r w:rsidRPr="008516D1">
        <w:t>de</w:t>
      </w:r>
      <w:r>
        <w:t xml:space="preserve"> </w:t>
      </w:r>
      <w:r w:rsidRPr="008516D1">
        <w:t>leurs</w:t>
      </w:r>
      <w:r>
        <w:t xml:space="preserve"> </w:t>
      </w:r>
      <w:r w:rsidRPr="008516D1">
        <w:t>droits</w:t>
      </w:r>
      <w:r>
        <w:t xml:space="preserve"> </w:t>
      </w:r>
      <w:r w:rsidRPr="008516D1">
        <w:t>fondamentaux</w:t>
      </w:r>
      <w:r>
        <w:t xml:space="preserve"> </w:t>
      </w:r>
      <w:r w:rsidRPr="008516D1">
        <w:t>et,</w:t>
      </w:r>
      <w:r>
        <w:t xml:space="preserve"> </w:t>
      </w:r>
      <w:r w:rsidRPr="008516D1">
        <w:t>notamment</w:t>
      </w:r>
      <w:r>
        <w:t xml:space="preserve"> : </w:t>
      </w:r>
      <w:r w:rsidRPr="008516D1">
        <w:t>du</w:t>
      </w:r>
      <w:r>
        <w:t xml:space="preserve"> </w:t>
      </w:r>
      <w:r w:rsidRPr="008516D1">
        <w:t>motif</w:t>
      </w:r>
      <w:r>
        <w:t xml:space="preserve"> </w:t>
      </w:r>
      <w:r w:rsidRPr="008516D1">
        <w:t>de</w:t>
      </w:r>
      <w:r>
        <w:t xml:space="preserve"> </w:t>
      </w:r>
      <w:r w:rsidRPr="008516D1">
        <w:t>leur</w:t>
      </w:r>
      <w:r>
        <w:t xml:space="preserve"> </w:t>
      </w:r>
      <w:r w:rsidRPr="008516D1">
        <w:t>arrestation</w:t>
      </w:r>
      <w:r>
        <w:t xml:space="preserve"> ; </w:t>
      </w:r>
      <w:r w:rsidRPr="008516D1">
        <w:t>de</w:t>
      </w:r>
      <w:r>
        <w:t xml:space="preserve"> </w:t>
      </w:r>
      <w:r w:rsidRPr="008516D1">
        <w:t>leur</w:t>
      </w:r>
      <w:r>
        <w:t xml:space="preserve"> </w:t>
      </w:r>
      <w:r w:rsidRPr="008516D1">
        <w:t>placement</w:t>
      </w:r>
      <w:r>
        <w:t xml:space="preserve"> </w:t>
      </w:r>
      <w:r w:rsidRPr="008516D1">
        <w:t>en</w:t>
      </w:r>
      <w:r>
        <w:t xml:space="preserve"> </w:t>
      </w:r>
      <w:r w:rsidRPr="008516D1">
        <w:t>garde</w:t>
      </w:r>
      <w:r>
        <w:t xml:space="preserve"> </w:t>
      </w:r>
      <w:r w:rsidRPr="008516D1">
        <w:t>à</w:t>
      </w:r>
      <w:r>
        <w:t xml:space="preserve"> </w:t>
      </w:r>
      <w:r w:rsidRPr="008516D1">
        <w:t>vue</w:t>
      </w:r>
      <w:r>
        <w:t xml:space="preserve"> </w:t>
      </w:r>
      <w:r w:rsidRPr="008516D1">
        <w:t>et</w:t>
      </w:r>
      <w:r>
        <w:t xml:space="preserve"> </w:t>
      </w:r>
      <w:r w:rsidRPr="008516D1">
        <w:t>de</w:t>
      </w:r>
      <w:r>
        <w:t xml:space="preserve"> </w:t>
      </w:r>
      <w:r w:rsidRPr="008516D1">
        <w:t>l</w:t>
      </w:r>
      <w:r>
        <w:t>’</w:t>
      </w:r>
      <w:r w:rsidRPr="008516D1">
        <w:t>établissement</w:t>
      </w:r>
      <w:r>
        <w:t xml:space="preserve"> </w:t>
      </w:r>
      <w:r w:rsidRPr="008516D1">
        <w:t>dans</w:t>
      </w:r>
      <w:r>
        <w:t xml:space="preserve"> </w:t>
      </w:r>
      <w:r w:rsidRPr="008516D1">
        <w:t>lequel</w:t>
      </w:r>
      <w:r>
        <w:t xml:space="preserve"> </w:t>
      </w:r>
      <w:r w:rsidRPr="008516D1">
        <w:t>elles</w:t>
      </w:r>
      <w:r>
        <w:t xml:space="preserve"> </w:t>
      </w:r>
      <w:r w:rsidRPr="008516D1">
        <w:t>seront</w:t>
      </w:r>
      <w:r>
        <w:t xml:space="preserve"> </w:t>
      </w:r>
      <w:r w:rsidRPr="008516D1">
        <w:t>conduites</w:t>
      </w:r>
      <w:r>
        <w:t xml:space="preserve"> ; </w:t>
      </w:r>
      <w:r w:rsidRPr="008516D1">
        <w:t>de</w:t>
      </w:r>
      <w:r>
        <w:t xml:space="preserve"> </w:t>
      </w:r>
      <w:r w:rsidRPr="008516D1">
        <w:t>leur</w:t>
      </w:r>
      <w:r>
        <w:t xml:space="preserve"> </w:t>
      </w:r>
      <w:r w:rsidRPr="008516D1">
        <w:t>droit</w:t>
      </w:r>
      <w:r>
        <w:t xml:space="preserve"> </w:t>
      </w:r>
      <w:r w:rsidRPr="008516D1">
        <w:t>d</w:t>
      </w:r>
      <w:r>
        <w:t>’</w:t>
      </w:r>
      <w:r w:rsidRPr="008516D1">
        <w:t>être</w:t>
      </w:r>
      <w:r>
        <w:t xml:space="preserve"> </w:t>
      </w:r>
      <w:r w:rsidRPr="008516D1">
        <w:t>assistées</w:t>
      </w:r>
      <w:r>
        <w:t xml:space="preserve"> </w:t>
      </w:r>
      <w:r w:rsidRPr="008516D1">
        <w:t>par</w:t>
      </w:r>
      <w:r>
        <w:t xml:space="preserve"> </w:t>
      </w:r>
      <w:r w:rsidRPr="008516D1">
        <w:t>un</w:t>
      </w:r>
      <w:r>
        <w:t xml:space="preserve"> </w:t>
      </w:r>
      <w:r w:rsidRPr="008516D1">
        <w:lastRenderedPageBreak/>
        <w:t>défenseur,</w:t>
      </w:r>
      <w:r>
        <w:t xml:space="preserve"> </w:t>
      </w:r>
      <w:r w:rsidRPr="008516D1">
        <w:t>de</w:t>
      </w:r>
      <w:r>
        <w:t xml:space="preserve"> </w:t>
      </w:r>
      <w:r w:rsidRPr="008516D1">
        <w:t>garder</w:t>
      </w:r>
      <w:r>
        <w:t xml:space="preserve"> </w:t>
      </w:r>
      <w:r w:rsidRPr="008516D1">
        <w:t>le</w:t>
      </w:r>
      <w:r>
        <w:t xml:space="preserve"> </w:t>
      </w:r>
      <w:r w:rsidRPr="008516D1">
        <w:t>silence</w:t>
      </w:r>
      <w:r>
        <w:t xml:space="preserve"> </w:t>
      </w:r>
      <w:r w:rsidRPr="008516D1">
        <w:t>et</w:t>
      </w:r>
      <w:r>
        <w:t xml:space="preserve"> </w:t>
      </w:r>
      <w:r w:rsidRPr="008516D1">
        <w:t>de</w:t>
      </w:r>
      <w:r>
        <w:t xml:space="preserve"> </w:t>
      </w:r>
      <w:r w:rsidRPr="008516D1">
        <w:t>ne</w:t>
      </w:r>
      <w:r>
        <w:t xml:space="preserve"> </w:t>
      </w:r>
      <w:r w:rsidRPr="008516D1">
        <w:t>pas</w:t>
      </w:r>
      <w:r>
        <w:t xml:space="preserve"> </w:t>
      </w:r>
      <w:r w:rsidRPr="008516D1">
        <w:t>témoigner</w:t>
      </w:r>
      <w:r>
        <w:t xml:space="preserve"> </w:t>
      </w:r>
      <w:r w:rsidRPr="008516D1">
        <w:t>contre</w:t>
      </w:r>
      <w:r>
        <w:t xml:space="preserve"> </w:t>
      </w:r>
      <w:r w:rsidRPr="008516D1">
        <w:t>elles-mêmes</w:t>
      </w:r>
      <w:r>
        <w:t xml:space="preserve"> ; </w:t>
      </w:r>
      <w:r w:rsidRPr="008516D1">
        <w:t>du</w:t>
      </w:r>
      <w:r>
        <w:t xml:space="preserve"> </w:t>
      </w:r>
      <w:r w:rsidRPr="008516D1">
        <w:t>fait</w:t>
      </w:r>
      <w:r>
        <w:t xml:space="preserve"> </w:t>
      </w:r>
      <w:r w:rsidRPr="008516D1">
        <w:t>que</w:t>
      </w:r>
      <w:r>
        <w:t xml:space="preserve"> </w:t>
      </w:r>
      <w:r w:rsidRPr="008516D1">
        <w:t>seule</w:t>
      </w:r>
      <w:r>
        <w:t xml:space="preserve"> </w:t>
      </w:r>
      <w:r w:rsidRPr="008516D1">
        <w:t>une</w:t>
      </w:r>
      <w:r>
        <w:t xml:space="preserve"> </w:t>
      </w:r>
      <w:r w:rsidRPr="008516D1">
        <w:t>déclaration</w:t>
      </w:r>
      <w:r>
        <w:t xml:space="preserve"> </w:t>
      </w:r>
      <w:r w:rsidRPr="008516D1">
        <w:t>faite</w:t>
      </w:r>
      <w:r>
        <w:t xml:space="preserve"> </w:t>
      </w:r>
      <w:r w:rsidRPr="008516D1">
        <w:t>devant</w:t>
      </w:r>
      <w:r>
        <w:t xml:space="preserve"> </w:t>
      </w:r>
      <w:r w:rsidRPr="008516D1">
        <w:t>un</w:t>
      </w:r>
      <w:r>
        <w:t xml:space="preserve"> </w:t>
      </w:r>
      <w:r w:rsidRPr="008516D1">
        <w:t>juge</w:t>
      </w:r>
      <w:r>
        <w:t xml:space="preserve"> </w:t>
      </w:r>
      <w:r w:rsidRPr="008516D1">
        <w:t>compétent</w:t>
      </w:r>
      <w:r>
        <w:t xml:space="preserve"> </w:t>
      </w:r>
      <w:r w:rsidRPr="008516D1">
        <w:t>constitue</w:t>
      </w:r>
      <w:r>
        <w:t xml:space="preserve"> </w:t>
      </w:r>
      <w:r w:rsidRPr="008516D1">
        <w:t>une</w:t>
      </w:r>
      <w:r>
        <w:t xml:space="preserve"> </w:t>
      </w:r>
      <w:r w:rsidRPr="008516D1">
        <w:t>preuve</w:t>
      </w:r>
      <w:r>
        <w:t xml:space="preserve"> ; </w:t>
      </w:r>
      <w:r w:rsidRPr="008516D1">
        <w:t>de</w:t>
      </w:r>
      <w:r>
        <w:t xml:space="preserve"> </w:t>
      </w:r>
      <w:r w:rsidRPr="008516D1">
        <w:t>leur</w:t>
      </w:r>
      <w:r>
        <w:t xml:space="preserve"> </w:t>
      </w:r>
      <w:r w:rsidRPr="008516D1">
        <w:t>droit</w:t>
      </w:r>
      <w:r>
        <w:t xml:space="preserve"> </w:t>
      </w:r>
      <w:r w:rsidRPr="008516D1">
        <w:t>d</w:t>
      </w:r>
      <w:r>
        <w:t>’</w:t>
      </w:r>
      <w:r w:rsidRPr="008516D1">
        <w:t>être</w:t>
      </w:r>
      <w:r>
        <w:t xml:space="preserve"> </w:t>
      </w:r>
      <w:r w:rsidRPr="008516D1">
        <w:t>examinées</w:t>
      </w:r>
      <w:r>
        <w:t xml:space="preserve"> </w:t>
      </w:r>
      <w:r w:rsidRPr="008516D1">
        <w:t>par</w:t>
      </w:r>
      <w:r>
        <w:t xml:space="preserve"> </w:t>
      </w:r>
      <w:r w:rsidRPr="008516D1">
        <w:t>un</w:t>
      </w:r>
      <w:r>
        <w:t xml:space="preserve"> </w:t>
      </w:r>
      <w:r w:rsidRPr="008516D1">
        <w:t>médecin</w:t>
      </w:r>
      <w:r>
        <w:t xml:space="preserve"> </w:t>
      </w:r>
      <w:r w:rsidRPr="008516D1">
        <w:t>légiste</w:t>
      </w:r>
      <w:r>
        <w:t xml:space="preserve"> </w:t>
      </w:r>
      <w:r w:rsidRPr="008516D1">
        <w:t>ou</w:t>
      </w:r>
      <w:r>
        <w:t xml:space="preserve"> </w:t>
      </w:r>
      <w:r w:rsidRPr="008516D1">
        <w:t>tout</w:t>
      </w:r>
      <w:r>
        <w:t xml:space="preserve"> </w:t>
      </w:r>
      <w:r w:rsidRPr="008516D1">
        <w:t>autre</w:t>
      </w:r>
      <w:r>
        <w:t xml:space="preserve"> </w:t>
      </w:r>
      <w:r w:rsidRPr="008516D1">
        <w:t>médecin</w:t>
      </w:r>
      <w:r>
        <w:t xml:space="preserve"> </w:t>
      </w:r>
      <w:r w:rsidRPr="008516D1">
        <w:t>disponible,</w:t>
      </w:r>
      <w:r>
        <w:t xml:space="preserve"> </w:t>
      </w:r>
      <w:r w:rsidRPr="008516D1">
        <w:t>qui</w:t>
      </w:r>
      <w:r>
        <w:t xml:space="preserve"> </w:t>
      </w:r>
      <w:r w:rsidRPr="008516D1">
        <w:t>établira</w:t>
      </w:r>
      <w:r>
        <w:t xml:space="preserve"> </w:t>
      </w:r>
      <w:r w:rsidRPr="008516D1">
        <w:t>un</w:t>
      </w:r>
      <w:r>
        <w:t xml:space="preserve"> </w:t>
      </w:r>
      <w:r w:rsidRPr="008516D1">
        <w:t>certificat</w:t>
      </w:r>
      <w:r>
        <w:t xml:space="preserve"> </w:t>
      </w:r>
      <w:r w:rsidRPr="008516D1">
        <w:t>constatant,</w:t>
      </w:r>
      <w:r>
        <w:t xml:space="preserve"> </w:t>
      </w:r>
      <w:r w:rsidRPr="008516D1">
        <w:t>entre</w:t>
      </w:r>
      <w:r>
        <w:t xml:space="preserve"> </w:t>
      </w:r>
      <w:r w:rsidRPr="008516D1">
        <w:t>autres,</w:t>
      </w:r>
      <w:r>
        <w:t xml:space="preserve"> </w:t>
      </w:r>
      <w:r w:rsidRPr="008516D1">
        <w:t>leur</w:t>
      </w:r>
      <w:r>
        <w:t xml:space="preserve"> </w:t>
      </w:r>
      <w:r w:rsidRPr="008516D1">
        <w:t>état</w:t>
      </w:r>
      <w:r>
        <w:t xml:space="preserve"> </w:t>
      </w:r>
      <w:r w:rsidRPr="008516D1">
        <w:t>physique</w:t>
      </w:r>
      <w:bookmarkEnd w:id="25"/>
      <w:r>
        <w:t> ;</w:t>
      </w:r>
    </w:p>
    <w:p w14:paraId="15DA2C29" w14:textId="579EE496" w:rsidR="00286956" w:rsidRPr="008516D1" w:rsidRDefault="00286956" w:rsidP="00286956">
      <w:pPr>
        <w:pStyle w:val="SingleTxtG"/>
        <w:ind w:firstLine="567"/>
      </w:pPr>
      <w:r w:rsidRPr="008516D1">
        <w:t>f)</w:t>
      </w:r>
      <w:r w:rsidRPr="008516D1">
        <w:tab/>
        <w:t>Consigner</w:t>
      </w:r>
      <w:r>
        <w:t xml:space="preserve"> </w:t>
      </w:r>
      <w:r w:rsidRPr="008516D1">
        <w:t>dans</w:t>
      </w:r>
      <w:r>
        <w:t xml:space="preserve"> </w:t>
      </w:r>
      <w:r w:rsidRPr="008516D1">
        <w:t>un</w:t>
      </w:r>
      <w:r>
        <w:t xml:space="preserve"> </w:t>
      </w:r>
      <w:r w:rsidRPr="008516D1">
        <w:t>registre</w:t>
      </w:r>
      <w:r>
        <w:t xml:space="preserve"> </w:t>
      </w:r>
      <w:r w:rsidRPr="008516D1">
        <w:t>spécial</w:t>
      </w:r>
      <w:r>
        <w:t xml:space="preserve"> </w:t>
      </w:r>
      <w:r w:rsidRPr="008516D1">
        <w:t>tous</w:t>
      </w:r>
      <w:r>
        <w:t xml:space="preserve"> </w:t>
      </w:r>
      <w:r w:rsidRPr="008516D1">
        <w:t>les</w:t>
      </w:r>
      <w:r>
        <w:t xml:space="preserve"> </w:t>
      </w:r>
      <w:r w:rsidRPr="008516D1">
        <w:t>placements</w:t>
      </w:r>
      <w:r>
        <w:t xml:space="preserve"> </w:t>
      </w:r>
      <w:r w:rsidRPr="008516D1">
        <w:t>en</w:t>
      </w:r>
      <w:r>
        <w:t xml:space="preserve"> </w:t>
      </w:r>
      <w:r w:rsidRPr="008516D1">
        <w:t>garde</w:t>
      </w:r>
      <w:r>
        <w:t xml:space="preserve"> </w:t>
      </w:r>
      <w:r w:rsidRPr="008516D1">
        <w:t>à</w:t>
      </w:r>
      <w:r>
        <w:t xml:space="preserve"> </w:t>
      </w:r>
      <w:r w:rsidRPr="008516D1">
        <w:t>vue,</w:t>
      </w:r>
      <w:r>
        <w:t xml:space="preserve"> </w:t>
      </w:r>
      <w:r w:rsidRPr="008516D1">
        <w:t>avec</w:t>
      </w:r>
      <w:r>
        <w:t xml:space="preserve"> </w:t>
      </w:r>
      <w:r w:rsidRPr="008516D1">
        <w:t>leur</w:t>
      </w:r>
      <w:r>
        <w:t xml:space="preserve"> </w:t>
      </w:r>
      <w:r w:rsidRPr="008516D1">
        <w:t>lieu,</w:t>
      </w:r>
      <w:r>
        <w:t xml:space="preserve"> </w:t>
      </w:r>
      <w:r w:rsidRPr="008516D1">
        <w:t>date</w:t>
      </w:r>
      <w:r>
        <w:t xml:space="preserve"> </w:t>
      </w:r>
      <w:r w:rsidRPr="008516D1">
        <w:t>et</w:t>
      </w:r>
      <w:r>
        <w:t xml:space="preserve"> </w:t>
      </w:r>
      <w:r w:rsidRPr="008516D1">
        <w:t>heure</w:t>
      </w:r>
      <w:r w:rsidRPr="008516D1">
        <w:rPr>
          <w:rStyle w:val="Appelnotedebasdep"/>
        </w:rPr>
        <w:footnoteReference w:id="87"/>
      </w:r>
      <w:r w:rsidRPr="008516D1">
        <w:t>.</w:t>
      </w:r>
    </w:p>
    <w:p w14:paraId="6DDCE97F" w14:textId="77777777" w:rsidR="00286956" w:rsidRPr="008516D1" w:rsidRDefault="00286956" w:rsidP="00286956">
      <w:pPr>
        <w:pStyle w:val="SingleTxtG"/>
      </w:pPr>
      <w:r w:rsidRPr="008516D1">
        <w:t>121.</w:t>
      </w:r>
      <w:r w:rsidRPr="008516D1">
        <w:tab/>
        <w:t>Afin</w:t>
      </w:r>
      <w:r>
        <w:t xml:space="preserve"> </w:t>
      </w:r>
      <w:r w:rsidRPr="008516D1">
        <w:t>de</w:t>
      </w:r>
      <w:r>
        <w:t xml:space="preserve"> </w:t>
      </w:r>
      <w:r w:rsidRPr="008516D1">
        <w:t>prévenir</w:t>
      </w:r>
      <w:r>
        <w:t xml:space="preserve"> </w:t>
      </w:r>
      <w:r w:rsidRPr="008516D1">
        <w:t>les</w:t>
      </w:r>
      <w:r>
        <w:t xml:space="preserve"> </w:t>
      </w:r>
      <w:r w:rsidRPr="008516D1">
        <w:t>violations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lors</w:t>
      </w:r>
      <w:r>
        <w:t xml:space="preserve"> </w:t>
      </w:r>
      <w:r w:rsidRPr="008516D1">
        <w:t>de</w:t>
      </w:r>
      <w:r>
        <w:t xml:space="preserve"> </w:t>
      </w:r>
      <w:r w:rsidRPr="008516D1">
        <w:t>la</w:t>
      </w:r>
      <w:r>
        <w:t xml:space="preserve"> </w:t>
      </w:r>
      <w:r w:rsidRPr="008516D1">
        <w:t>fouille</w:t>
      </w:r>
      <w:r>
        <w:t xml:space="preserve"> </w:t>
      </w:r>
      <w:r w:rsidRPr="008516D1">
        <w:t>et</w:t>
      </w:r>
      <w:r>
        <w:t xml:space="preserve"> </w:t>
      </w:r>
      <w:r w:rsidRPr="008516D1">
        <w:t>du</w:t>
      </w:r>
      <w:r>
        <w:t xml:space="preserve"> </w:t>
      </w:r>
      <w:r w:rsidRPr="008516D1">
        <w:t>placement</w:t>
      </w:r>
      <w:r>
        <w:t xml:space="preserve"> </w:t>
      </w:r>
      <w:r w:rsidRPr="008516D1">
        <w:t>en</w:t>
      </w:r>
      <w:r>
        <w:t xml:space="preserve"> </w:t>
      </w:r>
      <w:r w:rsidRPr="008516D1">
        <w:t>garde</w:t>
      </w:r>
      <w:r>
        <w:t xml:space="preserve"> </w:t>
      </w:r>
      <w:r w:rsidRPr="008516D1">
        <w:t>à</w:t>
      </w:r>
      <w:r>
        <w:t xml:space="preserve"> </w:t>
      </w:r>
      <w:r w:rsidRPr="008516D1">
        <w:t>vue</w:t>
      </w:r>
      <w:r>
        <w:t xml:space="preserve"> </w:t>
      </w:r>
      <w:r w:rsidRPr="008516D1">
        <w:t>des</w:t>
      </w:r>
      <w:r>
        <w:t xml:space="preserve"> </w:t>
      </w:r>
      <w:r w:rsidRPr="008516D1">
        <w:t>personnes</w:t>
      </w:r>
      <w:r>
        <w:t xml:space="preserve"> </w:t>
      </w:r>
      <w:r w:rsidRPr="008516D1">
        <w:t>LGTBI</w:t>
      </w:r>
      <w:r>
        <w:t xml:space="preserve"> </w:t>
      </w:r>
      <w:r w:rsidRPr="008516D1">
        <w:t>(lesbiennes,</w:t>
      </w:r>
      <w:r>
        <w:t xml:space="preserve"> </w:t>
      </w:r>
      <w:r w:rsidRPr="008516D1">
        <w:t>gays,</w:t>
      </w:r>
      <w:r>
        <w:t xml:space="preserve"> </w:t>
      </w:r>
      <w:r w:rsidRPr="008516D1">
        <w:t>bisexuels,</w:t>
      </w:r>
      <w:r>
        <w:t xml:space="preserve"> </w:t>
      </w:r>
      <w:r w:rsidRPr="008516D1">
        <w:t>transgenres</w:t>
      </w:r>
      <w:r>
        <w:t xml:space="preserve"> </w:t>
      </w:r>
      <w:r w:rsidRPr="008516D1">
        <w:t>et</w:t>
      </w:r>
      <w:r>
        <w:t xml:space="preserve"> </w:t>
      </w:r>
      <w:r w:rsidRPr="008516D1">
        <w:t>intersexes),</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élaboré</w:t>
      </w:r>
      <w:r>
        <w:t xml:space="preserve"> </w:t>
      </w:r>
      <w:r w:rsidRPr="008516D1">
        <w:t>un</w:t>
      </w:r>
      <w:r>
        <w:t xml:space="preserve"> </w:t>
      </w:r>
      <w:r w:rsidRPr="008516D1">
        <w:t>protocole</w:t>
      </w:r>
      <w:r>
        <w:t xml:space="preserve"> </w:t>
      </w:r>
      <w:r w:rsidRPr="008516D1">
        <w:t>conforme</w:t>
      </w:r>
      <w:r>
        <w:t xml:space="preserve"> </w:t>
      </w:r>
      <w:r w:rsidRPr="008516D1">
        <w:t>aux</w:t>
      </w:r>
      <w:r>
        <w:t xml:space="preserve"> </w:t>
      </w:r>
      <w:r w:rsidRPr="008516D1">
        <w:t>dispositions</w:t>
      </w:r>
      <w:r>
        <w:t xml:space="preserve"> </w:t>
      </w:r>
      <w:r w:rsidRPr="008516D1">
        <w:t>du</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et</w:t>
      </w:r>
      <w:r>
        <w:t xml:space="preserve"> </w:t>
      </w:r>
      <w:r w:rsidRPr="008516D1">
        <w:t>des</w:t>
      </w:r>
      <w:r>
        <w:t xml:space="preserve"> </w:t>
      </w:r>
      <w:r w:rsidRPr="008516D1">
        <w:t>normes</w:t>
      </w:r>
      <w:r>
        <w:t xml:space="preserve"> </w:t>
      </w:r>
      <w:r w:rsidRPr="008516D1">
        <w:t>internationales,</w:t>
      </w:r>
      <w:r>
        <w:t xml:space="preserve"> </w:t>
      </w:r>
      <w:r w:rsidRPr="008516D1">
        <w:t>destiné</w:t>
      </w:r>
      <w:r>
        <w:t xml:space="preserve"> </w:t>
      </w:r>
      <w:r w:rsidRPr="008516D1">
        <w:t>à</w:t>
      </w:r>
      <w:r>
        <w:t xml:space="preserve"> </w:t>
      </w:r>
      <w:r w:rsidRPr="008516D1">
        <w:t>faire</w:t>
      </w:r>
      <w:r>
        <w:t xml:space="preserve"> </w:t>
      </w:r>
      <w:r w:rsidRPr="008516D1">
        <w:t>en</w:t>
      </w:r>
      <w:r>
        <w:t xml:space="preserve"> </w:t>
      </w:r>
      <w:r w:rsidRPr="008516D1">
        <w:t>sorte</w:t>
      </w:r>
      <w:r>
        <w:t xml:space="preserve"> </w:t>
      </w:r>
      <w:r w:rsidRPr="008516D1">
        <w:t>que</w:t>
      </w:r>
      <w:r>
        <w:t xml:space="preserve"> </w:t>
      </w:r>
      <w:r w:rsidRPr="008516D1">
        <w:t>la</w:t>
      </w:r>
      <w:r>
        <w:t xml:space="preserve"> </w:t>
      </w:r>
      <w:r w:rsidRPr="008516D1">
        <w:t>fouille</w:t>
      </w:r>
      <w:r>
        <w:t xml:space="preserve"> </w:t>
      </w:r>
      <w:r w:rsidRPr="008516D1">
        <w:t>et</w:t>
      </w:r>
      <w:r>
        <w:t xml:space="preserve"> </w:t>
      </w:r>
      <w:r w:rsidRPr="008516D1">
        <w:t>le</w:t>
      </w:r>
      <w:r>
        <w:t xml:space="preserve"> </w:t>
      </w:r>
      <w:r w:rsidRPr="008516D1">
        <w:t>placement</w:t>
      </w:r>
      <w:r>
        <w:t xml:space="preserve"> </w:t>
      </w:r>
      <w:r w:rsidRPr="008516D1">
        <w:t>en</w:t>
      </w:r>
      <w:r>
        <w:t xml:space="preserve"> </w:t>
      </w:r>
      <w:r w:rsidRPr="008516D1">
        <w:t>garde</w:t>
      </w:r>
      <w:r>
        <w:t xml:space="preserve"> </w:t>
      </w:r>
      <w:r w:rsidRPr="008516D1">
        <w:t>à</w:t>
      </w:r>
      <w:r>
        <w:t xml:space="preserve"> </w:t>
      </w:r>
      <w:r w:rsidRPr="008516D1">
        <w:t>vue</w:t>
      </w:r>
      <w:r>
        <w:t xml:space="preserve"> </w:t>
      </w:r>
      <w:r w:rsidRPr="008516D1">
        <w:t>de</w:t>
      </w:r>
      <w:r>
        <w:t xml:space="preserve"> </w:t>
      </w:r>
      <w:r w:rsidRPr="008516D1">
        <w:t>ces</w:t>
      </w:r>
      <w:r>
        <w:t xml:space="preserve"> </w:t>
      </w:r>
      <w:r w:rsidRPr="008516D1">
        <w:t>personnes</w:t>
      </w:r>
      <w:r>
        <w:t xml:space="preserve"> </w:t>
      </w:r>
      <w:r w:rsidRPr="008516D1">
        <w:t>se</w:t>
      </w:r>
      <w:r>
        <w:t xml:space="preserve"> </w:t>
      </w:r>
      <w:r w:rsidRPr="008516D1">
        <w:t>déroule</w:t>
      </w:r>
      <w:r>
        <w:t xml:space="preserve"> </w:t>
      </w:r>
      <w:r w:rsidRPr="008516D1">
        <w:t>sans</w:t>
      </w:r>
      <w:r>
        <w:t xml:space="preserve"> </w:t>
      </w:r>
      <w:r w:rsidRPr="008516D1">
        <w:t>discrimination,</w:t>
      </w:r>
      <w:r>
        <w:t xml:space="preserve"> </w:t>
      </w:r>
      <w:r w:rsidRPr="008516D1">
        <w:t>dans</w:t>
      </w:r>
      <w:r>
        <w:t xml:space="preserve"> </w:t>
      </w:r>
      <w:r w:rsidRPr="008516D1">
        <w:t>le</w:t>
      </w:r>
      <w:r>
        <w:t xml:space="preserve"> </w:t>
      </w:r>
      <w:r w:rsidRPr="008516D1">
        <w:t>respect</w:t>
      </w:r>
      <w:r>
        <w:t xml:space="preserve"> </w:t>
      </w:r>
      <w:r w:rsidRPr="008516D1">
        <w:t>de</w:t>
      </w:r>
      <w:r>
        <w:t xml:space="preserve"> </w:t>
      </w:r>
      <w:r w:rsidRPr="008516D1">
        <w:t>l</w:t>
      </w:r>
      <w:r>
        <w:t>’</w:t>
      </w:r>
      <w:r w:rsidRPr="008516D1">
        <w:t>intégrité</w:t>
      </w:r>
      <w:r>
        <w:t xml:space="preserve"> </w:t>
      </w:r>
      <w:r w:rsidRPr="008516D1">
        <w:t>physique,</w:t>
      </w:r>
      <w:r>
        <w:t xml:space="preserve"> </w:t>
      </w:r>
      <w:r w:rsidRPr="008516D1">
        <w:t>du</w:t>
      </w:r>
      <w:r>
        <w:t xml:space="preserve"> </w:t>
      </w:r>
      <w:r w:rsidRPr="008516D1">
        <w:t>droit</w:t>
      </w:r>
      <w:r>
        <w:t xml:space="preserve"> </w:t>
      </w:r>
      <w:r w:rsidRPr="008516D1">
        <w:t>à</w:t>
      </w:r>
      <w:r>
        <w:t xml:space="preserve"> </w:t>
      </w:r>
      <w:r w:rsidRPr="008516D1">
        <w:t>la</w:t>
      </w:r>
      <w:r>
        <w:t xml:space="preserve"> </w:t>
      </w:r>
      <w:r w:rsidRPr="008516D1">
        <w:t>vie</w:t>
      </w:r>
      <w:r>
        <w:t xml:space="preserve"> </w:t>
      </w:r>
      <w:r w:rsidRPr="008516D1">
        <w:t>privée,</w:t>
      </w:r>
      <w:r>
        <w:t xml:space="preserve"> </w:t>
      </w:r>
      <w:r w:rsidRPr="008516D1">
        <w:t>de</w:t>
      </w:r>
      <w:r>
        <w:t xml:space="preserve"> </w:t>
      </w:r>
      <w:r w:rsidRPr="008516D1">
        <w:t>l</w:t>
      </w:r>
      <w:r>
        <w:t>’</w:t>
      </w:r>
      <w:r w:rsidRPr="008516D1">
        <w:t>orientation</w:t>
      </w:r>
      <w:r>
        <w:t xml:space="preserve"> </w:t>
      </w:r>
      <w:r w:rsidRPr="008516D1">
        <w:t>sexuelle</w:t>
      </w:r>
      <w:r>
        <w:t xml:space="preserve"> </w:t>
      </w:r>
      <w:r w:rsidRPr="008516D1">
        <w:t>et</w:t>
      </w:r>
      <w:r>
        <w:t xml:space="preserve"> </w:t>
      </w:r>
      <w:r w:rsidRPr="008516D1">
        <w:t>de</w:t>
      </w:r>
      <w:r>
        <w:t xml:space="preserve"> </w:t>
      </w:r>
      <w:r w:rsidRPr="008516D1">
        <w:t>l</w:t>
      </w:r>
      <w:r>
        <w:t>’</w:t>
      </w:r>
      <w:r w:rsidRPr="008516D1">
        <w:t>identité</w:t>
      </w:r>
      <w:r>
        <w:t xml:space="preserve"> </w:t>
      </w:r>
      <w:r w:rsidRPr="008516D1">
        <w:t>de</w:t>
      </w:r>
      <w:r>
        <w:t xml:space="preserve"> </w:t>
      </w:r>
      <w:r w:rsidRPr="008516D1">
        <w:t>genre.</w:t>
      </w:r>
    </w:p>
    <w:p w14:paraId="4EF6ADB7" w14:textId="77777777" w:rsidR="00286956" w:rsidRPr="008516D1" w:rsidRDefault="00286956" w:rsidP="00286956">
      <w:pPr>
        <w:pStyle w:val="SingleTxtG"/>
      </w:pPr>
      <w:r w:rsidRPr="008516D1">
        <w:t>122.</w:t>
      </w:r>
      <w:r w:rsidRPr="008516D1">
        <w:tab/>
        <w:t>Entre</w:t>
      </w:r>
      <w:r>
        <w:t xml:space="preserve"> </w:t>
      </w:r>
      <w:r w:rsidRPr="008516D1">
        <w:t>janvier</w:t>
      </w:r>
      <w:r>
        <w:t xml:space="preserve"> </w:t>
      </w:r>
      <w:r w:rsidRPr="008516D1">
        <w:t>et</w:t>
      </w:r>
      <w:r>
        <w:t xml:space="preserve"> </w:t>
      </w:r>
      <w:r w:rsidRPr="008516D1">
        <w:t>mars</w:t>
      </w:r>
      <w:r>
        <w:t xml:space="preserve"> </w:t>
      </w:r>
      <w:r w:rsidRPr="008516D1">
        <w:t>2020,</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effectué</w:t>
      </w:r>
      <w:r>
        <w:t xml:space="preserve"> </w:t>
      </w:r>
      <w:r w:rsidRPr="008516D1">
        <w:t>quatre</w:t>
      </w:r>
      <w:r>
        <w:t xml:space="preserve"> </w:t>
      </w:r>
      <w:r w:rsidRPr="008516D1">
        <w:t>visites</w:t>
      </w:r>
      <w:r>
        <w:t xml:space="preserve"> </w:t>
      </w:r>
      <w:r w:rsidRPr="008516D1">
        <w:t>dans</w:t>
      </w:r>
      <w:r>
        <w:t xml:space="preserve"> </w:t>
      </w:r>
      <w:r w:rsidRPr="008516D1">
        <w:t>des</w:t>
      </w:r>
      <w:r>
        <w:t xml:space="preserve"> </w:t>
      </w:r>
      <w:r w:rsidRPr="008516D1">
        <w:t>postes</w:t>
      </w:r>
      <w:r>
        <w:t xml:space="preserve"> </w:t>
      </w:r>
      <w:r w:rsidRPr="008516D1">
        <w:t>de</w:t>
      </w:r>
      <w:r>
        <w:t xml:space="preserve"> </w:t>
      </w:r>
      <w:r w:rsidRPr="008516D1">
        <w:t>police,</w:t>
      </w:r>
      <w:r>
        <w:t xml:space="preserve"> </w:t>
      </w:r>
      <w:r w:rsidRPr="008516D1">
        <w:t>pour</w:t>
      </w:r>
      <w:r>
        <w:t xml:space="preserve"> </w:t>
      </w:r>
      <w:r w:rsidRPr="008516D1">
        <w:t>examiner</w:t>
      </w:r>
      <w:r>
        <w:t xml:space="preserve"> </w:t>
      </w:r>
      <w:r w:rsidRPr="008516D1">
        <w:t>l</w:t>
      </w:r>
      <w:r>
        <w:t>’</w:t>
      </w:r>
      <w:r w:rsidRPr="008516D1">
        <w:t>infrastructure</w:t>
      </w:r>
      <w:r>
        <w:t xml:space="preserve"> </w:t>
      </w:r>
      <w:r w:rsidRPr="008516D1">
        <w:t>des</w:t>
      </w:r>
      <w:r>
        <w:t xml:space="preserve"> </w:t>
      </w:r>
      <w:r w:rsidRPr="008516D1">
        <w:t>bâtiments</w:t>
      </w:r>
      <w:r>
        <w:t xml:space="preserve"> </w:t>
      </w:r>
      <w:r w:rsidRPr="008516D1">
        <w:t>et</w:t>
      </w:r>
      <w:r>
        <w:t xml:space="preserve"> </w:t>
      </w:r>
      <w:r w:rsidRPr="008516D1">
        <w:t>des</w:t>
      </w:r>
      <w:r>
        <w:t xml:space="preserve"> </w:t>
      </w:r>
      <w:r w:rsidRPr="008516D1">
        <w:t>cellules,</w:t>
      </w:r>
      <w:r>
        <w:t xml:space="preserve"> </w:t>
      </w:r>
      <w:r w:rsidRPr="008516D1">
        <w:t>les</w:t>
      </w:r>
      <w:r>
        <w:t xml:space="preserve"> </w:t>
      </w:r>
      <w:r w:rsidRPr="008516D1">
        <w:t>conditions</w:t>
      </w:r>
      <w:r>
        <w:t xml:space="preserve"> </w:t>
      </w:r>
      <w:r w:rsidRPr="008516D1">
        <w:t>d</w:t>
      </w:r>
      <w:r>
        <w:t>’</w:t>
      </w:r>
      <w:r w:rsidRPr="008516D1">
        <w:t>hygiène</w:t>
      </w:r>
      <w:r>
        <w:t xml:space="preserve"> </w:t>
      </w:r>
      <w:r w:rsidRPr="008516D1">
        <w:t>et</w:t>
      </w:r>
      <w:r>
        <w:t xml:space="preserve"> </w:t>
      </w:r>
      <w:r w:rsidRPr="008516D1">
        <w:t>l</w:t>
      </w:r>
      <w:r>
        <w:t>’</w:t>
      </w:r>
      <w:r w:rsidRPr="008516D1">
        <w:t>accès</w:t>
      </w:r>
      <w:r>
        <w:t xml:space="preserve"> </w:t>
      </w:r>
      <w:r w:rsidRPr="008516D1">
        <w:t>des</w:t>
      </w:r>
      <w:r>
        <w:t xml:space="preserve"> </w:t>
      </w:r>
      <w:r w:rsidRPr="008516D1">
        <w:t>détenus</w:t>
      </w:r>
      <w:r>
        <w:t xml:space="preserve"> </w:t>
      </w:r>
      <w:r w:rsidRPr="008516D1">
        <w:t>à</w:t>
      </w:r>
      <w:r>
        <w:t xml:space="preserve"> </w:t>
      </w:r>
      <w:r w:rsidRPr="008516D1">
        <w:t>l</w:t>
      </w:r>
      <w:r>
        <w:t>’</w:t>
      </w:r>
      <w:r w:rsidRPr="008516D1">
        <w:t>eau</w:t>
      </w:r>
      <w:r>
        <w:t xml:space="preserve"> </w:t>
      </w:r>
      <w:r w:rsidRPr="008516D1">
        <w:t>potable</w:t>
      </w:r>
      <w:r>
        <w:t xml:space="preserve"> </w:t>
      </w:r>
      <w:r w:rsidRPr="008516D1">
        <w:t>et</w:t>
      </w:r>
      <w:r>
        <w:t xml:space="preserve"> </w:t>
      </w:r>
      <w:r w:rsidRPr="008516D1">
        <w:t>à</w:t>
      </w:r>
      <w:r>
        <w:t xml:space="preserve"> </w:t>
      </w:r>
      <w:r w:rsidRPr="008516D1">
        <w:t>la</w:t>
      </w:r>
      <w:r>
        <w:t xml:space="preserve"> </w:t>
      </w:r>
      <w:r w:rsidRPr="008516D1">
        <w:t>lumière</w:t>
      </w:r>
      <w:r>
        <w:t xml:space="preserve"> </w:t>
      </w:r>
      <w:r w:rsidRPr="008516D1">
        <w:t>naturelle</w:t>
      </w:r>
      <w:r>
        <w:t xml:space="preserve"> </w:t>
      </w:r>
      <w:r w:rsidRPr="008516D1">
        <w:t>et</w:t>
      </w:r>
      <w:r>
        <w:t xml:space="preserve"> </w:t>
      </w:r>
      <w:r w:rsidRPr="008516D1">
        <w:t>s</w:t>
      </w:r>
      <w:r>
        <w:t>’</w:t>
      </w:r>
      <w:r w:rsidRPr="008516D1">
        <w:t>entretenir</w:t>
      </w:r>
      <w:r>
        <w:t xml:space="preserve"> </w:t>
      </w:r>
      <w:r w:rsidRPr="008516D1">
        <w:t>avec</w:t>
      </w:r>
      <w:r>
        <w:t xml:space="preserve"> </w:t>
      </w:r>
      <w:r w:rsidRPr="008516D1">
        <w:t>les</w:t>
      </w:r>
      <w:r>
        <w:t xml:space="preserve"> </w:t>
      </w:r>
      <w:r w:rsidRPr="008516D1">
        <w:t>détenus</w:t>
      </w:r>
      <w:r>
        <w:t xml:space="preserve"> </w:t>
      </w:r>
      <w:r w:rsidRPr="008516D1">
        <w:t>pour</w:t>
      </w:r>
      <w:r>
        <w:t xml:space="preserve"> </w:t>
      </w:r>
      <w:r w:rsidRPr="008516D1">
        <w:t>déterminer</w:t>
      </w:r>
      <w:r>
        <w:t xml:space="preserve"> </w:t>
      </w:r>
      <w:r w:rsidRPr="008516D1">
        <w:t>s</w:t>
      </w:r>
      <w:r>
        <w:t>’</w:t>
      </w:r>
      <w:r w:rsidRPr="008516D1">
        <w:t>ils</w:t>
      </w:r>
      <w:r>
        <w:t xml:space="preserve"> </w:t>
      </w:r>
      <w:r w:rsidRPr="008516D1">
        <w:t>ont</w:t>
      </w:r>
      <w:r>
        <w:t xml:space="preserve"> </w:t>
      </w:r>
      <w:r w:rsidRPr="008516D1">
        <w:t>été</w:t>
      </w:r>
      <w:r>
        <w:t xml:space="preserve"> </w:t>
      </w:r>
      <w:r w:rsidRPr="008516D1">
        <w:t>soumis</w:t>
      </w:r>
      <w:r>
        <w:t xml:space="preserve"> </w:t>
      </w:r>
      <w:r w:rsidRPr="008516D1">
        <w:t>à</w:t>
      </w:r>
      <w:r>
        <w:t xml:space="preserve"> </w:t>
      </w:r>
      <w:r w:rsidRPr="008516D1">
        <w:t>la</w:t>
      </w:r>
      <w:r>
        <w:t xml:space="preserve"> </w:t>
      </w:r>
      <w:r w:rsidRPr="008516D1">
        <w:t>torture</w:t>
      </w:r>
      <w:r>
        <w:t xml:space="preserve"> </w:t>
      </w:r>
      <w:r w:rsidRPr="008516D1">
        <w:t>ou</w:t>
      </w:r>
      <w:r>
        <w:t xml:space="preserve"> </w:t>
      </w:r>
      <w:r w:rsidRPr="008516D1">
        <w:t>à</w:t>
      </w:r>
      <w:r>
        <w:t xml:space="preserve"> </w:t>
      </w:r>
      <w:r w:rsidRPr="008516D1">
        <w:t>des</w:t>
      </w:r>
      <w:r>
        <w:t xml:space="preserve"> </w:t>
      </w:r>
      <w:r w:rsidRPr="008516D1">
        <w:t>peines</w:t>
      </w:r>
      <w:r>
        <w:t xml:space="preserve"> </w:t>
      </w:r>
      <w:r w:rsidRPr="008516D1">
        <w:t>ou</w:t>
      </w:r>
      <w:r>
        <w:t xml:space="preserve"> </w:t>
      </w:r>
      <w:r w:rsidRPr="008516D1">
        <w:t>traitements</w:t>
      </w:r>
      <w:r>
        <w:t xml:space="preserve"> </w:t>
      </w:r>
      <w:r w:rsidRPr="008516D1">
        <w:t>cruels,</w:t>
      </w:r>
      <w:r>
        <w:t xml:space="preserve"> </w:t>
      </w:r>
      <w:r w:rsidRPr="008516D1">
        <w:t>inhumains</w:t>
      </w:r>
      <w:r>
        <w:t xml:space="preserve"> </w:t>
      </w:r>
      <w:r w:rsidRPr="008516D1">
        <w:t>ou</w:t>
      </w:r>
      <w:r>
        <w:t xml:space="preserve"> </w:t>
      </w:r>
      <w:r w:rsidRPr="008516D1">
        <w:t>dégradants.</w:t>
      </w:r>
    </w:p>
    <w:p w14:paraId="687313A1" w14:textId="66F3B24F" w:rsidR="00286956" w:rsidRPr="008516D1" w:rsidRDefault="00286956" w:rsidP="00286956">
      <w:pPr>
        <w:pStyle w:val="SingleTxtG"/>
      </w:pPr>
      <w:r w:rsidRPr="008516D1">
        <w:t>123.</w:t>
      </w:r>
      <w:r w:rsidRPr="008516D1">
        <w:tab/>
        <w:t>En</w:t>
      </w:r>
      <w:r>
        <w:t xml:space="preserve"> </w:t>
      </w:r>
      <w:r w:rsidRPr="008516D1">
        <w:t>2020,</w:t>
      </w:r>
      <w:r>
        <w:t xml:space="preserve"> </w:t>
      </w:r>
      <w:r w:rsidRPr="008516D1">
        <w:t>dans</w:t>
      </w:r>
      <w:r>
        <w:t xml:space="preserve"> </w:t>
      </w:r>
      <w:r w:rsidRPr="008516D1">
        <w:t>le</w:t>
      </w:r>
      <w:r>
        <w:t xml:space="preserve"> </w:t>
      </w:r>
      <w:r w:rsidRPr="008516D1">
        <w:t>but</w:t>
      </w:r>
      <w:r>
        <w:t xml:space="preserve"> </w:t>
      </w:r>
      <w:r w:rsidRPr="008516D1">
        <w:t>d</w:t>
      </w:r>
      <w:r>
        <w:t>’</w:t>
      </w:r>
      <w:r w:rsidRPr="008516D1">
        <w:t>améliorer</w:t>
      </w:r>
      <w:r>
        <w:t xml:space="preserve"> </w:t>
      </w:r>
      <w:r w:rsidRPr="008516D1">
        <w:t>le</w:t>
      </w:r>
      <w:r>
        <w:t xml:space="preserve"> </w:t>
      </w:r>
      <w:r w:rsidRPr="008516D1">
        <w:t>traitement</w:t>
      </w:r>
      <w:r>
        <w:t xml:space="preserve"> </w:t>
      </w:r>
      <w:r w:rsidRPr="008516D1">
        <w:t>et</w:t>
      </w:r>
      <w:r>
        <w:t xml:space="preserve"> </w:t>
      </w:r>
      <w:r w:rsidRPr="008516D1">
        <w:t>les</w:t>
      </w:r>
      <w:r>
        <w:t xml:space="preserve"> </w:t>
      </w:r>
      <w:r w:rsidRPr="008516D1">
        <w:t>conditions</w:t>
      </w:r>
      <w:r>
        <w:t xml:space="preserve"> </w:t>
      </w:r>
      <w:r w:rsidRPr="008516D1">
        <w:t>de</w:t>
      </w:r>
      <w:r>
        <w:t xml:space="preserve"> </w:t>
      </w:r>
      <w:r w:rsidRPr="008516D1">
        <w:t>détention,</w:t>
      </w:r>
      <w:r>
        <w:t xml:space="preserve"> </w:t>
      </w:r>
      <w:r w:rsidRPr="008516D1">
        <w:t>le</w:t>
      </w:r>
      <w:r>
        <w:t xml:space="preserve"> </w:t>
      </w:r>
      <w:r w:rsidRPr="008516D1">
        <w:t>CICR</w:t>
      </w:r>
      <w:r>
        <w:t xml:space="preserve"> </w:t>
      </w:r>
      <w:r w:rsidRPr="008516D1">
        <w:t>a</w:t>
      </w:r>
      <w:r>
        <w:t xml:space="preserve"> </w:t>
      </w:r>
      <w:r w:rsidRPr="008516D1">
        <w:t>dispensé</w:t>
      </w:r>
      <w:r>
        <w:t xml:space="preserve"> </w:t>
      </w:r>
      <w:r w:rsidRPr="008516D1">
        <w:t>une</w:t>
      </w:r>
      <w:r>
        <w:t xml:space="preserve"> </w:t>
      </w:r>
      <w:r w:rsidRPr="008516D1">
        <w:t>formation</w:t>
      </w:r>
      <w:r>
        <w:t xml:space="preserve"> </w:t>
      </w:r>
      <w:r w:rsidRPr="008516D1">
        <w:t>sur</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médicale</w:t>
      </w:r>
      <w:r>
        <w:t xml:space="preserve"> </w:t>
      </w:r>
      <w:r w:rsidRPr="008516D1">
        <w:t>dans</w:t>
      </w:r>
      <w:r>
        <w:t xml:space="preserve"> </w:t>
      </w:r>
      <w:r w:rsidRPr="008516D1">
        <w:t>les</w:t>
      </w:r>
      <w:r>
        <w:t xml:space="preserve"> </w:t>
      </w:r>
      <w:r w:rsidRPr="008516D1">
        <w:t>premières</w:t>
      </w:r>
      <w:r>
        <w:t xml:space="preserve"> </w:t>
      </w:r>
      <w:r w:rsidRPr="008516D1">
        <w:t>heures</w:t>
      </w:r>
      <w:r>
        <w:t xml:space="preserve"> </w:t>
      </w:r>
      <w:r w:rsidRPr="008516D1">
        <w:t>de</w:t>
      </w:r>
      <w:r>
        <w:t xml:space="preserve"> </w:t>
      </w:r>
      <w:r w:rsidRPr="008516D1">
        <w:t>la</w:t>
      </w:r>
      <w:r>
        <w:t xml:space="preserve"> </w:t>
      </w:r>
      <w:r w:rsidRPr="008516D1">
        <w:t>garde</w:t>
      </w:r>
      <w:r>
        <w:t xml:space="preserve"> </w:t>
      </w:r>
      <w:r w:rsidRPr="008516D1">
        <w:t>à</w:t>
      </w:r>
      <w:r>
        <w:t xml:space="preserve"> </w:t>
      </w:r>
      <w:r w:rsidRPr="008516D1">
        <w:t>vue,</w:t>
      </w:r>
      <w:r>
        <w:t xml:space="preserve"> </w:t>
      </w:r>
      <w:r w:rsidRPr="008516D1">
        <w:t>à</w:t>
      </w:r>
      <w:r>
        <w:t xml:space="preserve"> </w:t>
      </w:r>
      <w:r w:rsidRPr="008516D1">
        <w:t>71</w:t>
      </w:r>
      <w:r w:rsidR="00C240B4">
        <w:t> </w:t>
      </w:r>
      <w:r w:rsidRPr="008516D1">
        <w:t>fonctionnaires,</w:t>
      </w:r>
      <w:r>
        <w:t xml:space="preserve"> </w:t>
      </w:r>
      <w:r w:rsidRPr="008516D1">
        <w:t>dont</w:t>
      </w:r>
      <w:r>
        <w:t xml:space="preserve"> </w:t>
      </w:r>
      <w:r w:rsidRPr="008516D1">
        <w:t>des</w:t>
      </w:r>
      <w:r>
        <w:t xml:space="preserve"> </w:t>
      </w:r>
      <w:r w:rsidRPr="008516D1">
        <w:t>médecins,</w:t>
      </w:r>
      <w:r>
        <w:t xml:space="preserve"> </w:t>
      </w:r>
      <w:r w:rsidRPr="008516D1">
        <w:t>des</w:t>
      </w:r>
      <w:r>
        <w:t xml:space="preserve"> </w:t>
      </w:r>
      <w:r w:rsidRPr="008516D1">
        <w:t>juges</w:t>
      </w:r>
      <w:r>
        <w:t xml:space="preserve"> </w:t>
      </w:r>
      <w:r w:rsidRPr="008516D1">
        <w:t>d</w:t>
      </w:r>
      <w:r>
        <w:t>’</w:t>
      </w:r>
      <w:r w:rsidRPr="008516D1">
        <w:t>application</w:t>
      </w:r>
      <w:r>
        <w:t xml:space="preserve"> </w:t>
      </w:r>
      <w:r w:rsidRPr="008516D1">
        <w:t>des</w:t>
      </w:r>
      <w:r>
        <w:t xml:space="preserve"> </w:t>
      </w:r>
      <w:r w:rsidRPr="008516D1">
        <w:t>peines,</w:t>
      </w:r>
      <w:r>
        <w:t xml:space="preserve"> </w:t>
      </w:r>
      <w:r w:rsidRPr="008516D1">
        <w:t>des</w:t>
      </w:r>
      <w:r>
        <w:t xml:space="preserve"> </w:t>
      </w:r>
      <w:r w:rsidRPr="008516D1">
        <w:t>défenseurs</w:t>
      </w:r>
      <w:r>
        <w:t xml:space="preserve"> </w:t>
      </w:r>
      <w:r w:rsidRPr="008516D1">
        <w:t>publics,</w:t>
      </w:r>
      <w:r>
        <w:t xml:space="preserve"> </w:t>
      </w:r>
      <w:r w:rsidRPr="008516D1">
        <w:t>des</w:t>
      </w:r>
      <w:r>
        <w:t xml:space="preserve"> </w:t>
      </w:r>
      <w:r w:rsidRPr="008516D1">
        <w:t>membres</w:t>
      </w:r>
      <w:r>
        <w:t xml:space="preserve"> </w:t>
      </w:r>
      <w:r w:rsidRPr="008516D1">
        <w:t>des</w:t>
      </w:r>
      <w:r>
        <w:t xml:space="preserve"> </w:t>
      </w:r>
      <w:r w:rsidRPr="008516D1">
        <w:t>conseils</w:t>
      </w:r>
      <w:r>
        <w:t xml:space="preserve"> </w:t>
      </w:r>
      <w:r w:rsidRPr="008516D1">
        <w:t>locaux</w:t>
      </w:r>
      <w:r>
        <w:t xml:space="preserve"> </w:t>
      </w:r>
      <w:r w:rsidRPr="008516D1">
        <w:t>de</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Pr="008516D1">
        <w:t>et</w:t>
      </w:r>
      <w:r>
        <w:t xml:space="preserve"> </w:t>
      </w:r>
      <w:r w:rsidRPr="008516D1">
        <w:t>des</w:t>
      </w:r>
      <w:r>
        <w:t xml:space="preserve"> </w:t>
      </w:r>
      <w:r w:rsidRPr="008516D1">
        <w:t>membres</w:t>
      </w:r>
      <w:r>
        <w:t xml:space="preserve"> </w:t>
      </w:r>
      <w:r w:rsidRPr="008516D1">
        <w:t>de</w:t>
      </w:r>
      <w:r>
        <w:t xml:space="preserve"> </w:t>
      </w:r>
      <w:r w:rsidRPr="008516D1">
        <w:t>la</w:t>
      </w:r>
      <w:r>
        <w:t xml:space="preserve"> </w:t>
      </w:r>
      <w:r w:rsidR="00AB2CD9">
        <w:t>Police nationale</w:t>
      </w:r>
      <w:r>
        <w:t xml:space="preserve"> </w:t>
      </w:r>
      <w:r w:rsidRPr="008516D1">
        <w:t>et</w:t>
      </w:r>
      <w:r>
        <w:t xml:space="preserve"> </w:t>
      </w:r>
      <w:r w:rsidRPr="008516D1">
        <w:t>des</w:t>
      </w:r>
      <w:r>
        <w:t xml:space="preserve"> </w:t>
      </w:r>
      <w:r w:rsidRPr="008516D1">
        <w:t>forces</w:t>
      </w:r>
      <w:r>
        <w:t xml:space="preserve"> </w:t>
      </w:r>
      <w:r w:rsidRPr="008516D1">
        <w:t>armées</w:t>
      </w:r>
      <w:r w:rsidRPr="008516D1">
        <w:rPr>
          <w:rStyle w:val="Appelnotedebasdep"/>
        </w:rPr>
        <w:footnoteReference w:id="88"/>
      </w:r>
      <w:r w:rsidRPr="008516D1">
        <w:t>.</w:t>
      </w:r>
    </w:p>
    <w:p w14:paraId="21C4F2A3" w14:textId="286B041F" w:rsidR="00286956" w:rsidRPr="008516D1" w:rsidRDefault="00286956" w:rsidP="00286956">
      <w:pPr>
        <w:pStyle w:val="SingleTxtG"/>
      </w:pPr>
      <w:r w:rsidRPr="008516D1">
        <w:t>124.</w:t>
      </w:r>
      <w:r w:rsidRPr="008516D1">
        <w:tab/>
        <w:t>Afin</w:t>
      </w:r>
      <w:r>
        <w:t xml:space="preserve"> </w:t>
      </w:r>
      <w:r w:rsidRPr="008516D1">
        <w:t>de</w:t>
      </w:r>
      <w:r>
        <w:t xml:space="preserve"> </w:t>
      </w:r>
      <w:r w:rsidRPr="008516D1">
        <w:t>garantir</w:t>
      </w:r>
      <w:r>
        <w:t xml:space="preserve"> </w:t>
      </w:r>
      <w:r w:rsidRPr="008516D1">
        <w:t>que</w:t>
      </w:r>
      <w:r>
        <w:t xml:space="preserve"> </w:t>
      </w:r>
      <w:r w:rsidRPr="008516D1">
        <w:t>toute</w:t>
      </w:r>
      <w:r>
        <w:t xml:space="preserve"> </w:t>
      </w:r>
      <w:r w:rsidRPr="008516D1">
        <w:t>personne</w:t>
      </w:r>
      <w:r>
        <w:t xml:space="preserve"> </w:t>
      </w:r>
      <w:r w:rsidRPr="008516D1">
        <w:t>privée</w:t>
      </w:r>
      <w:r>
        <w:t xml:space="preserve"> </w:t>
      </w:r>
      <w:r w:rsidRPr="008516D1">
        <w:t>de</w:t>
      </w:r>
      <w:r>
        <w:t xml:space="preserve"> </w:t>
      </w:r>
      <w:r w:rsidRPr="008516D1">
        <w:t>liberté</w:t>
      </w:r>
      <w:r>
        <w:t xml:space="preserve"> </w:t>
      </w:r>
      <w:r w:rsidRPr="008516D1">
        <w:t>soit</w:t>
      </w:r>
      <w:r>
        <w:t xml:space="preserve"> </w:t>
      </w:r>
      <w:r w:rsidRPr="008516D1">
        <w:t>placée</w:t>
      </w:r>
      <w:r>
        <w:t xml:space="preserve"> </w:t>
      </w:r>
      <w:r w:rsidRPr="008516D1">
        <w:t>uniquement</w:t>
      </w:r>
      <w:r>
        <w:t xml:space="preserve"> </w:t>
      </w:r>
      <w:r w:rsidRPr="008516D1">
        <w:t>dans</w:t>
      </w:r>
      <w:r>
        <w:t xml:space="preserve"> </w:t>
      </w:r>
      <w:r w:rsidRPr="008516D1">
        <w:t>des</w:t>
      </w:r>
      <w:r>
        <w:t xml:space="preserve"> </w:t>
      </w:r>
      <w:r w:rsidRPr="008516D1">
        <w:t>lieux</w:t>
      </w:r>
      <w:r>
        <w:t xml:space="preserve"> </w:t>
      </w:r>
      <w:r w:rsidRPr="008516D1">
        <w:t>de</w:t>
      </w:r>
      <w:r>
        <w:t xml:space="preserve"> </w:t>
      </w:r>
      <w:r w:rsidRPr="008516D1">
        <w:t>privation</w:t>
      </w:r>
      <w:r>
        <w:t xml:space="preserve"> </w:t>
      </w:r>
      <w:r w:rsidRPr="008516D1">
        <w:t>de</w:t>
      </w:r>
      <w:r>
        <w:t xml:space="preserve"> </w:t>
      </w:r>
      <w:r w:rsidRPr="008516D1">
        <w:t>liberté</w:t>
      </w:r>
      <w:r>
        <w:t xml:space="preserve"> </w:t>
      </w:r>
      <w:r w:rsidRPr="008516D1">
        <w:t>officiellement</w:t>
      </w:r>
      <w:r>
        <w:t xml:space="preserve"> </w:t>
      </w:r>
      <w:r w:rsidRPr="008516D1">
        <w:t>reconnus</w:t>
      </w:r>
      <w:r>
        <w:t xml:space="preserve"> </w:t>
      </w:r>
      <w:r w:rsidRPr="008516D1">
        <w:t>et</w:t>
      </w:r>
      <w:r>
        <w:t xml:space="preserve"> </w:t>
      </w:r>
      <w:r w:rsidRPr="008516D1">
        <w:t>contrôlés,</w:t>
      </w:r>
      <w:r>
        <w:t xml:space="preserve"> </w:t>
      </w:r>
      <w:r w:rsidRPr="008516D1">
        <w:t>conformément</w:t>
      </w:r>
      <w:r>
        <w:t xml:space="preserve"> </w:t>
      </w:r>
      <w:r w:rsidRPr="008516D1">
        <w:t>à</w:t>
      </w:r>
      <w:r>
        <w:t xml:space="preserve"> </w:t>
      </w:r>
      <w:r w:rsidRPr="008516D1">
        <w:t>l</w:t>
      </w:r>
      <w:r>
        <w:t>’</w:t>
      </w:r>
      <w:r w:rsidRPr="008516D1">
        <w:t>article</w:t>
      </w:r>
      <w:r>
        <w:t xml:space="preserve"> </w:t>
      </w:r>
      <w:r w:rsidRPr="008516D1">
        <w:t>17</w:t>
      </w:r>
      <w:r w:rsidR="00A74554">
        <w:t> c)</w:t>
      </w:r>
      <w:r>
        <w:t xml:space="preserve"> </w:t>
      </w:r>
      <w:r w:rsidRPr="008516D1">
        <w:t>de</w:t>
      </w:r>
      <w:r>
        <w:t xml:space="preserve"> </w:t>
      </w:r>
      <w:r w:rsidRPr="008516D1">
        <w:t>la</w:t>
      </w:r>
      <w:r>
        <w:t xml:space="preserve"> </w:t>
      </w:r>
      <w:r w:rsidRPr="008516D1">
        <w:t>Convention,</w:t>
      </w:r>
      <w:r>
        <w:t xml:space="preserve"> </w:t>
      </w:r>
      <w:r w:rsidRPr="008516D1">
        <w:t>le</w:t>
      </w:r>
      <w:r>
        <w:t xml:space="preserve"> </w:t>
      </w:r>
      <w:r w:rsidRPr="008516D1">
        <w:t>système</w:t>
      </w:r>
      <w:r>
        <w:t xml:space="preserve"> </w:t>
      </w:r>
      <w:r w:rsidRPr="008516D1">
        <w:t>pénitentiaire</w:t>
      </w:r>
      <w:r>
        <w:t xml:space="preserve"> </w:t>
      </w:r>
      <w:r w:rsidRPr="008516D1">
        <w:t>national</w:t>
      </w:r>
      <w:r>
        <w:t xml:space="preserve"> </w:t>
      </w:r>
      <w:r w:rsidRPr="008516D1">
        <w:t>compte</w:t>
      </w:r>
      <w:r>
        <w:t xml:space="preserve"> </w:t>
      </w:r>
      <w:r w:rsidRPr="008516D1">
        <w:t>actuellement</w:t>
      </w:r>
      <w:r>
        <w:t xml:space="preserve"> </w:t>
      </w:r>
      <w:r w:rsidRPr="008516D1">
        <w:t>25</w:t>
      </w:r>
      <w:r w:rsidR="00C240B4">
        <w:t> </w:t>
      </w:r>
      <w:r w:rsidRPr="008516D1">
        <w:t>établissements</w:t>
      </w:r>
      <w:r>
        <w:t xml:space="preserve"> </w:t>
      </w:r>
      <w:r w:rsidRPr="008516D1">
        <w:t>pénitentiaires</w:t>
      </w:r>
      <w:r>
        <w:t xml:space="preserve"> </w:t>
      </w:r>
      <w:r w:rsidRPr="008516D1">
        <w:t>et</w:t>
      </w:r>
      <w:r>
        <w:t xml:space="preserve"> </w:t>
      </w:r>
      <w:r w:rsidRPr="008516D1">
        <w:t>3</w:t>
      </w:r>
      <w:r w:rsidR="00C240B4">
        <w:t> </w:t>
      </w:r>
      <w:r w:rsidRPr="008516D1">
        <w:t>centres</w:t>
      </w:r>
      <w:r>
        <w:t xml:space="preserve"> </w:t>
      </w:r>
      <w:r w:rsidRPr="008516D1">
        <w:t>de</w:t>
      </w:r>
      <w:r>
        <w:t xml:space="preserve"> </w:t>
      </w:r>
      <w:r w:rsidRPr="008516D1">
        <w:t>détention</w:t>
      </w:r>
      <w:r>
        <w:t xml:space="preserve"> </w:t>
      </w:r>
      <w:r w:rsidRPr="008516D1">
        <w:t>annexes.</w:t>
      </w:r>
    </w:p>
    <w:p w14:paraId="1B9D2751" w14:textId="77777777" w:rsidR="00286956" w:rsidRPr="00C240B4" w:rsidRDefault="00286956" w:rsidP="00286956">
      <w:pPr>
        <w:pStyle w:val="SingleTxtG"/>
        <w:rPr>
          <w:spacing w:val="-1"/>
        </w:rPr>
      </w:pPr>
      <w:r w:rsidRPr="00C240B4">
        <w:rPr>
          <w:spacing w:val="-1"/>
        </w:rPr>
        <w:t>125.</w:t>
      </w:r>
      <w:r w:rsidRPr="00C240B4">
        <w:rPr>
          <w:spacing w:val="-1"/>
        </w:rPr>
        <w:tab/>
        <w:t>En ce qui concerne les enfants et adolescents privés de liberté, l’Institut national de prise en charge des mineurs délinquants, créé en 2017, est chargé de l’organisation, de l’administration et du fonctionnement des cinq centres éducatifs fermés et de la direction du Système de justice spécialisée pour les mineurs délinquants. Il assure la prise en charge globale des enfants et des adolescents ayant enfreint la loi, dans le cadre de quatre programmes.</w:t>
      </w:r>
    </w:p>
    <w:p w14:paraId="76FA0891" w14:textId="4CC257AB" w:rsidR="00286956" w:rsidRPr="008516D1" w:rsidRDefault="00286956" w:rsidP="00286956">
      <w:pPr>
        <w:pStyle w:val="SingleTxtG"/>
      </w:pPr>
      <w:r w:rsidRPr="008516D1">
        <w:t>126.</w:t>
      </w:r>
      <w:r w:rsidRPr="008516D1">
        <w:tab/>
        <w:t>Afin</w:t>
      </w:r>
      <w:r>
        <w:t xml:space="preserve"> </w:t>
      </w:r>
      <w:r w:rsidRPr="008516D1">
        <w:t>de</w:t>
      </w:r>
      <w:r>
        <w:t xml:space="preserve"> </w:t>
      </w:r>
      <w:r w:rsidRPr="008516D1">
        <w:t>garantir</w:t>
      </w:r>
      <w:r>
        <w:t xml:space="preserve"> </w:t>
      </w:r>
      <w:r w:rsidRPr="008516D1">
        <w:t>à</w:t>
      </w:r>
      <w:r>
        <w:t xml:space="preserve"> </w:t>
      </w:r>
      <w:r w:rsidRPr="008516D1">
        <w:t>toute</w:t>
      </w:r>
      <w:r>
        <w:t xml:space="preserve"> </w:t>
      </w:r>
      <w:r w:rsidRPr="008516D1">
        <w:t>personne</w:t>
      </w:r>
      <w:r>
        <w:t xml:space="preserve"> </w:t>
      </w:r>
      <w:r w:rsidRPr="008516D1">
        <w:t>privée</w:t>
      </w:r>
      <w:r>
        <w:t xml:space="preserve"> </w:t>
      </w:r>
      <w:r w:rsidRPr="008516D1">
        <w:t>de</w:t>
      </w:r>
      <w:r>
        <w:t xml:space="preserve"> </w:t>
      </w:r>
      <w:r w:rsidRPr="008516D1">
        <w:t>liberté</w:t>
      </w:r>
      <w:r>
        <w:t xml:space="preserve"> </w:t>
      </w:r>
      <w:r w:rsidRPr="008516D1">
        <w:t>le</w:t>
      </w:r>
      <w:r>
        <w:t xml:space="preserve"> </w:t>
      </w:r>
      <w:r w:rsidRPr="008516D1">
        <w:t>droit</w:t>
      </w:r>
      <w:r>
        <w:t xml:space="preserve"> </w:t>
      </w:r>
      <w:r w:rsidRPr="008516D1">
        <w:t>de</w:t>
      </w:r>
      <w:r>
        <w:t xml:space="preserve"> </w:t>
      </w:r>
      <w:r w:rsidRPr="008516D1">
        <w:t>communiquer</w:t>
      </w:r>
      <w:r>
        <w:t xml:space="preserve"> </w:t>
      </w:r>
      <w:r w:rsidRPr="008516D1">
        <w:t>et</w:t>
      </w:r>
      <w:r>
        <w:t xml:space="preserve"> </w:t>
      </w:r>
      <w:r w:rsidRPr="008516D1">
        <w:t>de</w:t>
      </w:r>
      <w:r>
        <w:t xml:space="preserve"> </w:t>
      </w:r>
      <w:r w:rsidRPr="008516D1">
        <w:t>recevoir</w:t>
      </w:r>
      <w:r>
        <w:t xml:space="preserve"> </w:t>
      </w:r>
      <w:r w:rsidRPr="008516D1">
        <w:t>des</w:t>
      </w:r>
      <w:r>
        <w:t xml:space="preserve"> </w:t>
      </w:r>
      <w:r w:rsidRPr="008516D1">
        <w:t>visites</w:t>
      </w:r>
      <w:r>
        <w:t xml:space="preserve"> </w:t>
      </w:r>
      <w:r w:rsidRPr="008516D1">
        <w:t>de</w:t>
      </w:r>
      <w:r>
        <w:t xml:space="preserve"> </w:t>
      </w:r>
      <w:r w:rsidRPr="008516D1">
        <w:t>personnes</w:t>
      </w:r>
      <w:r>
        <w:t xml:space="preserve"> </w:t>
      </w:r>
      <w:r w:rsidRPr="008516D1">
        <w:t>de</w:t>
      </w:r>
      <w:r>
        <w:t xml:space="preserve"> </w:t>
      </w:r>
      <w:r w:rsidRPr="008516D1">
        <w:t>son</w:t>
      </w:r>
      <w:r>
        <w:t xml:space="preserve"> </w:t>
      </w:r>
      <w:r w:rsidRPr="008516D1">
        <w:t>choix,</w:t>
      </w:r>
      <w:r>
        <w:t xml:space="preserve"> </w:t>
      </w:r>
      <w:r w:rsidRPr="008516D1">
        <w:t>conformément</w:t>
      </w:r>
      <w:r>
        <w:t xml:space="preserve"> </w:t>
      </w:r>
      <w:r w:rsidRPr="008516D1">
        <w:t>à</w:t>
      </w:r>
      <w:r>
        <w:t xml:space="preserve"> </w:t>
      </w:r>
      <w:r w:rsidRPr="008516D1">
        <w:t>l</w:t>
      </w:r>
      <w:r>
        <w:t>’</w:t>
      </w:r>
      <w:r w:rsidRPr="008516D1">
        <w:t>article</w:t>
      </w:r>
      <w:r>
        <w:t xml:space="preserve"> </w:t>
      </w:r>
      <w:r w:rsidRPr="008516D1">
        <w:t>17</w:t>
      </w:r>
      <w:r w:rsidR="00A74554">
        <w:t> d)</w:t>
      </w:r>
      <w:r>
        <w:t xml:space="preserve"> </w:t>
      </w:r>
      <w:r w:rsidRPr="008516D1">
        <w:t>de</w:t>
      </w:r>
      <w:r>
        <w:t xml:space="preserve"> </w:t>
      </w:r>
      <w:r w:rsidRPr="008516D1">
        <w:t>la</w:t>
      </w:r>
      <w:r>
        <w:t xml:space="preserve"> </w:t>
      </w:r>
      <w:r w:rsidRPr="008516D1">
        <w:t>Convention,</w:t>
      </w:r>
      <w:r>
        <w:t xml:space="preserve"> </w:t>
      </w:r>
      <w:r w:rsidRPr="008516D1">
        <w:t>le</w:t>
      </w:r>
      <w:r>
        <w:t xml:space="preserve"> </w:t>
      </w:r>
      <w:r w:rsidRPr="008516D1">
        <w:t>Règlement</w:t>
      </w:r>
      <w:r>
        <w:t xml:space="preserve"> </w:t>
      </w:r>
      <w:r w:rsidRPr="008516D1">
        <w:t>relatif</w:t>
      </w:r>
      <w:r>
        <w:t xml:space="preserve"> </w:t>
      </w:r>
      <w:r w:rsidRPr="008516D1">
        <w:t>aux</w:t>
      </w:r>
      <w:r>
        <w:t xml:space="preserve"> </w:t>
      </w:r>
      <w:r w:rsidRPr="008516D1">
        <w:t>visites</w:t>
      </w:r>
      <w:r>
        <w:t xml:space="preserve"> </w:t>
      </w:r>
      <w:r w:rsidRPr="008516D1">
        <w:t>dans</w:t>
      </w:r>
      <w:r>
        <w:t xml:space="preserve"> </w:t>
      </w:r>
      <w:r w:rsidRPr="008516D1">
        <w:t>les</w:t>
      </w:r>
      <w:r>
        <w:t xml:space="preserve"> </w:t>
      </w:r>
      <w:r w:rsidRPr="008516D1">
        <w:t>établissements</w:t>
      </w:r>
      <w:r>
        <w:t xml:space="preserve"> </w:t>
      </w:r>
      <w:r w:rsidRPr="008516D1">
        <w:t>du</w:t>
      </w:r>
      <w:r>
        <w:t xml:space="preserve"> </w:t>
      </w:r>
      <w:r w:rsidRPr="008516D1">
        <w:t>Système</w:t>
      </w:r>
      <w:r>
        <w:t xml:space="preserve"> </w:t>
      </w:r>
      <w:r w:rsidRPr="008516D1">
        <w:t>pénitentiaire</w:t>
      </w:r>
      <w:r>
        <w:t xml:space="preserve"> </w:t>
      </w:r>
      <w:r w:rsidRPr="008516D1">
        <w:t>national</w:t>
      </w:r>
      <w:r w:rsidRPr="008516D1">
        <w:rPr>
          <w:rStyle w:val="Appelnotedebasdep"/>
        </w:rPr>
        <w:footnoteReference w:id="89"/>
      </w:r>
      <w:r>
        <w:t xml:space="preserve"> </w:t>
      </w:r>
      <w:r w:rsidRPr="008516D1">
        <w:t>autorise,</w:t>
      </w:r>
      <w:r>
        <w:t xml:space="preserve"> </w:t>
      </w:r>
      <w:r w:rsidRPr="008516D1">
        <w:t>dans</w:t>
      </w:r>
      <w:r>
        <w:t xml:space="preserve"> </w:t>
      </w:r>
      <w:r w:rsidRPr="008516D1">
        <w:t>le</w:t>
      </w:r>
      <w:r>
        <w:t xml:space="preserve"> </w:t>
      </w:r>
      <w:r w:rsidRPr="008516D1">
        <w:t>but</w:t>
      </w:r>
      <w:r>
        <w:t xml:space="preserve"> </w:t>
      </w:r>
      <w:r w:rsidRPr="008516D1">
        <w:t>de</w:t>
      </w:r>
      <w:r>
        <w:t xml:space="preserve"> </w:t>
      </w:r>
      <w:r w:rsidRPr="008516D1">
        <w:t>favoriser</w:t>
      </w:r>
      <w:r>
        <w:t xml:space="preserve"> </w:t>
      </w:r>
      <w:r w:rsidRPr="008516D1">
        <w:t>et</w:t>
      </w:r>
      <w:r>
        <w:t xml:space="preserve"> </w:t>
      </w:r>
      <w:r w:rsidRPr="008516D1">
        <w:t>de</w:t>
      </w:r>
      <w:r>
        <w:t xml:space="preserve"> </w:t>
      </w:r>
      <w:r w:rsidRPr="008516D1">
        <w:t>maintenir</w:t>
      </w:r>
      <w:r>
        <w:t xml:space="preserve"> </w:t>
      </w:r>
      <w:r w:rsidRPr="008516D1">
        <w:t>les</w:t>
      </w:r>
      <w:r>
        <w:t xml:space="preserve"> </w:t>
      </w:r>
      <w:r w:rsidRPr="008516D1">
        <w:t>liens</w:t>
      </w:r>
      <w:r>
        <w:t xml:space="preserve"> </w:t>
      </w:r>
      <w:r w:rsidRPr="008516D1">
        <w:t>qui</w:t>
      </w:r>
      <w:r>
        <w:t xml:space="preserve"> </w:t>
      </w:r>
      <w:r w:rsidRPr="008516D1">
        <w:t>unissent</w:t>
      </w:r>
      <w:r>
        <w:t xml:space="preserve"> </w:t>
      </w:r>
      <w:r w:rsidRPr="008516D1">
        <w:t>les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à</w:t>
      </w:r>
      <w:r>
        <w:t xml:space="preserve"> </w:t>
      </w:r>
      <w:r w:rsidRPr="008516D1">
        <w:t>leur</w:t>
      </w:r>
      <w:r>
        <w:t xml:space="preserve"> </w:t>
      </w:r>
      <w:r w:rsidRPr="008516D1">
        <w:t>famille,</w:t>
      </w:r>
      <w:r>
        <w:t xml:space="preserve"> </w:t>
      </w:r>
      <w:r w:rsidRPr="008516D1">
        <w:t>à</w:t>
      </w:r>
      <w:r>
        <w:t xml:space="preserve"> </w:t>
      </w:r>
      <w:r w:rsidRPr="008516D1">
        <w:t>leurs</w:t>
      </w:r>
      <w:r>
        <w:t xml:space="preserve"> </w:t>
      </w:r>
      <w:r w:rsidRPr="008516D1">
        <w:t>proches</w:t>
      </w:r>
      <w:r>
        <w:t xml:space="preserve"> </w:t>
      </w:r>
      <w:r w:rsidRPr="008516D1">
        <w:t>et</w:t>
      </w:r>
      <w:r>
        <w:t xml:space="preserve"> </w:t>
      </w:r>
      <w:r w:rsidRPr="008516D1">
        <w:t>à</w:t>
      </w:r>
      <w:r>
        <w:t xml:space="preserve"> </w:t>
      </w:r>
      <w:r w:rsidRPr="008516D1">
        <w:t>la</w:t>
      </w:r>
      <w:r>
        <w:t xml:space="preserve"> </w:t>
      </w:r>
      <w:r w:rsidRPr="008516D1">
        <w:t>communauté,</w:t>
      </w:r>
      <w:r>
        <w:t xml:space="preserve"> </w:t>
      </w:r>
      <w:r w:rsidRPr="008516D1">
        <w:t>la</w:t>
      </w:r>
      <w:r>
        <w:t xml:space="preserve"> </w:t>
      </w:r>
      <w:r w:rsidRPr="008516D1">
        <w:t>visite</w:t>
      </w:r>
      <w:r>
        <w:t xml:space="preserve"> </w:t>
      </w:r>
      <w:r w:rsidRPr="008516D1">
        <w:t>régulière</w:t>
      </w:r>
      <w:r>
        <w:t xml:space="preserve"> </w:t>
      </w:r>
      <w:r w:rsidRPr="008516D1">
        <w:t>de</w:t>
      </w:r>
      <w:r>
        <w:t xml:space="preserve"> </w:t>
      </w:r>
      <w:r w:rsidRPr="008516D1">
        <w:t>trois</w:t>
      </w:r>
      <w:r>
        <w:t xml:space="preserve"> </w:t>
      </w:r>
      <w:r w:rsidRPr="008516D1">
        <w:t>personnes</w:t>
      </w:r>
      <w:r>
        <w:t xml:space="preserve"> </w:t>
      </w:r>
      <w:r w:rsidRPr="008516D1">
        <w:t>par</w:t>
      </w:r>
      <w:r>
        <w:t xml:space="preserve"> </w:t>
      </w:r>
      <w:r w:rsidRPr="008516D1">
        <w:t>jour</w:t>
      </w:r>
      <w:r>
        <w:t xml:space="preserve"> </w:t>
      </w:r>
      <w:r w:rsidRPr="008516D1">
        <w:t>de</w:t>
      </w:r>
      <w:r>
        <w:t xml:space="preserve"> </w:t>
      </w:r>
      <w:r w:rsidRPr="008516D1">
        <w:t>visite,</w:t>
      </w:r>
      <w:r>
        <w:t xml:space="preserve"> </w:t>
      </w:r>
      <w:r w:rsidRPr="008516D1">
        <w:t>ainsi</w:t>
      </w:r>
      <w:r>
        <w:t xml:space="preserve"> </w:t>
      </w:r>
      <w:r w:rsidRPr="008516D1">
        <w:t>que</w:t>
      </w:r>
      <w:r>
        <w:t xml:space="preserve"> </w:t>
      </w:r>
      <w:r w:rsidRPr="008516D1">
        <w:t>la</w:t>
      </w:r>
      <w:r>
        <w:t xml:space="preserve"> </w:t>
      </w:r>
      <w:r w:rsidRPr="008516D1">
        <w:t>visite</w:t>
      </w:r>
      <w:r>
        <w:t xml:space="preserve"> </w:t>
      </w:r>
      <w:r w:rsidRPr="008516D1">
        <w:t>de</w:t>
      </w:r>
      <w:r>
        <w:t xml:space="preserve"> </w:t>
      </w:r>
      <w:r w:rsidRPr="008516D1">
        <w:t>personnes</w:t>
      </w:r>
      <w:r>
        <w:t xml:space="preserve"> </w:t>
      </w:r>
      <w:r w:rsidRPr="008516D1">
        <w:t>dûment</w:t>
      </w:r>
      <w:r>
        <w:t xml:space="preserve"> </w:t>
      </w:r>
      <w:r w:rsidRPr="008516D1">
        <w:t>accréditées</w:t>
      </w:r>
      <w:r>
        <w:t xml:space="preserve"> </w:t>
      </w:r>
      <w:r w:rsidRPr="008516D1">
        <w:t>(avocats,</w:t>
      </w:r>
      <w:r>
        <w:t xml:space="preserve"> </w:t>
      </w:r>
      <w:r w:rsidRPr="008516D1">
        <w:t>défenseurs</w:t>
      </w:r>
      <w:r>
        <w:t xml:space="preserve"> </w:t>
      </w:r>
      <w:r w:rsidRPr="008516D1">
        <w:t>publics,</w:t>
      </w:r>
      <w:r>
        <w:t xml:space="preserve"> </w:t>
      </w:r>
      <w:r w:rsidRPr="008516D1">
        <w:t>fonctionnaires,</w:t>
      </w:r>
      <w:r>
        <w:t xml:space="preserve"> </w:t>
      </w:r>
      <w:r w:rsidRPr="008516D1">
        <w:t>agents</w:t>
      </w:r>
      <w:r>
        <w:t xml:space="preserve"> </w:t>
      </w:r>
      <w:r w:rsidRPr="008516D1">
        <w:t>diplomatiques</w:t>
      </w:r>
      <w:r>
        <w:t xml:space="preserve"> </w:t>
      </w:r>
      <w:r w:rsidRPr="008516D1">
        <w:t>et</w:t>
      </w:r>
      <w:r>
        <w:t xml:space="preserve"> </w:t>
      </w:r>
      <w:r w:rsidRPr="008516D1">
        <w:t>consulaires,</w:t>
      </w:r>
      <w:r>
        <w:t xml:space="preserve"> </w:t>
      </w:r>
      <w:r w:rsidRPr="008516D1">
        <w:t>représentants</w:t>
      </w:r>
      <w:r>
        <w:t xml:space="preserve"> </w:t>
      </w:r>
      <w:r w:rsidRPr="008516D1">
        <w:t>d</w:t>
      </w:r>
      <w:r>
        <w:t>’</w:t>
      </w:r>
      <w:r w:rsidRPr="008516D1">
        <w:t>organisations</w:t>
      </w:r>
      <w:r>
        <w:t xml:space="preserve"> </w:t>
      </w:r>
      <w:r w:rsidRPr="008516D1">
        <w:t>internationales</w:t>
      </w:r>
      <w:r>
        <w:t xml:space="preserve"> </w:t>
      </w:r>
      <w:r w:rsidRPr="008516D1">
        <w:t>et</w:t>
      </w:r>
      <w:r>
        <w:t xml:space="preserve"> </w:t>
      </w:r>
      <w:r w:rsidRPr="008516D1">
        <w:t>d</w:t>
      </w:r>
      <w:r>
        <w:t>’</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d</w:t>
      </w:r>
      <w:r>
        <w:t>’</w:t>
      </w:r>
      <w:r w:rsidRPr="008516D1">
        <w:t>aide</w:t>
      </w:r>
      <w:r>
        <w:t xml:space="preserve"> </w:t>
      </w:r>
      <w:r w:rsidRPr="008516D1">
        <w:t>aux</w:t>
      </w:r>
      <w:r>
        <w:t xml:space="preserve"> </w:t>
      </w:r>
      <w:r w:rsidRPr="008516D1">
        <w:t>personnes</w:t>
      </w:r>
      <w:r>
        <w:t xml:space="preserve"> </w:t>
      </w:r>
      <w:r w:rsidRPr="008516D1">
        <w:t>privées</w:t>
      </w:r>
      <w:r>
        <w:t xml:space="preserve"> </w:t>
      </w:r>
      <w:r w:rsidRPr="008516D1">
        <w:t>de</w:t>
      </w:r>
      <w:r>
        <w:t xml:space="preserve"> </w:t>
      </w:r>
      <w:r w:rsidRPr="008516D1">
        <w:t>liberté).</w:t>
      </w:r>
    </w:p>
    <w:p w14:paraId="7127A114" w14:textId="0092EDB6" w:rsidR="00286956" w:rsidRPr="008516D1" w:rsidRDefault="00286956" w:rsidP="00286956">
      <w:pPr>
        <w:pStyle w:val="SingleTxtG"/>
      </w:pPr>
      <w:r w:rsidRPr="008516D1">
        <w:t>127.</w:t>
      </w:r>
      <w:r w:rsidRPr="008516D1">
        <w:tab/>
        <w:t>Par</w:t>
      </w:r>
      <w:r>
        <w:t xml:space="preserve"> </w:t>
      </w:r>
      <w:r w:rsidRPr="008516D1">
        <w:t>ailleurs,</w:t>
      </w:r>
      <w:r>
        <w:t xml:space="preserve"> </w:t>
      </w:r>
      <w:r w:rsidRPr="008516D1">
        <w:t>l</w:t>
      </w:r>
      <w:r>
        <w:t>’</w:t>
      </w:r>
      <w:r w:rsidRPr="008516D1">
        <w:t>Institut</w:t>
      </w:r>
      <w:r>
        <w:t xml:space="preserve"> </w:t>
      </w:r>
      <w:r w:rsidRPr="008516D1">
        <w:t>national</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mineurs</w:t>
      </w:r>
      <w:r>
        <w:t xml:space="preserve"> </w:t>
      </w:r>
      <w:r w:rsidRPr="008516D1">
        <w:t>délinquants</w:t>
      </w:r>
      <w:r>
        <w:t xml:space="preserve"> </w:t>
      </w:r>
      <w:r w:rsidRPr="008516D1">
        <w:t>garantit</w:t>
      </w:r>
      <w:r>
        <w:t xml:space="preserve"> </w:t>
      </w:r>
      <w:r w:rsidRPr="008516D1">
        <w:t>aux</w:t>
      </w:r>
      <w:r>
        <w:t xml:space="preserve"> </w:t>
      </w:r>
      <w:r w:rsidRPr="008516D1">
        <w:t>enfants</w:t>
      </w:r>
      <w:r>
        <w:t xml:space="preserve"> </w:t>
      </w:r>
      <w:r w:rsidRPr="008516D1">
        <w:t>et</w:t>
      </w:r>
      <w:r>
        <w:t xml:space="preserve"> </w:t>
      </w:r>
      <w:r w:rsidRPr="008516D1">
        <w:t>adolescents</w:t>
      </w:r>
      <w:r>
        <w:t xml:space="preserve"> </w:t>
      </w:r>
      <w:r w:rsidRPr="008516D1">
        <w:t>ayant</w:t>
      </w:r>
      <w:r>
        <w:t xml:space="preserve"> </w:t>
      </w:r>
      <w:r w:rsidRPr="008516D1">
        <w:t>enfreint</w:t>
      </w:r>
      <w:r>
        <w:t xml:space="preserve"> </w:t>
      </w:r>
      <w:r w:rsidRPr="008516D1">
        <w:t>la</w:t>
      </w:r>
      <w:r>
        <w:t xml:space="preserve"> </w:t>
      </w:r>
      <w:r w:rsidRPr="008516D1">
        <w:t>loi</w:t>
      </w:r>
      <w:r>
        <w:t xml:space="preserve"> </w:t>
      </w:r>
      <w:r w:rsidRPr="008516D1">
        <w:t>le</w:t>
      </w:r>
      <w:r>
        <w:t xml:space="preserve"> </w:t>
      </w:r>
      <w:r w:rsidRPr="008516D1">
        <w:t>droit</w:t>
      </w:r>
      <w:r>
        <w:t xml:space="preserve"> </w:t>
      </w:r>
      <w:r w:rsidRPr="008516D1">
        <w:t>de</w:t>
      </w:r>
      <w:r>
        <w:t xml:space="preserve"> </w:t>
      </w:r>
      <w:r w:rsidRPr="008516D1">
        <w:t>recevoir</w:t>
      </w:r>
      <w:r>
        <w:t xml:space="preserve"> </w:t>
      </w:r>
      <w:r w:rsidRPr="008516D1">
        <w:t>des</w:t>
      </w:r>
      <w:r>
        <w:t xml:space="preserve"> </w:t>
      </w:r>
      <w:r w:rsidRPr="008516D1">
        <w:t>visites</w:t>
      </w:r>
      <w:r>
        <w:t xml:space="preserve"> </w:t>
      </w:r>
      <w:r w:rsidRPr="008516D1">
        <w:t>de</w:t>
      </w:r>
      <w:r>
        <w:t xml:space="preserve"> </w:t>
      </w:r>
      <w:r w:rsidRPr="008516D1">
        <w:t>leur</w:t>
      </w:r>
      <w:r>
        <w:t xml:space="preserve"> </w:t>
      </w:r>
      <w:r w:rsidRPr="008516D1">
        <w:t>famille,</w:t>
      </w:r>
      <w:r>
        <w:t xml:space="preserve"> </w:t>
      </w:r>
      <w:r w:rsidRPr="008516D1">
        <w:t>de</w:t>
      </w:r>
      <w:r>
        <w:t xml:space="preserve"> </w:t>
      </w:r>
      <w:r w:rsidRPr="008516D1">
        <w:t>leurs</w:t>
      </w:r>
      <w:r>
        <w:t xml:space="preserve"> </w:t>
      </w:r>
      <w:r w:rsidRPr="008516D1">
        <w:t>amis</w:t>
      </w:r>
      <w:r>
        <w:t xml:space="preserve"> </w:t>
      </w:r>
      <w:r w:rsidRPr="008516D1">
        <w:t>ou</w:t>
      </w:r>
      <w:r>
        <w:t xml:space="preserve"> </w:t>
      </w:r>
      <w:r w:rsidRPr="008516D1">
        <w:t>de</w:t>
      </w:r>
      <w:r>
        <w:t xml:space="preserve"> </w:t>
      </w:r>
      <w:r w:rsidRPr="008516D1">
        <w:t>leurs</w:t>
      </w:r>
      <w:r>
        <w:t xml:space="preserve"> </w:t>
      </w:r>
      <w:r w:rsidRPr="008516D1">
        <w:t>proches</w:t>
      </w:r>
      <w:r>
        <w:t xml:space="preserve"> </w:t>
      </w:r>
      <w:r w:rsidRPr="008516D1">
        <w:t>avec</w:t>
      </w:r>
      <w:r>
        <w:t xml:space="preserve"> </w:t>
      </w:r>
      <w:r w:rsidRPr="008516D1">
        <w:t>l</w:t>
      </w:r>
      <w:r>
        <w:t>’</w:t>
      </w:r>
      <w:r w:rsidRPr="008516D1">
        <w:t>accord</w:t>
      </w:r>
      <w:r>
        <w:t xml:space="preserve"> </w:t>
      </w:r>
      <w:r w:rsidRPr="008516D1">
        <w:t>de</w:t>
      </w:r>
      <w:r>
        <w:t xml:space="preserve"> </w:t>
      </w:r>
      <w:r w:rsidRPr="008516D1">
        <w:t>leurs</w:t>
      </w:r>
      <w:r>
        <w:t xml:space="preserve"> </w:t>
      </w:r>
      <w:r w:rsidRPr="008516D1">
        <w:t>parents,</w:t>
      </w:r>
      <w:r>
        <w:t xml:space="preserve"> </w:t>
      </w:r>
      <w:r w:rsidRPr="008516D1">
        <w:t>des</w:t>
      </w:r>
      <w:r>
        <w:t xml:space="preserve"> </w:t>
      </w:r>
      <w:r w:rsidRPr="008516D1">
        <w:t>autorités</w:t>
      </w:r>
      <w:r>
        <w:t xml:space="preserve"> </w:t>
      </w:r>
      <w:r w:rsidRPr="008516D1">
        <w:t>responsables</w:t>
      </w:r>
      <w:r>
        <w:t xml:space="preserve"> </w:t>
      </w:r>
      <w:r w:rsidRPr="008516D1">
        <w:t>du</w:t>
      </w:r>
      <w:r>
        <w:t xml:space="preserve"> </w:t>
      </w:r>
      <w:r w:rsidRPr="008516D1">
        <w:t>centre</w:t>
      </w:r>
      <w:r>
        <w:t xml:space="preserve"> </w:t>
      </w:r>
      <w:r w:rsidRPr="008516D1">
        <w:t>et</w:t>
      </w:r>
      <w:r>
        <w:t xml:space="preserve"> </w:t>
      </w:r>
      <w:r w:rsidRPr="008516D1">
        <w:t>du</w:t>
      </w:r>
      <w:r>
        <w:t xml:space="preserve"> </w:t>
      </w:r>
      <w:r w:rsidRPr="008516D1">
        <w:t>juge</w:t>
      </w:r>
      <w:r>
        <w:t xml:space="preserve"> </w:t>
      </w:r>
      <w:r w:rsidRPr="008516D1">
        <w:t>des</w:t>
      </w:r>
      <w:r>
        <w:t xml:space="preserve"> </w:t>
      </w:r>
      <w:r w:rsidRPr="008516D1">
        <w:t>enfants</w:t>
      </w:r>
      <w:r w:rsidRPr="008516D1">
        <w:rPr>
          <w:rStyle w:val="Appelnotedebasdep"/>
        </w:rPr>
        <w:footnoteReference w:id="90"/>
      </w:r>
      <w:r w:rsidRPr="008516D1">
        <w:t>.</w:t>
      </w:r>
      <w:r>
        <w:t xml:space="preserve"> </w:t>
      </w:r>
      <w:r w:rsidRPr="008516D1">
        <w:t>En</w:t>
      </w:r>
      <w:r>
        <w:t xml:space="preserve"> </w:t>
      </w:r>
      <w:r w:rsidRPr="008516D1">
        <w:t>2020,</w:t>
      </w:r>
      <w:r>
        <w:t xml:space="preserve"> </w:t>
      </w:r>
      <w:r w:rsidRPr="008516D1">
        <w:t>afin</w:t>
      </w:r>
      <w:r>
        <w:t xml:space="preserve"> </w:t>
      </w:r>
      <w:r w:rsidRPr="008516D1">
        <w:t>de</w:t>
      </w:r>
      <w:r>
        <w:t xml:space="preserve"> </w:t>
      </w:r>
      <w:r w:rsidRPr="008516D1">
        <w:t>garantir</w:t>
      </w:r>
      <w:r>
        <w:t xml:space="preserve"> </w:t>
      </w:r>
      <w:r w:rsidRPr="008516D1">
        <w:t>les</w:t>
      </w:r>
      <w:r>
        <w:t xml:space="preserve"> </w:t>
      </w:r>
      <w:r w:rsidRPr="008516D1">
        <w:t>visites</w:t>
      </w:r>
      <w:r>
        <w:t xml:space="preserve"> </w:t>
      </w:r>
      <w:r w:rsidRPr="008516D1">
        <w:t>et</w:t>
      </w:r>
      <w:r>
        <w:t xml:space="preserve"> </w:t>
      </w:r>
      <w:r w:rsidRPr="008516D1">
        <w:t>la</w:t>
      </w:r>
      <w:r>
        <w:t xml:space="preserve"> </w:t>
      </w:r>
      <w:r w:rsidRPr="008516D1">
        <w:t>communication</w:t>
      </w:r>
      <w:r>
        <w:t xml:space="preserve"> </w:t>
      </w:r>
      <w:r w:rsidRPr="008516D1">
        <w:t>entre</w:t>
      </w:r>
      <w:r>
        <w:t xml:space="preserve"> </w:t>
      </w:r>
      <w:r w:rsidRPr="008516D1">
        <w:t>les</w:t>
      </w:r>
      <w:r>
        <w:t xml:space="preserve"> </w:t>
      </w:r>
      <w:r w:rsidRPr="008516D1">
        <w:t>mineurs</w:t>
      </w:r>
      <w:r>
        <w:t xml:space="preserve"> </w:t>
      </w:r>
      <w:r w:rsidRPr="008516D1">
        <w:t>et</w:t>
      </w:r>
      <w:r>
        <w:t xml:space="preserve"> </w:t>
      </w:r>
      <w:r w:rsidRPr="008516D1">
        <w:t>leur</w:t>
      </w:r>
      <w:r>
        <w:t xml:space="preserve"> </w:t>
      </w:r>
      <w:r w:rsidRPr="008516D1">
        <w:t>famille,</w:t>
      </w:r>
      <w:r>
        <w:t xml:space="preserve"> </w:t>
      </w:r>
      <w:r w:rsidRPr="008516D1">
        <w:t>l</w:t>
      </w:r>
      <w:r>
        <w:t>’</w:t>
      </w:r>
      <w:r w:rsidRPr="008516D1">
        <w:t>Institut</w:t>
      </w:r>
      <w:r>
        <w:t xml:space="preserve"> </w:t>
      </w:r>
      <w:r w:rsidRPr="008516D1">
        <w:t>national</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mineurs</w:t>
      </w:r>
      <w:r>
        <w:t xml:space="preserve"> </w:t>
      </w:r>
      <w:r w:rsidRPr="008516D1">
        <w:t>délinquants</w:t>
      </w:r>
      <w:r>
        <w:t xml:space="preserve"> </w:t>
      </w:r>
      <w:r w:rsidRPr="008516D1">
        <w:t>a</w:t>
      </w:r>
      <w:r w:rsidR="00C240B4">
        <w:t xml:space="preserve"> </w:t>
      </w:r>
      <w:r w:rsidRPr="008516D1">
        <w:t>autorisé</w:t>
      </w:r>
      <w:r>
        <w:t xml:space="preserve"> </w:t>
      </w:r>
      <w:r w:rsidRPr="008516D1">
        <w:t>deux</w:t>
      </w:r>
      <w:r>
        <w:t xml:space="preserve"> </w:t>
      </w:r>
      <w:r w:rsidRPr="008516D1">
        <w:t>appels</w:t>
      </w:r>
      <w:r>
        <w:t xml:space="preserve"> </w:t>
      </w:r>
      <w:r w:rsidRPr="008516D1">
        <w:t>vidéo</w:t>
      </w:r>
      <w:r>
        <w:t xml:space="preserve"> </w:t>
      </w:r>
      <w:r w:rsidRPr="008516D1">
        <w:t>par</w:t>
      </w:r>
      <w:r>
        <w:t xml:space="preserve"> </w:t>
      </w:r>
      <w:r w:rsidRPr="008516D1">
        <w:t>semaine</w:t>
      </w:r>
      <w:r>
        <w:t xml:space="preserve"> </w:t>
      </w:r>
      <w:r w:rsidRPr="008516D1">
        <w:t>et</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un</w:t>
      </w:r>
      <w:r>
        <w:t xml:space="preserve"> </w:t>
      </w:r>
      <w:r w:rsidRPr="008516D1">
        <w:t>système</w:t>
      </w:r>
      <w:r>
        <w:t xml:space="preserve"> </w:t>
      </w:r>
      <w:r w:rsidRPr="008516D1">
        <w:t>leur</w:t>
      </w:r>
      <w:r>
        <w:t xml:space="preserve"> </w:t>
      </w:r>
      <w:r w:rsidRPr="008516D1">
        <w:t>permettant</w:t>
      </w:r>
      <w:r>
        <w:t xml:space="preserve"> </w:t>
      </w:r>
      <w:r w:rsidRPr="008516D1">
        <w:t>d</w:t>
      </w:r>
      <w:r>
        <w:t>’</w:t>
      </w:r>
      <w:r w:rsidRPr="008516D1">
        <w:t>échanger</w:t>
      </w:r>
      <w:r>
        <w:t xml:space="preserve"> </w:t>
      </w:r>
      <w:r w:rsidRPr="008516D1">
        <w:t>50</w:t>
      </w:r>
      <w:r w:rsidR="00C240B4">
        <w:t> </w:t>
      </w:r>
      <w:r w:rsidRPr="008516D1">
        <w:t>messages</w:t>
      </w:r>
      <w:r>
        <w:t xml:space="preserve"> </w:t>
      </w:r>
      <w:r w:rsidRPr="008516D1">
        <w:t>et</w:t>
      </w:r>
      <w:r>
        <w:t xml:space="preserve"> </w:t>
      </w:r>
      <w:r w:rsidRPr="008516D1">
        <w:t>vidéos</w:t>
      </w:r>
      <w:r>
        <w:t xml:space="preserve"> </w:t>
      </w:r>
      <w:r w:rsidRPr="008516D1">
        <w:t>par</w:t>
      </w:r>
      <w:r>
        <w:t xml:space="preserve"> </w:t>
      </w:r>
      <w:r w:rsidRPr="008516D1">
        <w:t>semaine</w:t>
      </w:r>
      <w:r>
        <w:t xml:space="preserve"> </w:t>
      </w:r>
      <w:r w:rsidRPr="008516D1">
        <w:t>avec</w:t>
      </w:r>
      <w:r>
        <w:t xml:space="preserve"> </w:t>
      </w:r>
      <w:r w:rsidRPr="008516D1">
        <w:t>leur</w:t>
      </w:r>
      <w:r>
        <w:t xml:space="preserve"> </w:t>
      </w:r>
      <w:r w:rsidRPr="008516D1">
        <w:t>famille</w:t>
      </w:r>
      <w:r>
        <w:t xml:space="preserve"> </w:t>
      </w:r>
      <w:r w:rsidRPr="008516D1">
        <w:t>par</w:t>
      </w:r>
      <w:r>
        <w:t xml:space="preserve"> </w:t>
      </w:r>
      <w:r w:rsidRPr="008516D1">
        <w:t>l</w:t>
      </w:r>
      <w:r>
        <w:t>’</w:t>
      </w:r>
      <w:r w:rsidRPr="008516D1">
        <w:t>intermédiaire</w:t>
      </w:r>
      <w:r>
        <w:t xml:space="preserve"> </w:t>
      </w:r>
      <w:r w:rsidRPr="008516D1">
        <w:t>des</w:t>
      </w:r>
      <w:r>
        <w:t xml:space="preserve"> </w:t>
      </w:r>
      <w:r w:rsidRPr="008516D1">
        <w:t>réseaux</w:t>
      </w:r>
      <w:r>
        <w:t xml:space="preserve"> </w:t>
      </w:r>
      <w:r w:rsidRPr="008516D1">
        <w:t>sociaux.</w:t>
      </w:r>
      <w:r>
        <w:t xml:space="preserve"> </w:t>
      </w:r>
      <w:r w:rsidRPr="008516D1">
        <w:t>En</w:t>
      </w:r>
      <w:r>
        <w:t xml:space="preserve"> </w:t>
      </w:r>
      <w:r w:rsidRPr="008516D1">
        <w:t>outre,</w:t>
      </w:r>
      <w:r>
        <w:t xml:space="preserve"> </w:t>
      </w:r>
      <w:r w:rsidRPr="008516D1">
        <w:t>les</w:t>
      </w:r>
      <w:r>
        <w:t xml:space="preserve"> </w:t>
      </w:r>
      <w:r w:rsidRPr="008516D1">
        <w:t>agents</w:t>
      </w:r>
      <w:r>
        <w:t xml:space="preserve"> </w:t>
      </w:r>
      <w:r w:rsidRPr="008516D1">
        <w:t>des</w:t>
      </w:r>
      <w:r>
        <w:t xml:space="preserve"> </w:t>
      </w:r>
      <w:r w:rsidRPr="008516D1">
        <w:t>services</w:t>
      </w:r>
      <w:r>
        <w:t xml:space="preserve"> </w:t>
      </w:r>
      <w:r w:rsidRPr="008516D1">
        <w:t>judiciaires,</w:t>
      </w:r>
      <w:r>
        <w:t xml:space="preserve"> </w:t>
      </w:r>
      <w:r w:rsidRPr="008516D1">
        <w:t>les</w:t>
      </w:r>
      <w:r>
        <w:t xml:space="preserve"> </w:t>
      </w:r>
      <w:r w:rsidRPr="008516D1">
        <w:t>avocats</w:t>
      </w:r>
      <w:r>
        <w:t xml:space="preserve"> </w:t>
      </w:r>
      <w:r w:rsidRPr="008516D1">
        <w:t>et</w:t>
      </w:r>
      <w:r>
        <w:t xml:space="preserve"> </w:t>
      </w:r>
      <w:r w:rsidRPr="008516D1">
        <w:t>les</w:t>
      </w:r>
      <w:r>
        <w:t xml:space="preserve"> </w:t>
      </w:r>
      <w:r w:rsidRPr="008516D1">
        <w:t>défenseurs</w:t>
      </w:r>
      <w:r>
        <w:t xml:space="preserve"> </w:t>
      </w:r>
      <w:r w:rsidRPr="008516D1">
        <w:lastRenderedPageBreak/>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ont</w:t>
      </w:r>
      <w:r>
        <w:t xml:space="preserve"> </w:t>
      </w:r>
      <w:r w:rsidRPr="008516D1">
        <w:t>librement</w:t>
      </w:r>
      <w:r>
        <w:t xml:space="preserve"> </w:t>
      </w:r>
      <w:r w:rsidRPr="008516D1">
        <w:t>accès</w:t>
      </w:r>
      <w:r>
        <w:t xml:space="preserve"> </w:t>
      </w:r>
      <w:r w:rsidRPr="008516D1">
        <w:t>aux</w:t>
      </w:r>
      <w:r>
        <w:t xml:space="preserve"> </w:t>
      </w:r>
      <w:r w:rsidRPr="008516D1">
        <w:t>centres</w:t>
      </w:r>
      <w:r>
        <w:t xml:space="preserve"> </w:t>
      </w:r>
      <w:r w:rsidRPr="008516D1">
        <w:t>éducatifs,</w:t>
      </w:r>
      <w:r>
        <w:t xml:space="preserve"> </w:t>
      </w:r>
      <w:r w:rsidRPr="008516D1">
        <w:t>dans</w:t>
      </w:r>
      <w:r>
        <w:t xml:space="preserve"> </w:t>
      </w:r>
      <w:r w:rsidRPr="008516D1">
        <w:t>le</w:t>
      </w:r>
      <w:r>
        <w:t xml:space="preserve"> </w:t>
      </w:r>
      <w:r w:rsidRPr="008516D1">
        <w:t>respect</w:t>
      </w:r>
      <w:r>
        <w:t xml:space="preserve"> </w:t>
      </w:r>
      <w:r w:rsidRPr="008516D1">
        <w:t>des</w:t>
      </w:r>
      <w:r>
        <w:t xml:space="preserve"> </w:t>
      </w:r>
      <w:r w:rsidRPr="008516D1">
        <w:t>normes</w:t>
      </w:r>
      <w:r w:rsidR="00C240B4">
        <w:t> </w:t>
      </w:r>
      <w:r w:rsidRPr="008516D1">
        <w:t>sanitaires.</w:t>
      </w:r>
    </w:p>
    <w:p w14:paraId="185B6697" w14:textId="77777777" w:rsidR="00286956" w:rsidRPr="008516D1" w:rsidRDefault="00286956" w:rsidP="00312EC8">
      <w:pPr>
        <w:pStyle w:val="SingleTxtG"/>
      </w:pPr>
      <w:r w:rsidRPr="008516D1">
        <w:t>128.</w:t>
      </w:r>
      <w:r w:rsidRPr="008516D1">
        <w:tab/>
        <w:t>Concernant</w:t>
      </w:r>
      <w:r>
        <w:t xml:space="preserve"> </w:t>
      </w:r>
      <w:r w:rsidRPr="008516D1">
        <w:t>les</w:t>
      </w:r>
      <w:r>
        <w:t xml:space="preserve"> </w:t>
      </w:r>
      <w:r w:rsidRPr="008516D1">
        <w:t>conditions</w:t>
      </w:r>
      <w:r>
        <w:t xml:space="preserve"> </w:t>
      </w:r>
      <w:r w:rsidRPr="008516D1">
        <w:t>requises</w:t>
      </w:r>
      <w:r>
        <w:t xml:space="preserve"> </w:t>
      </w:r>
      <w:r w:rsidRPr="008516D1">
        <w:t>et</w:t>
      </w:r>
      <w:r>
        <w:t xml:space="preserve"> </w:t>
      </w:r>
      <w:r w:rsidRPr="008516D1">
        <w:t>les</w:t>
      </w:r>
      <w:r>
        <w:t xml:space="preserve"> </w:t>
      </w:r>
      <w:r w:rsidRPr="008516D1">
        <w:t>coûts</w:t>
      </w:r>
      <w:r>
        <w:t xml:space="preserve"> </w:t>
      </w:r>
      <w:r w:rsidRPr="008516D1">
        <w:t>d</w:t>
      </w:r>
      <w:r>
        <w:t>’</w:t>
      </w:r>
      <w:r w:rsidRPr="008516D1">
        <w:t>obtention</w:t>
      </w:r>
      <w:r>
        <w:t xml:space="preserve"> </w:t>
      </w:r>
      <w:r w:rsidRPr="008516D1">
        <w:t>d</w:t>
      </w:r>
      <w:r>
        <w:t>’</w:t>
      </w:r>
      <w:r w:rsidRPr="008516D1">
        <w:t>un</w:t>
      </w:r>
      <w:r>
        <w:t xml:space="preserve"> </w:t>
      </w:r>
      <w:r w:rsidRPr="008516D1">
        <w:t>carnet</w:t>
      </w:r>
      <w:r>
        <w:t xml:space="preserve"> </w:t>
      </w:r>
      <w:r w:rsidRPr="008516D1">
        <w:t>de</w:t>
      </w:r>
      <w:r>
        <w:t xml:space="preserve"> </w:t>
      </w:r>
      <w:r w:rsidRPr="008516D1">
        <w:t>visite</w:t>
      </w:r>
      <w:r>
        <w:t xml:space="preserve"> </w:t>
      </w:r>
      <w:r w:rsidRPr="008516D1">
        <w:t>pour</w:t>
      </w:r>
      <w:r>
        <w:t xml:space="preserve"> </w:t>
      </w:r>
      <w:r w:rsidRPr="008516D1">
        <w:t>les</w:t>
      </w:r>
      <w:r>
        <w:t xml:space="preserve"> </w:t>
      </w:r>
      <w:r w:rsidRPr="008516D1">
        <w:t>familles</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les</w:t>
      </w:r>
      <w:r>
        <w:t xml:space="preserve"> </w:t>
      </w:r>
      <w:r w:rsidRPr="008516D1">
        <w:t>certificats</w:t>
      </w:r>
      <w:r>
        <w:t xml:space="preserve"> </w:t>
      </w:r>
      <w:r w:rsidRPr="008516D1">
        <w:t>nécessaires</w:t>
      </w:r>
      <w:r>
        <w:t xml:space="preserve"> </w:t>
      </w:r>
      <w:r w:rsidRPr="008516D1">
        <w:t>pour</w:t>
      </w:r>
      <w:r>
        <w:t xml:space="preserve"> </w:t>
      </w:r>
      <w:r w:rsidRPr="008516D1">
        <w:t>l</w:t>
      </w:r>
      <w:r>
        <w:t>’</w:t>
      </w:r>
      <w:r w:rsidRPr="008516D1">
        <w:t>obtention</w:t>
      </w:r>
      <w:r>
        <w:t xml:space="preserve"> </w:t>
      </w:r>
      <w:r w:rsidRPr="008516D1">
        <w:t>du</w:t>
      </w:r>
      <w:r>
        <w:t xml:space="preserve"> </w:t>
      </w:r>
      <w:r w:rsidRPr="008516D1">
        <w:t>carnet</w:t>
      </w:r>
      <w:r>
        <w:t xml:space="preserve"> </w:t>
      </w:r>
      <w:r w:rsidRPr="008516D1">
        <w:t>de</w:t>
      </w:r>
      <w:r>
        <w:t xml:space="preserve"> </w:t>
      </w:r>
      <w:r w:rsidRPr="008516D1">
        <w:t>visite</w:t>
      </w:r>
      <w:r>
        <w:t xml:space="preserve"> </w:t>
      </w:r>
      <w:r w:rsidRPr="008516D1">
        <w:t>sont</w:t>
      </w:r>
      <w:r>
        <w:t xml:space="preserve"> </w:t>
      </w:r>
      <w:r w:rsidRPr="008516D1">
        <w:t>délivrés</w:t>
      </w:r>
      <w:r>
        <w:t xml:space="preserve"> </w:t>
      </w:r>
      <w:r w:rsidRPr="008516D1">
        <w:t>gratuitement</w:t>
      </w:r>
      <w:r>
        <w:t xml:space="preserve"> </w:t>
      </w:r>
      <w:r w:rsidRPr="008516D1">
        <w:t>par</w:t>
      </w:r>
      <w:r>
        <w:t xml:space="preserve"> </w:t>
      </w:r>
      <w:r w:rsidRPr="008516D1">
        <w:t>les</w:t>
      </w:r>
      <w:r>
        <w:t xml:space="preserve"> </w:t>
      </w:r>
      <w:r w:rsidRPr="008516D1">
        <w:t>institutions</w:t>
      </w:r>
      <w:r>
        <w:t xml:space="preserve"> </w:t>
      </w:r>
      <w:r w:rsidRPr="008516D1">
        <w:t>de</w:t>
      </w:r>
      <w:r>
        <w:t xml:space="preserve"> </w:t>
      </w:r>
      <w:r w:rsidRPr="008516D1">
        <w:t>l</w:t>
      </w:r>
      <w:r>
        <w:t>’</w:t>
      </w:r>
      <w:r w:rsidRPr="008516D1">
        <w:t>État</w:t>
      </w:r>
      <w:r>
        <w:t xml:space="preserve"> </w:t>
      </w:r>
      <w:r w:rsidRPr="008516D1">
        <w:t>depuis</w:t>
      </w:r>
      <w:r>
        <w:t xml:space="preserve"> </w:t>
      </w:r>
      <w:r w:rsidRPr="008516D1">
        <w:t>2019,</w:t>
      </w:r>
      <w:r>
        <w:t xml:space="preserve"> </w:t>
      </w:r>
      <w:r w:rsidRPr="008516D1">
        <w:t>conformément</w:t>
      </w:r>
      <w:r>
        <w:t xml:space="preserve"> </w:t>
      </w:r>
      <w:r w:rsidRPr="008516D1">
        <w:t>aux</w:t>
      </w:r>
      <w:r>
        <w:t xml:space="preserve"> </w:t>
      </w:r>
      <w:r w:rsidRPr="008516D1">
        <w:t>dispositions</w:t>
      </w:r>
      <w:r>
        <w:t xml:space="preserve"> </w:t>
      </w:r>
      <w:r w:rsidRPr="008516D1">
        <w:t>du</w:t>
      </w:r>
      <w:r>
        <w:t xml:space="preserve"> </w:t>
      </w:r>
      <w:r w:rsidRPr="008516D1">
        <w:t>budget</w:t>
      </w:r>
      <w:r>
        <w:t xml:space="preserve"> </w:t>
      </w:r>
      <w:r w:rsidRPr="008516D1">
        <w:t>général</w:t>
      </w:r>
      <w:r>
        <w:t xml:space="preserve"> </w:t>
      </w:r>
      <w:r w:rsidRPr="008516D1">
        <w:t>de</w:t>
      </w:r>
      <w:r>
        <w:t xml:space="preserve"> </w:t>
      </w:r>
      <w:r w:rsidRPr="008516D1">
        <w:t>la</w:t>
      </w:r>
      <w:r>
        <w:t xml:space="preserve"> </w:t>
      </w:r>
      <w:r w:rsidRPr="008516D1">
        <w:t>République</w:t>
      </w:r>
      <w:r w:rsidRPr="008516D1">
        <w:rPr>
          <w:rStyle w:val="Appelnotedebasdep"/>
        </w:rPr>
        <w:footnoteReference w:id="91"/>
      </w:r>
      <w:r w:rsidRPr="008516D1">
        <w:t>.</w:t>
      </w:r>
    </w:p>
    <w:p w14:paraId="057B7F1C" w14:textId="0DB68CE9" w:rsidR="00286956" w:rsidRPr="008516D1" w:rsidRDefault="00286956" w:rsidP="00286956">
      <w:pPr>
        <w:pStyle w:val="SingleTxtG"/>
      </w:pPr>
      <w:r w:rsidRPr="008516D1">
        <w:t>129.</w:t>
      </w:r>
      <w:r w:rsidRPr="008516D1">
        <w:tab/>
        <w:t>Afin</w:t>
      </w:r>
      <w:r>
        <w:t xml:space="preserve"> </w:t>
      </w:r>
      <w:r w:rsidRPr="008516D1">
        <w:t>de</w:t>
      </w:r>
      <w:r>
        <w:t xml:space="preserve"> </w:t>
      </w:r>
      <w:r w:rsidRPr="008516D1">
        <w:t>prévenir</w:t>
      </w:r>
      <w:r>
        <w:t xml:space="preserve"> </w:t>
      </w:r>
      <w:r w:rsidRPr="008516D1">
        <w:t>toute</w:t>
      </w:r>
      <w:r>
        <w:t xml:space="preserve"> </w:t>
      </w:r>
      <w:r w:rsidRPr="008516D1">
        <w:t>disparition</w:t>
      </w:r>
      <w:r>
        <w:t xml:space="preserve"> </w:t>
      </w:r>
      <w:r w:rsidRPr="008516D1">
        <w:t>forcée</w:t>
      </w:r>
      <w:r>
        <w:t xml:space="preserve"> </w:t>
      </w:r>
      <w:r w:rsidRPr="008516D1">
        <w:t>de</w:t>
      </w:r>
      <w:r>
        <w:t xml:space="preserve"> </w:t>
      </w:r>
      <w:r w:rsidRPr="008516D1">
        <w:t>détenus</w:t>
      </w:r>
      <w:r>
        <w:t xml:space="preserve"> </w:t>
      </w:r>
      <w:r w:rsidRPr="008516D1">
        <w:t>et</w:t>
      </w:r>
      <w:r>
        <w:t xml:space="preserve"> </w:t>
      </w:r>
      <w:r w:rsidRPr="008516D1">
        <w:t>de</w:t>
      </w:r>
      <w:r>
        <w:t xml:space="preserve"> </w:t>
      </w:r>
      <w:r w:rsidRPr="008516D1">
        <w:t>vérifier</w:t>
      </w:r>
      <w:r>
        <w:t xml:space="preserve"> </w:t>
      </w:r>
      <w:r w:rsidRPr="008516D1">
        <w:t>les</w:t>
      </w:r>
      <w:r>
        <w:t xml:space="preserve"> </w:t>
      </w:r>
      <w:r w:rsidRPr="008516D1">
        <w:t>conditions</w:t>
      </w:r>
      <w:r>
        <w:t xml:space="preserve"> </w:t>
      </w:r>
      <w:r w:rsidRPr="008516D1">
        <w:t>de</w:t>
      </w:r>
      <w:r>
        <w:t xml:space="preserve"> </w:t>
      </w:r>
      <w:r w:rsidRPr="008516D1">
        <w:t>vie</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conformément</w:t>
      </w:r>
      <w:r>
        <w:t xml:space="preserve"> </w:t>
      </w:r>
      <w:r w:rsidRPr="008516D1">
        <w:t>à</w:t>
      </w:r>
      <w:r>
        <w:t xml:space="preserve"> </w:t>
      </w:r>
      <w:r w:rsidRPr="008516D1">
        <w:t>l</w:t>
      </w:r>
      <w:r>
        <w:t>’</w:t>
      </w:r>
      <w:r w:rsidRPr="008516D1">
        <w:t>article</w:t>
      </w:r>
      <w:r>
        <w:t xml:space="preserve"> </w:t>
      </w:r>
      <w:r w:rsidRPr="008516D1">
        <w:t>17</w:t>
      </w:r>
      <w:r>
        <w:t xml:space="preserve"> </w:t>
      </w:r>
      <w:r w:rsidRPr="008516D1">
        <w:t>(</w:t>
      </w:r>
      <w:r w:rsidR="003A61DD">
        <w:t>par. </w:t>
      </w:r>
      <w:r w:rsidRPr="008516D1">
        <w:t>2</w:t>
      </w:r>
      <w:r w:rsidR="00A74554">
        <w:t> e)</w:t>
      </w:r>
      <w:r w:rsidRPr="008516D1">
        <w:t>)</w:t>
      </w:r>
      <w:r>
        <w:t xml:space="preserve"> </w:t>
      </w:r>
      <w:r w:rsidRPr="008516D1">
        <w:t>de</w:t>
      </w:r>
      <w:r>
        <w:t xml:space="preserve"> </w:t>
      </w:r>
      <w:r w:rsidRPr="008516D1">
        <w:t>la</w:t>
      </w:r>
      <w:r>
        <w:t xml:space="preserve"> </w:t>
      </w:r>
      <w:r w:rsidRPr="008516D1">
        <w:t>Convention,</w:t>
      </w:r>
      <w:r>
        <w:t xml:space="preserve"> </w:t>
      </w:r>
      <w:r w:rsidRPr="008516D1">
        <w:t>l</w:t>
      </w:r>
      <w:r>
        <w:t>’</w:t>
      </w:r>
      <w:r w:rsidRPr="008516D1">
        <w:t>accès</w:t>
      </w:r>
      <w:r>
        <w:t xml:space="preserve"> </w:t>
      </w:r>
      <w:r w:rsidRPr="008516D1">
        <w:t>des</w:t>
      </w:r>
      <w:r>
        <w:t xml:space="preserve"> </w:t>
      </w:r>
      <w:r w:rsidRPr="008516D1">
        <w:t>autorités,</w:t>
      </w:r>
      <w:r>
        <w:t xml:space="preserve"> </w:t>
      </w:r>
      <w:r w:rsidRPr="008516D1">
        <w:t>des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et</w:t>
      </w:r>
      <w:r>
        <w:t xml:space="preserve"> </w:t>
      </w:r>
      <w:r w:rsidRPr="008516D1">
        <w:t>des</w:t>
      </w:r>
      <w:r>
        <w:t xml:space="preserve"> </w:t>
      </w:r>
      <w:r w:rsidRPr="008516D1">
        <w:t>organisations</w:t>
      </w:r>
      <w:r>
        <w:t xml:space="preserve"> </w:t>
      </w:r>
      <w:r w:rsidRPr="008516D1">
        <w:t>internationales</w:t>
      </w:r>
      <w:r>
        <w:t xml:space="preserve"> </w:t>
      </w:r>
      <w:r w:rsidRPr="008516D1">
        <w:t>aux</w:t>
      </w:r>
      <w:r>
        <w:t xml:space="preserve"> </w:t>
      </w:r>
      <w:r w:rsidRPr="008516D1">
        <w:t>établissements</w:t>
      </w:r>
      <w:r>
        <w:t xml:space="preserve"> </w:t>
      </w:r>
      <w:r w:rsidRPr="008516D1">
        <w:t>pénitentiaires</w:t>
      </w:r>
      <w:r>
        <w:t xml:space="preserve"> </w:t>
      </w:r>
      <w:r w:rsidRPr="008516D1">
        <w:t>est</w:t>
      </w:r>
      <w:r>
        <w:t xml:space="preserve"> </w:t>
      </w:r>
      <w:r w:rsidRPr="008516D1">
        <w:t>garanti</w:t>
      </w:r>
      <w:r>
        <w:t xml:space="preserve"> </w:t>
      </w:r>
      <w:r w:rsidRPr="008516D1">
        <w:t>par</w:t>
      </w:r>
      <w:r>
        <w:t xml:space="preserve"> </w:t>
      </w:r>
      <w:r w:rsidRPr="008516D1">
        <w:t>l</w:t>
      </w:r>
      <w:r>
        <w:t>’</w:t>
      </w:r>
      <w:r w:rsidRPr="008516D1">
        <w:t>Institut</w:t>
      </w:r>
      <w:r>
        <w:t xml:space="preserve"> </w:t>
      </w:r>
      <w:r w:rsidRPr="008516D1">
        <w:t>pénitentiaire</w:t>
      </w:r>
      <w:r>
        <w:t xml:space="preserve"> </w:t>
      </w:r>
      <w:r w:rsidRPr="008516D1">
        <w:t>national.</w:t>
      </w:r>
    </w:p>
    <w:p w14:paraId="6DC7F6E3" w14:textId="07C52F06" w:rsidR="00286956" w:rsidRPr="008516D1" w:rsidRDefault="00286956" w:rsidP="00286956">
      <w:pPr>
        <w:pStyle w:val="SingleTxtG"/>
      </w:pPr>
      <w:r w:rsidRPr="008516D1">
        <w:t>130.</w:t>
      </w:r>
      <w:r w:rsidRPr="008516D1">
        <w:tab/>
        <w:t>L</w:t>
      </w:r>
      <w:r>
        <w:t>’</w:t>
      </w:r>
      <w:r w:rsidRPr="008516D1">
        <w:t>Unité</w:t>
      </w:r>
      <w:r>
        <w:t xml:space="preserve"> </w:t>
      </w:r>
      <w:r w:rsidRPr="008516D1">
        <w:t>de</w:t>
      </w:r>
      <w:r>
        <w:t xml:space="preserve"> </w:t>
      </w:r>
      <w:r w:rsidRPr="008516D1">
        <w:t>protection</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effectue</w:t>
      </w:r>
      <w:r>
        <w:t xml:space="preserve"> </w:t>
      </w:r>
      <w:r w:rsidRPr="008516D1">
        <w:t>en</w:t>
      </w:r>
      <w:r>
        <w:t xml:space="preserve"> </w:t>
      </w:r>
      <w:r w:rsidRPr="008516D1">
        <w:t>moyenne</w:t>
      </w:r>
      <w:r>
        <w:t xml:space="preserve"> </w:t>
      </w:r>
      <w:r w:rsidRPr="008516D1">
        <w:t>40</w:t>
      </w:r>
      <w:r>
        <w:t xml:space="preserve"> </w:t>
      </w:r>
      <w:r w:rsidRPr="008516D1">
        <w:t>à</w:t>
      </w:r>
      <w:r>
        <w:t xml:space="preserve"> </w:t>
      </w:r>
      <w:r w:rsidRPr="008516D1">
        <w:t>60</w:t>
      </w:r>
      <w:r w:rsidR="00C240B4">
        <w:t> </w:t>
      </w:r>
      <w:r w:rsidRPr="008516D1">
        <w:t>visites</w:t>
      </w:r>
      <w:r>
        <w:t xml:space="preserve"> </w:t>
      </w:r>
      <w:r w:rsidRPr="008516D1">
        <w:t>annuelles</w:t>
      </w:r>
      <w:r>
        <w:t xml:space="preserve"> </w:t>
      </w:r>
      <w:r w:rsidRPr="008516D1">
        <w:t>de</w:t>
      </w:r>
      <w:r>
        <w:t xml:space="preserve"> </w:t>
      </w:r>
      <w:r w:rsidRPr="008516D1">
        <w:t>contrôle</w:t>
      </w:r>
      <w:r>
        <w:t xml:space="preserve"> </w:t>
      </w:r>
      <w:r w:rsidRPr="008516D1">
        <w:t>et</w:t>
      </w:r>
      <w:r>
        <w:t xml:space="preserve"> </w:t>
      </w:r>
      <w:r w:rsidRPr="008516D1">
        <w:t>d</w:t>
      </w:r>
      <w:r>
        <w:t>’</w:t>
      </w:r>
      <w:r w:rsidRPr="008516D1">
        <w:t>inspection</w:t>
      </w:r>
      <w:r>
        <w:t xml:space="preserve"> </w:t>
      </w:r>
      <w:r w:rsidRPr="008516D1">
        <w:t>dans</w:t>
      </w:r>
      <w:r>
        <w:t xml:space="preserve"> </w:t>
      </w:r>
      <w:r w:rsidRPr="008516D1">
        <w:t>les</w:t>
      </w:r>
      <w:r>
        <w:t xml:space="preserve"> </w:t>
      </w:r>
      <w:r w:rsidRPr="008516D1">
        <w:t>établissements</w:t>
      </w:r>
      <w:r>
        <w:t xml:space="preserve"> </w:t>
      </w:r>
      <w:r w:rsidRPr="008516D1">
        <w:t>pénitentiaires</w:t>
      </w:r>
      <w:r>
        <w:t xml:space="preserve"> </w:t>
      </w:r>
      <w:r w:rsidRPr="008516D1">
        <w:t>du</w:t>
      </w:r>
      <w:r>
        <w:t xml:space="preserve"> </w:t>
      </w:r>
      <w:r w:rsidRPr="008516D1">
        <w:t>pays</w:t>
      </w:r>
      <w:r>
        <w:t xml:space="preserve"> </w:t>
      </w:r>
      <w:r w:rsidRPr="008516D1">
        <w:t>et</w:t>
      </w:r>
      <w:r>
        <w:t xml:space="preserve"> </w:t>
      </w:r>
      <w:r w:rsidRPr="008516D1">
        <w:t>reçoit</w:t>
      </w:r>
      <w:r>
        <w:t xml:space="preserve"> </w:t>
      </w:r>
      <w:r w:rsidRPr="008516D1">
        <w:t>chaque</w:t>
      </w:r>
      <w:r>
        <w:t xml:space="preserve"> </w:t>
      </w:r>
      <w:r w:rsidRPr="008516D1">
        <w:t>mois</w:t>
      </w:r>
      <w:r>
        <w:t xml:space="preserve"> </w:t>
      </w:r>
      <w:r w:rsidR="00DA1596">
        <w:t>quatre à huit</w:t>
      </w:r>
      <w:r>
        <w:t xml:space="preserve"> </w:t>
      </w:r>
      <w:r w:rsidRPr="008516D1">
        <w:t>demandes</w:t>
      </w:r>
      <w:r>
        <w:t xml:space="preserve"> </w:t>
      </w:r>
      <w:r w:rsidRPr="008516D1">
        <w:t>de</w:t>
      </w:r>
      <w:r>
        <w:t xml:space="preserve"> </w:t>
      </w:r>
      <w:r w:rsidRPr="008516D1">
        <w:t>transfèrement</w:t>
      </w:r>
      <w:r>
        <w:t xml:space="preserve"> </w:t>
      </w:r>
      <w:r w:rsidRPr="008516D1">
        <w:t>de</w:t>
      </w:r>
      <w:r>
        <w:t xml:space="preserve"> </w:t>
      </w:r>
      <w:r w:rsidRPr="008516D1">
        <w:t>personnes</w:t>
      </w:r>
      <w:r>
        <w:t xml:space="preserve"> </w:t>
      </w:r>
      <w:r w:rsidRPr="008516D1">
        <w:t>privées</w:t>
      </w:r>
      <w:r>
        <w:t xml:space="preserve"> </w:t>
      </w:r>
      <w:r w:rsidRPr="008516D1">
        <w:t>de</w:t>
      </w:r>
      <w:r>
        <w:t xml:space="preserve"> </w:t>
      </w:r>
      <w:r w:rsidRPr="008516D1">
        <w:t>liberté.</w:t>
      </w:r>
    </w:p>
    <w:p w14:paraId="2B5758A1" w14:textId="075C3DCD" w:rsidR="00286956" w:rsidRPr="008516D1" w:rsidRDefault="00286956" w:rsidP="00286956">
      <w:pPr>
        <w:pStyle w:val="SingleTxtG"/>
      </w:pPr>
      <w:r w:rsidRPr="008516D1">
        <w:t>131.</w:t>
      </w:r>
      <w:r w:rsidRPr="008516D1">
        <w:tab/>
        <w:t>Dans</w:t>
      </w:r>
      <w:r>
        <w:t xml:space="preserve"> </w:t>
      </w:r>
      <w:r w:rsidRPr="008516D1">
        <w:t>le</w:t>
      </w:r>
      <w:r>
        <w:t xml:space="preserve"> </w:t>
      </w:r>
      <w:r w:rsidRPr="008516D1">
        <w:t>cadre</w:t>
      </w:r>
      <w:r>
        <w:t xml:space="preserve"> </w:t>
      </w:r>
      <w:r w:rsidRPr="008516D1">
        <w:t>du</w:t>
      </w:r>
      <w:r>
        <w:t xml:space="preserve"> </w:t>
      </w:r>
      <w:r w:rsidRPr="008516D1">
        <w:t>Plan</w:t>
      </w:r>
      <w:r>
        <w:t xml:space="preserve"> </w:t>
      </w:r>
      <w:r w:rsidRPr="008516D1">
        <w:t>d</w:t>
      </w:r>
      <w:r>
        <w:t>’</w:t>
      </w:r>
      <w:r w:rsidRPr="008516D1">
        <w:t>action</w:t>
      </w:r>
      <w:r>
        <w:t xml:space="preserve"> </w:t>
      </w:r>
      <w:r w:rsidRPr="008516D1">
        <w:t>pour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w:t>
      </w:r>
      <w:r>
        <w:t>’</w:t>
      </w:r>
      <w:r w:rsidRPr="008516D1">
        <w:t>unité</w:t>
      </w:r>
      <w:r>
        <w:t xml:space="preserve"> </w:t>
      </w:r>
      <w:r w:rsidRPr="008516D1">
        <w:t>précitée</w:t>
      </w:r>
      <w:r>
        <w:t xml:space="preserve"> </w:t>
      </w:r>
      <w:r w:rsidRPr="008516D1">
        <w:t>procède</w:t>
      </w:r>
      <w:r>
        <w:t xml:space="preserve"> </w:t>
      </w:r>
      <w:r w:rsidRPr="008516D1">
        <w:t>à</w:t>
      </w:r>
      <w:r>
        <w:t xml:space="preserve"> </w:t>
      </w:r>
      <w:r w:rsidRPr="008516D1">
        <w:t>un</w:t>
      </w:r>
      <w:r>
        <w:t xml:space="preserve"> </w:t>
      </w:r>
      <w:r w:rsidRPr="008516D1">
        <w:t>contrôle</w:t>
      </w:r>
      <w:r>
        <w:t xml:space="preserve"> </w:t>
      </w:r>
      <w:r w:rsidRPr="008516D1">
        <w:t>des</w:t>
      </w:r>
      <w:r>
        <w:t xml:space="preserve"> </w:t>
      </w:r>
      <w:r w:rsidRPr="008516D1">
        <w:t>conditions</w:t>
      </w:r>
      <w:r>
        <w:t xml:space="preserve"> </w:t>
      </w:r>
      <w:r w:rsidRPr="008516D1">
        <w:t>de</w:t>
      </w:r>
      <w:r>
        <w:t xml:space="preserve"> </w:t>
      </w:r>
      <w:r w:rsidRPr="008516D1">
        <w:t>vie</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Pour</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demandes</w:t>
      </w:r>
      <w:r>
        <w:t xml:space="preserve"> </w:t>
      </w:r>
      <w:r w:rsidRPr="008516D1">
        <w:t>et</w:t>
      </w:r>
      <w:r>
        <w:t xml:space="preserve"> </w:t>
      </w:r>
      <w:r w:rsidRPr="008516D1">
        <w:t>des</w:t>
      </w:r>
      <w:r>
        <w:t xml:space="preserve"> </w:t>
      </w:r>
      <w:r w:rsidRPr="008516D1">
        <w:t>plaintes,</w:t>
      </w:r>
      <w:r>
        <w:t xml:space="preserve"> </w:t>
      </w:r>
      <w:r w:rsidRPr="008516D1">
        <w:t>deux</w:t>
      </w:r>
      <w:r>
        <w:t xml:space="preserve"> </w:t>
      </w:r>
      <w:r w:rsidRPr="008516D1">
        <w:t>adresses</w:t>
      </w:r>
      <w:r>
        <w:t xml:space="preserve"> </w:t>
      </w:r>
      <w:r w:rsidRPr="008516D1">
        <w:t>électroniques</w:t>
      </w:r>
      <w:r>
        <w:t xml:space="preserve"> </w:t>
      </w:r>
      <w:r w:rsidRPr="008516D1">
        <w:t>(</w:t>
      </w:r>
      <w:hyperlink r:id="rId9" w:history="1">
        <w:r w:rsidRPr="00C240B4">
          <w:rPr>
            <w:rStyle w:val="Lienhypertexte"/>
          </w:rPr>
          <w:t>denuncias_inp@yahoo.com</w:t>
        </w:r>
      </w:hyperlink>
      <w:r>
        <w:t xml:space="preserve"> </w:t>
      </w:r>
      <w:r w:rsidRPr="008516D1">
        <w:t>et</w:t>
      </w:r>
      <w:r>
        <w:t xml:space="preserve"> </w:t>
      </w:r>
      <w:hyperlink r:id="rId10" w:history="1">
        <w:r w:rsidRPr="00C240B4">
          <w:rPr>
            <w:rStyle w:val="Lienhypertexte"/>
          </w:rPr>
          <w:t>denuncias@inp.goh.hn</w:t>
        </w:r>
      </w:hyperlink>
      <w:r w:rsidRPr="008516D1">
        <w:t>),</w:t>
      </w:r>
      <w:r>
        <w:t xml:space="preserve"> </w:t>
      </w:r>
      <w:r w:rsidRPr="008516D1">
        <w:t>une</w:t>
      </w:r>
      <w:r>
        <w:t xml:space="preserve"> </w:t>
      </w:r>
      <w:r w:rsidRPr="008516D1">
        <w:t>ligne</w:t>
      </w:r>
      <w:r>
        <w:t xml:space="preserve"> </w:t>
      </w:r>
      <w:r w:rsidRPr="008516D1">
        <w:t>téléphonique</w:t>
      </w:r>
      <w:r>
        <w:t xml:space="preserve"> </w:t>
      </w:r>
      <w:r w:rsidRPr="008516D1">
        <w:t>(+504</w:t>
      </w:r>
      <w:r>
        <w:t xml:space="preserve"> </w:t>
      </w:r>
      <w:r w:rsidRPr="008516D1">
        <w:t>2236-9020</w:t>
      </w:r>
      <w:r>
        <w:t xml:space="preserve"> </w:t>
      </w:r>
      <w:r w:rsidRPr="008516D1">
        <w:t>poste</w:t>
      </w:r>
      <w:r>
        <w:t xml:space="preserve"> </w:t>
      </w:r>
      <w:r w:rsidRPr="008516D1">
        <w:t>38)</w:t>
      </w:r>
      <w:r>
        <w:t xml:space="preserve"> </w:t>
      </w:r>
      <w:r w:rsidRPr="008516D1">
        <w:t>et</w:t>
      </w:r>
      <w:r>
        <w:t xml:space="preserve"> </w:t>
      </w:r>
      <w:r w:rsidRPr="008516D1">
        <w:t>un</w:t>
      </w:r>
      <w:r>
        <w:t xml:space="preserve"> </w:t>
      </w:r>
      <w:r w:rsidRPr="008516D1">
        <w:t>programme</w:t>
      </w:r>
      <w:r>
        <w:t xml:space="preserve"> </w:t>
      </w:r>
      <w:r w:rsidRPr="008516D1">
        <w:t>informatique</w:t>
      </w:r>
      <w:r>
        <w:t xml:space="preserve"> </w:t>
      </w:r>
      <w:r w:rsidRPr="008516D1">
        <w:t>de</w:t>
      </w:r>
      <w:r>
        <w:t xml:space="preserve"> </w:t>
      </w:r>
      <w:r w:rsidRPr="008516D1">
        <w:t>recueil</w:t>
      </w:r>
      <w:r>
        <w:t xml:space="preserve"> </w:t>
      </w:r>
      <w:r w:rsidRPr="008516D1">
        <w:t>des</w:t>
      </w:r>
      <w:r>
        <w:t xml:space="preserve"> </w:t>
      </w:r>
      <w:r w:rsidRPr="008516D1">
        <w:t>plaintes</w:t>
      </w:r>
      <w:r>
        <w:t xml:space="preserve"> </w:t>
      </w:r>
      <w:r w:rsidRPr="008516D1">
        <w:t>ont</w:t>
      </w:r>
      <w:r>
        <w:t xml:space="preserve"> </w:t>
      </w:r>
      <w:r w:rsidRPr="008516D1">
        <w:t>été</w:t>
      </w:r>
      <w:r>
        <w:t xml:space="preserve"> </w:t>
      </w:r>
      <w:r w:rsidRPr="008516D1">
        <w:t>mis</w:t>
      </w:r>
      <w:r>
        <w:t xml:space="preserve"> </w:t>
      </w:r>
      <w:r w:rsidRPr="008516D1">
        <w:t>en</w:t>
      </w:r>
      <w:r>
        <w:t xml:space="preserve"> </w:t>
      </w:r>
      <w:r w:rsidRPr="008516D1">
        <w:t>place,</w:t>
      </w:r>
      <w:r>
        <w:t xml:space="preserve"> </w:t>
      </w:r>
      <w:r w:rsidRPr="008516D1">
        <w:t>afin</w:t>
      </w:r>
      <w:r>
        <w:t xml:space="preserve"> </w:t>
      </w:r>
      <w:r w:rsidRPr="008516D1">
        <w:t>de</w:t>
      </w:r>
      <w:r>
        <w:t xml:space="preserve"> </w:t>
      </w:r>
      <w:r w:rsidRPr="008516D1">
        <w:t>permettre</w:t>
      </w:r>
      <w:r>
        <w:t xml:space="preserve"> </w:t>
      </w:r>
      <w:r w:rsidRPr="008516D1">
        <w:t>aux</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à</w:t>
      </w:r>
      <w:r>
        <w:t xml:space="preserve"> </w:t>
      </w:r>
      <w:r w:rsidRPr="008516D1">
        <w:t>leurs</w:t>
      </w:r>
      <w:r>
        <w:t xml:space="preserve"> </w:t>
      </w:r>
      <w:r w:rsidRPr="008516D1">
        <w:t>familles</w:t>
      </w:r>
      <w:r>
        <w:t xml:space="preserve"> </w:t>
      </w:r>
      <w:r w:rsidRPr="008516D1">
        <w:t>et</w:t>
      </w:r>
      <w:r>
        <w:t xml:space="preserve"> </w:t>
      </w:r>
      <w:r w:rsidRPr="008516D1">
        <w:t>au</w:t>
      </w:r>
      <w:r>
        <w:t xml:space="preserve"> </w:t>
      </w:r>
      <w:r w:rsidRPr="008516D1">
        <w:t>personnel</w:t>
      </w:r>
      <w:r>
        <w:t xml:space="preserve"> </w:t>
      </w:r>
      <w:r w:rsidRPr="008516D1">
        <w:t>pénitentiaire</w:t>
      </w:r>
      <w:r>
        <w:t xml:space="preserve"> </w:t>
      </w:r>
      <w:r w:rsidRPr="008516D1">
        <w:t>de</w:t>
      </w:r>
      <w:r>
        <w:t xml:space="preserve"> </w:t>
      </w:r>
      <w:r w:rsidRPr="008516D1">
        <w:t>déposer</w:t>
      </w:r>
      <w:r>
        <w:t xml:space="preserve"> </w:t>
      </w:r>
      <w:r w:rsidRPr="008516D1">
        <w:t>plainte.</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a</w:t>
      </w:r>
      <w:r>
        <w:t xml:space="preserve"> </w:t>
      </w:r>
      <w:r w:rsidRPr="008516D1">
        <w:t>reçu</w:t>
      </w:r>
      <w:r>
        <w:t xml:space="preserve"> </w:t>
      </w:r>
      <w:r w:rsidRPr="008516D1">
        <w:t>140</w:t>
      </w:r>
      <w:r w:rsidR="00C240B4">
        <w:t> </w:t>
      </w:r>
      <w:r w:rsidRPr="008516D1">
        <w:t>demandes</w:t>
      </w:r>
      <w:r>
        <w:t xml:space="preserve"> </w:t>
      </w:r>
      <w:r w:rsidRPr="008516D1">
        <w:t>et</w:t>
      </w:r>
      <w:r>
        <w:t xml:space="preserve"> </w:t>
      </w:r>
      <w:r w:rsidRPr="008516D1">
        <w:t>signalements</w:t>
      </w:r>
      <w:r>
        <w:t xml:space="preserve"> </w:t>
      </w:r>
      <w:r w:rsidRPr="008516D1">
        <w:t>en</w:t>
      </w:r>
      <w:r>
        <w:t xml:space="preserve"> </w:t>
      </w:r>
      <w:r w:rsidRPr="008516D1">
        <w:t>2020.</w:t>
      </w:r>
    </w:p>
    <w:p w14:paraId="50EFDD32" w14:textId="2B78AC1E" w:rsidR="00286956" w:rsidRPr="008516D1" w:rsidRDefault="00286956" w:rsidP="00286956">
      <w:pPr>
        <w:pStyle w:val="SingleTxtG"/>
      </w:pPr>
      <w:r w:rsidRPr="008516D1">
        <w:t>132.</w:t>
      </w:r>
      <w:r w:rsidRPr="008516D1">
        <w:tab/>
        <w:t>Lorsqu</w:t>
      </w:r>
      <w:r>
        <w:t>’</w:t>
      </w:r>
      <w:r w:rsidRPr="008516D1">
        <w:t>il</w:t>
      </w:r>
      <w:r>
        <w:t xml:space="preserve"> </w:t>
      </w:r>
      <w:r w:rsidRPr="008516D1">
        <w:t>y</w:t>
      </w:r>
      <w:r>
        <w:t xml:space="preserve"> </w:t>
      </w:r>
      <w:r w:rsidRPr="008516D1">
        <w:t>a</w:t>
      </w:r>
      <w:r>
        <w:t xml:space="preserve"> </w:t>
      </w:r>
      <w:r w:rsidRPr="008516D1">
        <w:t>suspicion</w:t>
      </w:r>
      <w:r>
        <w:t xml:space="preserve"> </w:t>
      </w:r>
      <w:r w:rsidRPr="008516D1">
        <w:t>ou</w:t>
      </w:r>
      <w:r>
        <w:t xml:space="preserve"> </w:t>
      </w:r>
      <w:r w:rsidRPr="008516D1">
        <w:t>certitude</w:t>
      </w:r>
      <w:r>
        <w:t xml:space="preserve"> </w:t>
      </w:r>
      <w:r w:rsidRPr="008516D1">
        <w:t>qu</w:t>
      </w:r>
      <w:r>
        <w:t>’</w:t>
      </w:r>
      <w:r w:rsidRPr="008516D1">
        <w:t>une</w:t>
      </w:r>
      <w:r>
        <w:t xml:space="preserve"> </w:t>
      </w:r>
      <w:r w:rsidRPr="008516D1">
        <w:t>infraction</w:t>
      </w:r>
      <w:r>
        <w:t xml:space="preserve"> </w:t>
      </w:r>
      <w:r w:rsidRPr="008516D1">
        <w:t>a</w:t>
      </w:r>
      <w:r>
        <w:t xml:space="preserve"> </w:t>
      </w:r>
      <w:r w:rsidRPr="008516D1">
        <w:t>été</w:t>
      </w:r>
      <w:r>
        <w:t xml:space="preserve"> </w:t>
      </w:r>
      <w:r w:rsidRPr="008516D1">
        <w:t>commise</w:t>
      </w:r>
      <w:r>
        <w:t xml:space="preserve"> </w:t>
      </w:r>
      <w:r w:rsidRPr="008516D1">
        <w:t>au</w:t>
      </w:r>
      <w:r>
        <w:t xml:space="preserve"> </w:t>
      </w:r>
      <w:r w:rsidRPr="008516D1">
        <w:t>sein</w:t>
      </w:r>
      <w:r>
        <w:t xml:space="preserve"> </w:t>
      </w:r>
      <w:r w:rsidRPr="008516D1">
        <w:t>d</w:t>
      </w:r>
      <w:r>
        <w:t>’</w:t>
      </w:r>
      <w:r w:rsidRPr="008516D1">
        <w:t>un</w:t>
      </w:r>
      <w:r>
        <w:t xml:space="preserve"> </w:t>
      </w:r>
      <w:r w:rsidRPr="008516D1">
        <w:t>établissement</w:t>
      </w:r>
      <w:r>
        <w:t xml:space="preserve"> </w:t>
      </w:r>
      <w:r w:rsidRPr="008516D1">
        <w:t>pénitentiaire,</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collabore</w:t>
      </w:r>
      <w:r>
        <w:t xml:space="preserve"> </w:t>
      </w:r>
      <w:r w:rsidRPr="008516D1">
        <w:t>avec</w:t>
      </w:r>
      <w:r>
        <w:t xml:space="preserve"> </w:t>
      </w:r>
      <w:r w:rsidRPr="008516D1">
        <w:t>la</w:t>
      </w:r>
      <w:r>
        <w:t xml:space="preserve"> </w:t>
      </w:r>
      <w:r w:rsidR="00AB2CD9">
        <w:t>Police nationale</w:t>
      </w:r>
      <w:r w:rsidRPr="008516D1">
        <w:t>,</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l</w:t>
      </w:r>
      <w:r>
        <w:t>’</w:t>
      </w:r>
      <w:r w:rsidRPr="008516D1">
        <w:t>Agence</w:t>
      </w:r>
      <w:r>
        <w:t xml:space="preserve"> </w:t>
      </w:r>
      <w:r w:rsidRPr="008516D1">
        <w:t>technique</w:t>
      </w:r>
      <w:r>
        <w:t xml:space="preserve"> </w:t>
      </w:r>
      <w:r w:rsidRPr="008516D1">
        <w:t>d</w:t>
      </w:r>
      <w:r>
        <w:t>’</w:t>
      </w:r>
      <w:r w:rsidRPr="008516D1">
        <w:t>enquête</w:t>
      </w:r>
      <w:r>
        <w:t xml:space="preserve"> </w:t>
      </w:r>
      <w:r w:rsidRPr="008516D1">
        <w:t>pénale</w:t>
      </w:r>
      <w:r>
        <w:t xml:space="preserve"> </w:t>
      </w:r>
      <w:r w:rsidRPr="008516D1">
        <w:t>et</w:t>
      </w:r>
      <w:r>
        <w:t xml:space="preserve"> </w:t>
      </w:r>
      <w:r w:rsidRPr="008516D1">
        <w:t>le</w:t>
      </w:r>
      <w:r>
        <w:t xml:space="preserve"> </w:t>
      </w:r>
      <w:r w:rsidRPr="008516D1">
        <w:t>ministère</w:t>
      </w:r>
      <w:r>
        <w:t xml:space="preserve"> </w:t>
      </w:r>
      <w:r w:rsidRPr="008516D1">
        <w:t>public</w:t>
      </w:r>
      <w:r>
        <w:t xml:space="preserve"> </w:t>
      </w:r>
      <w:r w:rsidRPr="008516D1">
        <w:t>pour</w:t>
      </w:r>
      <w:r>
        <w:t xml:space="preserve"> </w:t>
      </w:r>
      <w:r w:rsidRPr="008516D1">
        <w:t>mener</w:t>
      </w:r>
      <w:r>
        <w:t xml:space="preserve"> </w:t>
      </w:r>
      <w:r w:rsidRPr="008516D1">
        <w:t>à</w:t>
      </w:r>
      <w:r>
        <w:t xml:space="preserve"> </w:t>
      </w:r>
      <w:r w:rsidRPr="008516D1">
        <w:t>bien</w:t>
      </w:r>
      <w:r>
        <w:t xml:space="preserve"> </w:t>
      </w:r>
      <w:r w:rsidRPr="008516D1">
        <w:t>les</w:t>
      </w:r>
      <w:r>
        <w:t xml:space="preserve"> </w:t>
      </w:r>
      <w:r w:rsidRPr="008516D1">
        <w:t>enquêtes</w:t>
      </w:r>
      <w:r>
        <w:t xml:space="preserve"> </w:t>
      </w:r>
      <w:r w:rsidRPr="008516D1">
        <w:t>correspondantes.</w:t>
      </w:r>
    </w:p>
    <w:p w14:paraId="1D05B6A9" w14:textId="33DE28DB" w:rsidR="00286956" w:rsidRPr="008516D1" w:rsidRDefault="00286956" w:rsidP="00286956">
      <w:pPr>
        <w:pStyle w:val="SingleTxtG"/>
      </w:pPr>
      <w:r w:rsidRPr="008516D1">
        <w:t>133.</w:t>
      </w:r>
      <w:r w:rsidRPr="008516D1">
        <w:tab/>
        <w:t>De</w:t>
      </w:r>
      <w:r>
        <w:t xml:space="preserve"> </w:t>
      </w:r>
      <w:r w:rsidRPr="008516D1">
        <w:t>son</w:t>
      </w:r>
      <w:r>
        <w:t xml:space="preserve"> </w:t>
      </w:r>
      <w:r w:rsidRPr="008516D1">
        <w:t>côté,</w:t>
      </w:r>
      <w:r>
        <w:t xml:space="preserve"> </w:t>
      </w:r>
      <w:r w:rsidRPr="008516D1">
        <w:t>en</w:t>
      </w:r>
      <w:r>
        <w:t xml:space="preserve"> </w:t>
      </w:r>
      <w:r w:rsidRPr="008516D1">
        <w:t>application</w:t>
      </w:r>
      <w:r>
        <w:t xml:space="preserve"> </w:t>
      </w:r>
      <w:r w:rsidRPr="008516D1">
        <w:t>de</w:t>
      </w:r>
      <w:r>
        <w:t xml:space="preserve"> </w:t>
      </w:r>
      <w:r w:rsidRPr="008516D1">
        <w:t>son</w:t>
      </w:r>
      <w:r>
        <w:t xml:space="preserve"> </w:t>
      </w:r>
      <w:r w:rsidRPr="008516D1">
        <w:t>mandat,</w:t>
      </w:r>
      <w:r>
        <w:t xml:space="preserve"> </w:t>
      </w:r>
      <w:r w:rsidRPr="008516D1">
        <w:t>le</w:t>
      </w:r>
      <w:r>
        <w:t xml:space="preserve"> </w:t>
      </w:r>
      <w:r w:rsidRPr="008516D1">
        <w:t>Mécanisme</w:t>
      </w:r>
      <w:r>
        <w:t xml:space="preserve"> </w:t>
      </w:r>
      <w:r w:rsidRPr="008516D1">
        <w:t>national</w:t>
      </w:r>
      <w:r>
        <w:t xml:space="preserve"> </w:t>
      </w:r>
      <w:r w:rsidRPr="008516D1">
        <w:t>de</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00DA1596">
        <w:t>−</w:t>
      </w:r>
      <w:r>
        <w:t xml:space="preserve"> </w:t>
      </w:r>
      <w:r w:rsidRPr="008516D1">
        <w:t>Comité</w:t>
      </w:r>
      <w:r>
        <w:t xml:space="preserve"> </w:t>
      </w:r>
      <w:r w:rsidRPr="008516D1">
        <w:t>national</w:t>
      </w:r>
      <w:r>
        <w:t xml:space="preserve"> </w:t>
      </w:r>
      <w:r w:rsidRPr="008516D1">
        <w:t>pour</w:t>
      </w:r>
      <w:r>
        <w:t xml:space="preserve"> </w:t>
      </w:r>
      <w:r w:rsidRPr="008516D1">
        <w:t>la</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Pr="008516D1">
        <w:t>et</w:t>
      </w:r>
      <w:r>
        <w:t xml:space="preserve"> </w:t>
      </w:r>
      <w:r w:rsidRPr="008516D1">
        <w:t>autres</w:t>
      </w:r>
      <w:r>
        <w:t xml:space="preserve"> </w:t>
      </w:r>
      <w:r w:rsidRPr="008516D1">
        <w:t>peines</w:t>
      </w:r>
      <w:r>
        <w:t xml:space="preserve"> </w:t>
      </w:r>
      <w:r w:rsidRPr="008516D1">
        <w:t>ou</w:t>
      </w:r>
      <w:r>
        <w:t xml:space="preserve"> </w:t>
      </w:r>
      <w:r w:rsidRPr="008516D1">
        <w:t>traitements</w:t>
      </w:r>
      <w:r>
        <w:t xml:space="preserve"> </w:t>
      </w:r>
      <w:r w:rsidRPr="008516D1">
        <w:t>cruels,</w:t>
      </w:r>
      <w:r>
        <w:t xml:space="preserve"> </w:t>
      </w:r>
      <w:r w:rsidRPr="008516D1">
        <w:t>inhumains</w:t>
      </w:r>
      <w:r>
        <w:t xml:space="preserve"> </w:t>
      </w:r>
      <w:r w:rsidRPr="008516D1">
        <w:t>ou</w:t>
      </w:r>
      <w:r>
        <w:t xml:space="preserve"> </w:t>
      </w:r>
      <w:r w:rsidRPr="008516D1">
        <w:t>dégradants</w:t>
      </w:r>
      <w:r>
        <w:t xml:space="preserve"> </w:t>
      </w:r>
      <w:r w:rsidRPr="008516D1">
        <w:t>effectue</w:t>
      </w:r>
      <w:r>
        <w:t xml:space="preserve"> </w:t>
      </w:r>
      <w:r w:rsidRPr="008516D1">
        <w:t>des</w:t>
      </w:r>
      <w:r>
        <w:t xml:space="preserve"> </w:t>
      </w:r>
      <w:r w:rsidRPr="008516D1">
        <w:t>visites</w:t>
      </w:r>
      <w:r>
        <w:t xml:space="preserve"> </w:t>
      </w:r>
      <w:r w:rsidRPr="008516D1">
        <w:t>préventives</w:t>
      </w:r>
      <w:r>
        <w:t xml:space="preserve"> </w:t>
      </w:r>
      <w:r w:rsidRPr="008516D1">
        <w:t>régulières,</w:t>
      </w:r>
      <w:r>
        <w:t xml:space="preserve"> </w:t>
      </w:r>
      <w:r w:rsidRPr="008516D1">
        <w:t>périodiques</w:t>
      </w:r>
      <w:r>
        <w:t xml:space="preserve"> </w:t>
      </w:r>
      <w:r w:rsidRPr="008516D1">
        <w:t>ou</w:t>
      </w:r>
      <w:r>
        <w:t xml:space="preserve"> </w:t>
      </w:r>
      <w:r w:rsidRPr="008516D1">
        <w:rPr>
          <w:i/>
          <w:iCs/>
        </w:rPr>
        <w:t>ad</w:t>
      </w:r>
      <w:r>
        <w:rPr>
          <w:i/>
          <w:iCs/>
        </w:rPr>
        <w:t xml:space="preserve"> </w:t>
      </w:r>
      <w:r w:rsidRPr="008516D1">
        <w:rPr>
          <w:i/>
          <w:iCs/>
        </w:rPr>
        <w:t>hoc</w:t>
      </w:r>
      <w:r>
        <w:t xml:space="preserve"> </w:t>
      </w:r>
      <w:r w:rsidRPr="008516D1">
        <w:t>dans</w:t>
      </w:r>
      <w:r>
        <w:t xml:space="preserve"> </w:t>
      </w:r>
      <w:r w:rsidRPr="008516D1">
        <w:t>les</w:t>
      </w:r>
      <w:r>
        <w:t xml:space="preserve"> </w:t>
      </w:r>
      <w:r w:rsidRPr="008516D1">
        <w:t>établissements</w:t>
      </w:r>
      <w:r>
        <w:t xml:space="preserve"> </w:t>
      </w:r>
      <w:r w:rsidRPr="008516D1">
        <w:t>pénitentiaires</w:t>
      </w:r>
      <w:r>
        <w:t xml:space="preserve"> </w:t>
      </w:r>
      <w:r w:rsidRPr="008516D1">
        <w:t>du</w:t>
      </w:r>
      <w:r>
        <w:t xml:space="preserve"> </w:t>
      </w:r>
      <w:r w:rsidRPr="008516D1">
        <w:t>pays.</w:t>
      </w:r>
      <w:r>
        <w:t xml:space="preserve"> </w:t>
      </w:r>
      <w:r w:rsidRPr="008516D1">
        <w:t>Entre</w:t>
      </w:r>
      <w:r>
        <w:t xml:space="preserve"> </w:t>
      </w:r>
      <w:r w:rsidRPr="008516D1">
        <w:t>2017</w:t>
      </w:r>
      <w:r>
        <w:t xml:space="preserve"> </w:t>
      </w:r>
      <w:r w:rsidRPr="008516D1">
        <w:t>et</w:t>
      </w:r>
      <w:r>
        <w:t xml:space="preserve"> </w:t>
      </w:r>
      <w:r w:rsidRPr="008516D1">
        <w:t>août</w:t>
      </w:r>
      <w:r>
        <w:t xml:space="preserve"> </w:t>
      </w:r>
      <w:r w:rsidRPr="008516D1">
        <w:t>2020,</w:t>
      </w:r>
      <w:r>
        <w:t xml:space="preserve"> </w:t>
      </w:r>
      <w:r w:rsidRPr="008516D1">
        <w:t>il</w:t>
      </w:r>
      <w:r>
        <w:t xml:space="preserve"> </w:t>
      </w:r>
      <w:r w:rsidRPr="008516D1">
        <w:t>a</w:t>
      </w:r>
      <w:r>
        <w:t xml:space="preserve"> </w:t>
      </w:r>
      <w:r w:rsidRPr="008516D1">
        <w:t>effectué</w:t>
      </w:r>
      <w:r>
        <w:t xml:space="preserve"> </w:t>
      </w:r>
      <w:r w:rsidRPr="008516D1">
        <w:t>454</w:t>
      </w:r>
      <w:r w:rsidR="00C240B4">
        <w:t> </w:t>
      </w:r>
      <w:r w:rsidRPr="008516D1">
        <w:t>visites</w:t>
      </w:r>
      <w:r>
        <w:t xml:space="preserve"> </w:t>
      </w:r>
      <w:r w:rsidRPr="008516D1">
        <w:t>pour</w:t>
      </w:r>
      <w:r>
        <w:t xml:space="preserve"> </w:t>
      </w:r>
      <w:r w:rsidRPr="008516D1">
        <w:t>évaluer</w:t>
      </w:r>
      <w:r>
        <w:t xml:space="preserve"> </w:t>
      </w:r>
      <w:r w:rsidRPr="008516D1">
        <w:t>les</w:t>
      </w:r>
      <w:r>
        <w:t xml:space="preserve"> </w:t>
      </w:r>
      <w:r w:rsidRPr="008516D1">
        <w:t>conditions</w:t>
      </w:r>
      <w:r>
        <w:t xml:space="preserve"> </w:t>
      </w:r>
      <w:r w:rsidRPr="008516D1">
        <w:t>de</w:t>
      </w:r>
      <w:r>
        <w:t xml:space="preserve"> </w:t>
      </w:r>
      <w:r w:rsidRPr="008516D1">
        <w:t>vie</w:t>
      </w:r>
      <w:r>
        <w:t xml:space="preserve"> </w:t>
      </w:r>
      <w:r w:rsidRPr="008516D1">
        <w:t>et</w:t>
      </w:r>
      <w:r>
        <w:t xml:space="preserve"> </w:t>
      </w:r>
      <w:r w:rsidRPr="008516D1">
        <w:t>le</w:t>
      </w:r>
      <w:r>
        <w:t xml:space="preserve"> </w:t>
      </w:r>
      <w:r w:rsidRPr="008516D1">
        <w:t>respect</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et</w:t>
      </w:r>
      <w:r>
        <w:t xml:space="preserve"> </w:t>
      </w:r>
      <w:r w:rsidRPr="008516D1">
        <w:t>a</w:t>
      </w:r>
      <w:r>
        <w:t xml:space="preserve"> </w:t>
      </w:r>
      <w:r w:rsidRPr="008516D1">
        <w:t>adressé</w:t>
      </w:r>
      <w:r>
        <w:t xml:space="preserve"> </w:t>
      </w:r>
      <w:r w:rsidRPr="008516D1">
        <w:t>à</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et</w:t>
      </w:r>
      <w:r>
        <w:t xml:space="preserve"> </w:t>
      </w:r>
      <w:r w:rsidRPr="008516D1">
        <w:t>à</w:t>
      </w:r>
      <w:r>
        <w:t xml:space="preserve"> </w:t>
      </w:r>
      <w:r w:rsidRPr="008516D1">
        <w:t>l</w:t>
      </w:r>
      <w:r>
        <w:t>’</w:t>
      </w:r>
      <w:r w:rsidRPr="008516D1">
        <w:t>Institut</w:t>
      </w:r>
      <w:r>
        <w:t xml:space="preserve"> </w:t>
      </w:r>
      <w:r w:rsidRPr="008516D1">
        <w:t>national</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mineurs</w:t>
      </w:r>
      <w:r>
        <w:t xml:space="preserve"> </w:t>
      </w:r>
      <w:r w:rsidRPr="008516D1">
        <w:t>délinquants</w:t>
      </w:r>
      <w:r>
        <w:t xml:space="preserve"> </w:t>
      </w:r>
      <w:r w:rsidRPr="008516D1">
        <w:t>des</w:t>
      </w:r>
      <w:r>
        <w:t xml:space="preserve"> </w:t>
      </w:r>
      <w:r w:rsidRPr="008516D1">
        <w:t>recommandations</w:t>
      </w:r>
      <w:r>
        <w:t xml:space="preserve"> </w:t>
      </w:r>
      <w:r w:rsidRPr="008516D1">
        <w:t>visant</w:t>
      </w:r>
      <w:r>
        <w:t xml:space="preserve"> </w:t>
      </w:r>
      <w:r w:rsidRPr="008516D1">
        <w:t>à</w:t>
      </w:r>
      <w:r>
        <w:t xml:space="preserve"> </w:t>
      </w:r>
      <w:r w:rsidRPr="008516D1">
        <w:t>prévenir</w:t>
      </w:r>
      <w:r>
        <w:t xml:space="preserve"> </w:t>
      </w:r>
      <w:r w:rsidRPr="008516D1">
        <w:t>les</w:t>
      </w:r>
      <w:r>
        <w:t xml:space="preserve"> </w:t>
      </w:r>
      <w:r w:rsidRPr="008516D1">
        <w:t>actes</w:t>
      </w:r>
      <w:r>
        <w:t xml:space="preserve"> </w:t>
      </w:r>
      <w:r w:rsidRPr="008516D1">
        <w:t>de</w:t>
      </w:r>
      <w:r>
        <w:t xml:space="preserve"> </w:t>
      </w:r>
      <w:r w:rsidRPr="008516D1">
        <w:t>torture</w:t>
      </w:r>
      <w:r>
        <w:t xml:space="preserve"> </w:t>
      </w:r>
      <w:r w:rsidRPr="008516D1">
        <w:t>et</w:t>
      </w:r>
      <w:r>
        <w:t xml:space="preserve"> </w:t>
      </w:r>
      <w:r w:rsidRPr="008516D1">
        <w:t>les</w:t>
      </w:r>
      <w:r>
        <w:t xml:space="preserve"> </w:t>
      </w:r>
      <w:r w:rsidRPr="008516D1">
        <w:t>mauvais</w:t>
      </w:r>
      <w:r>
        <w:t xml:space="preserve"> </w:t>
      </w:r>
      <w:r w:rsidRPr="008516D1">
        <w:t>traitements</w:t>
      </w:r>
      <w:r>
        <w:t xml:space="preserve"> </w:t>
      </w:r>
      <w:r w:rsidRPr="008516D1">
        <w:t>à</w:t>
      </w:r>
      <w:r>
        <w:t xml:space="preserve"> </w:t>
      </w:r>
      <w:r w:rsidRPr="008516D1">
        <w:t>l</w:t>
      </w:r>
      <w:r>
        <w:t>’</w:t>
      </w:r>
      <w:r w:rsidRPr="008516D1">
        <w:t>égard</w:t>
      </w:r>
      <w:r>
        <w:t xml:space="preserve"> </w:t>
      </w:r>
      <w:r w:rsidRPr="008516D1">
        <w:t>de</w:t>
      </w:r>
      <w:r>
        <w:t xml:space="preserve"> </w:t>
      </w:r>
      <w:r w:rsidRPr="008516D1">
        <w:t>ces</w:t>
      </w:r>
      <w:r>
        <w:t xml:space="preserve"> </w:t>
      </w:r>
      <w:r w:rsidRPr="008516D1">
        <w:t>personnes.</w:t>
      </w:r>
    </w:p>
    <w:p w14:paraId="7F3D2FA8" w14:textId="1FE4E26E" w:rsidR="00286956" w:rsidRPr="008516D1" w:rsidRDefault="00286956" w:rsidP="00286956">
      <w:pPr>
        <w:pStyle w:val="SingleTxtG"/>
      </w:pPr>
      <w:r w:rsidRPr="008516D1">
        <w:t>134.</w:t>
      </w:r>
      <w:r w:rsidRPr="008516D1">
        <w:tab/>
        <w:t>En</w:t>
      </w:r>
      <w:r>
        <w:t xml:space="preserve"> </w:t>
      </w:r>
      <w:r w:rsidRPr="008516D1">
        <w:t>2018,</w:t>
      </w:r>
      <w:r>
        <w:t xml:space="preserve"> </w:t>
      </w:r>
      <w:r w:rsidRPr="008516D1">
        <w:t>afin</w:t>
      </w:r>
      <w:r>
        <w:t xml:space="preserve"> </w:t>
      </w:r>
      <w:r w:rsidRPr="008516D1">
        <w:t>d</w:t>
      </w:r>
      <w:r>
        <w:t>’</w:t>
      </w:r>
      <w:r w:rsidRPr="008516D1">
        <w:t>aider</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à</w:t>
      </w:r>
      <w:r>
        <w:t xml:space="preserve"> </w:t>
      </w:r>
      <w:r w:rsidRPr="008516D1">
        <w:t>promouvoir</w:t>
      </w:r>
      <w:r>
        <w:t xml:space="preserve"> </w:t>
      </w:r>
      <w:r w:rsidRPr="008516D1">
        <w:t>des</w:t>
      </w:r>
      <w:r>
        <w:t xml:space="preserve"> </w:t>
      </w:r>
      <w:r w:rsidRPr="008516D1">
        <w:t>politiques</w:t>
      </w:r>
      <w:r>
        <w:t xml:space="preserve"> </w:t>
      </w:r>
      <w:r w:rsidRPr="008516D1">
        <w:t>publiques</w:t>
      </w:r>
      <w:r>
        <w:t xml:space="preserve"> </w:t>
      </w:r>
      <w:r w:rsidRPr="008516D1">
        <w:t>basées</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matière</w:t>
      </w:r>
      <w:r>
        <w:t xml:space="preserve"> </w:t>
      </w:r>
      <w:r w:rsidRPr="008516D1">
        <w:t>pénitentiaire,</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effectué</w:t>
      </w:r>
      <w:r>
        <w:t xml:space="preserve"> </w:t>
      </w:r>
      <w:r w:rsidRPr="008516D1">
        <w:t>des</w:t>
      </w:r>
      <w:r>
        <w:t xml:space="preserve"> </w:t>
      </w:r>
      <w:r w:rsidRPr="008516D1">
        <w:t>visites</w:t>
      </w:r>
      <w:r>
        <w:t xml:space="preserve"> </w:t>
      </w:r>
      <w:r w:rsidRPr="008516D1">
        <w:t>dans</w:t>
      </w:r>
      <w:r>
        <w:t xml:space="preserve"> </w:t>
      </w:r>
      <w:r w:rsidRPr="008516D1">
        <w:t>les</w:t>
      </w:r>
      <w:r>
        <w:t xml:space="preserve"> </w:t>
      </w:r>
      <w:r w:rsidRPr="008516D1">
        <w:t>établissements</w:t>
      </w:r>
      <w:r>
        <w:t xml:space="preserve"> </w:t>
      </w:r>
      <w:r w:rsidRPr="008516D1">
        <w:t>suivants</w:t>
      </w:r>
      <w:r>
        <w:t xml:space="preserve"> : </w:t>
      </w:r>
      <w:r w:rsidRPr="008516D1">
        <w:t>centre</w:t>
      </w:r>
      <w:r>
        <w:t xml:space="preserve"> </w:t>
      </w:r>
      <w:r w:rsidRPr="008516D1">
        <w:t>pénitentiaire</w:t>
      </w:r>
      <w:r>
        <w:t xml:space="preserve"> </w:t>
      </w:r>
      <w:r w:rsidRPr="008516D1">
        <w:t>de</w:t>
      </w:r>
      <w:r>
        <w:t xml:space="preserve"> </w:t>
      </w:r>
      <w:proofErr w:type="spellStart"/>
      <w:r w:rsidRPr="008516D1">
        <w:t>Morocelí</w:t>
      </w:r>
      <w:proofErr w:type="spellEnd"/>
      <w:r>
        <w:t xml:space="preserve"> </w:t>
      </w:r>
      <w:r w:rsidRPr="008516D1">
        <w:t>(El</w:t>
      </w:r>
      <w:r>
        <w:t xml:space="preserve"> </w:t>
      </w:r>
      <w:proofErr w:type="spellStart"/>
      <w:r w:rsidRPr="008516D1">
        <w:t>Paraíso</w:t>
      </w:r>
      <w:proofErr w:type="spellEnd"/>
      <w:r w:rsidRPr="008516D1">
        <w:t>)</w:t>
      </w:r>
      <w:r>
        <w:t xml:space="preserve"> ; </w:t>
      </w:r>
      <w:r w:rsidRPr="008516D1">
        <w:t>centre</w:t>
      </w:r>
      <w:r>
        <w:t xml:space="preserve"> </w:t>
      </w:r>
      <w:r w:rsidRPr="008516D1">
        <w:t>national</w:t>
      </w:r>
      <w:r>
        <w:t xml:space="preserve"> </w:t>
      </w:r>
      <w:r w:rsidRPr="008516D1">
        <w:t>de</w:t>
      </w:r>
      <w:r>
        <w:t xml:space="preserve"> </w:t>
      </w:r>
      <w:r w:rsidRPr="008516D1">
        <w:t>détention</w:t>
      </w:r>
      <w:r>
        <w:t xml:space="preserve"> </w:t>
      </w:r>
      <w:r w:rsidRPr="008516D1">
        <w:t>pour</w:t>
      </w:r>
      <w:r>
        <w:t xml:space="preserve"> </w:t>
      </w:r>
      <w:r w:rsidRPr="008516D1">
        <w:t>femmes</w:t>
      </w:r>
      <w:r>
        <w:t xml:space="preserve"> ; </w:t>
      </w:r>
      <w:r w:rsidRPr="008516D1">
        <w:t>centre</w:t>
      </w:r>
      <w:r>
        <w:t xml:space="preserve"> </w:t>
      </w:r>
      <w:r w:rsidRPr="008516D1">
        <w:t>de</w:t>
      </w:r>
      <w:r>
        <w:t xml:space="preserve"> </w:t>
      </w:r>
      <w:r w:rsidRPr="008516D1">
        <w:t>détention</w:t>
      </w:r>
      <w:r>
        <w:t xml:space="preserve"> </w:t>
      </w:r>
      <w:r w:rsidRPr="008516D1">
        <w:t>Marco</w:t>
      </w:r>
      <w:r>
        <w:t xml:space="preserve"> </w:t>
      </w:r>
      <w:r w:rsidRPr="008516D1">
        <w:t>Aurelio</w:t>
      </w:r>
      <w:r>
        <w:t xml:space="preserve"> </w:t>
      </w:r>
      <w:r w:rsidRPr="008516D1">
        <w:t>Soto</w:t>
      </w:r>
      <w:r>
        <w:t xml:space="preserve"> </w:t>
      </w:r>
      <w:r w:rsidRPr="008516D1">
        <w:t>(</w:t>
      </w:r>
      <w:proofErr w:type="spellStart"/>
      <w:r w:rsidRPr="008516D1">
        <w:t>Támara</w:t>
      </w:r>
      <w:proofErr w:type="spellEnd"/>
      <w:r w:rsidRPr="008516D1">
        <w:t>)</w:t>
      </w:r>
      <w:r>
        <w:t xml:space="preserve"> ; </w:t>
      </w:r>
      <w:r w:rsidRPr="008516D1">
        <w:t>centre</w:t>
      </w:r>
      <w:r>
        <w:t xml:space="preserve"> </w:t>
      </w:r>
      <w:r w:rsidRPr="008516D1">
        <w:t>pénitentiaire</w:t>
      </w:r>
      <w:r>
        <w:t xml:space="preserve"> </w:t>
      </w:r>
      <w:r w:rsidRPr="008516D1">
        <w:t>de</w:t>
      </w:r>
      <w:r>
        <w:t xml:space="preserve"> </w:t>
      </w:r>
      <w:proofErr w:type="spellStart"/>
      <w:r w:rsidRPr="008516D1">
        <w:t>Siria</w:t>
      </w:r>
      <w:proofErr w:type="spellEnd"/>
      <w:r>
        <w:t xml:space="preserve"> </w:t>
      </w:r>
      <w:r w:rsidRPr="008516D1">
        <w:t>(El</w:t>
      </w:r>
      <w:r>
        <w:t xml:space="preserve"> </w:t>
      </w:r>
      <w:proofErr w:type="spellStart"/>
      <w:r w:rsidRPr="008516D1">
        <w:t>Porvenir</w:t>
      </w:r>
      <w:proofErr w:type="spellEnd"/>
      <w:r w:rsidRPr="008516D1">
        <w:t>)</w:t>
      </w:r>
      <w:r>
        <w:t xml:space="preserve"> ; </w:t>
      </w:r>
      <w:r w:rsidRPr="008516D1">
        <w:t>centre</w:t>
      </w:r>
      <w:r>
        <w:t xml:space="preserve"> </w:t>
      </w:r>
      <w:r w:rsidRPr="008516D1">
        <w:t>pénitentiaire</w:t>
      </w:r>
      <w:r>
        <w:t xml:space="preserve"> </w:t>
      </w:r>
      <w:r w:rsidRPr="008516D1">
        <w:t>de</w:t>
      </w:r>
      <w:r>
        <w:t xml:space="preserve"> </w:t>
      </w:r>
      <w:proofErr w:type="spellStart"/>
      <w:r w:rsidRPr="008516D1">
        <w:t>Ilama</w:t>
      </w:r>
      <w:proofErr w:type="spellEnd"/>
      <w:r>
        <w:t xml:space="preserve"> </w:t>
      </w:r>
      <w:r w:rsidRPr="008516D1">
        <w:t>(Santa</w:t>
      </w:r>
      <w:r>
        <w:t xml:space="preserve"> </w:t>
      </w:r>
      <w:r w:rsidRPr="008516D1">
        <w:t>Barbara)</w:t>
      </w:r>
      <w:r>
        <w:t xml:space="preserve"> ; </w:t>
      </w:r>
      <w:r w:rsidRPr="008516D1">
        <w:t>établissement</w:t>
      </w:r>
      <w:r>
        <w:t xml:space="preserve"> </w:t>
      </w:r>
      <w:r w:rsidRPr="008516D1">
        <w:t>pénitentiaire</w:t>
      </w:r>
      <w:r>
        <w:t xml:space="preserve"> </w:t>
      </w:r>
      <w:r w:rsidRPr="008516D1">
        <w:t>d</w:t>
      </w:r>
      <w:r>
        <w:t>’</w:t>
      </w:r>
      <w:r w:rsidRPr="008516D1">
        <w:t>El</w:t>
      </w:r>
      <w:r>
        <w:t xml:space="preserve"> </w:t>
      </w:r>
      <w:proofErr w:type="spellStart"/>
      <w:r w:rsidRPr="008516D1">
        <w:t>Progreso</w:t>
      </w:r>
      <w:proofErr w:type="spellEnd"/>
      <w:r>
        <w:t xml:space="preserve"> </w:t>
      </w:r>
      <w:r w:rsidRPr="008516D1">
        <w:t>(Yoro)</w:t>
      </w:r>
      <w:r>
        <w:t xml:space="preserve"> ; </w:t>
      </w:r>
      <w:r w:rsidRPr="008516D1">
        <w:t>et</w:t>
      </w:r>
      <w:r>
        <w:t xml:space="preserve"> </w:t>
      </w:r>
      <w:r w:rsidRPr="008516D1">
        <w:t>centres</w:t>
      </w:r>
      <w:r>
        <w:t xml:space="preserve"> </w:t>
      </w:r>
      <w:r w:rsidRPr="008516D1">
        <w:t>éducatifs</w:t>
      </w:r>
      <w:r>
        <w:t xml:space="preserve"> </w:t>
      </w:r>
      <w:r w:rsidRPr="008516D1">
        <w:t>fermés</w:t>
      </w:r>
      <w:r>
        <w:t xml:space="preserve"> </w:t>
      </w:r>
      <w:proofErr w:type="spellStart"/>
      <w:r w:rsidRPr="008516D1">
        <w:t>Sagrado</w:t>
      </w:r>
      <w:proofErr w:type="spellEnd"/>
      <w:r>
        <w:t xml:space="preserve"> </w:t>
      </w:r>
      <w:proofErr w:type="spellStart"/>
      <w:r w:rsidRPr="008516D1">
        <w:t>Corazón</w:t>
      </w:r>
      <w:proofErr w:type="spellEnd"/>
      <w:r>
        <w:t xml:space="preserve"> </w:t>
      </w:r>
      <w:r w:rsidRPr="008516D1">
        <w:t>et</w:t>
      </w:r>
      <w:r>
        <w:t xml:space="preserve"> </w:t>
      </w:r>
      <w:proofErr w:type="spellStart"/>
      <w:r w:rsidRPr="008516D1">
        <w:t>Renaciendo</w:t>
      </w:r>
      <w:proofErr w:type="spellEnd"/>
      <w:r w:rsidRPr="008516D1">
        <w:t>.</w:t>
      </w:r>
    </w:p>
    <w:p w14:paraId="695A3E0F" w14:textId="6A96096B" w:rsidR="00286956" w:rsidRPr="008516D1" w:rsidRDefault="00286956" w:rsidP="00286956">
      <w:pPr>
        <w:pStyle w:val="SingleTxtG"/>
      </w:pPr>
      <w:r w:rsidRPr="008516D1">
        <w:t>135.</w:t>
      </w:r>
      <w:r w:rsidRPr="008516D1">
        <w:tab/>
        <w:t>De</w:t>
      </w:r>
      <w:r>
        <w:t xml:space="preserve"> </w:t>
      </w:r>
      <w:r w:rsidRPr="008516D1">
        <w:t>son</w:t>
      </w:r>
      <w:r>
        <w:t xml:space="preserve"> </w:t>
      </w:r>
      <w:r w:rsidRPr="008516D1">
        <w:t>côté,</w:t>
      </w:r>
      <w:r>
        <w:t xml:space="preserve"> </w:t>
      </w:r>
      <w:r w:rsidRPr="008516D1">
        <w:t>en</w:t>
      </w:r>
      <w:r>
        <w:t xml:space="preserve"> </w:t>
      </w:r>
      <w:r w:rsidRPr="008516D1">
        <w:t>2020,</w:t>
      </w:r>
      <w:r>
        <w:t xml:space="preserve"> </w:t>
      </w:r>
      <w:r w:rsidRPr="008516D1">
        <w:t>le</w:t>
      </w:r>
      <w:r>
        <w:t xml:space="preserve"> </w:t>
      </w:r>
      <w:r w:rsidRPr="008516D1">
        <w:t>Commissariat</w:t>
      </w:r>
      <w:r>
        <w:t xml:space="preserve"> </w:t>
      </w:r>
      <w:r w:rsidRPr="008516D1">
        <w:t>national</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reçu</w:t>
      </w:r>
      <w:r>
        <w:t xml:space="preserve"> </w:t>
      </w:r>
      <w:r w:rsidRPr="008516D1">
        <w:t>17</w:t>
      </w:r>
      <w:r w:rsidR="00C240B4">
        <w:t> </w:t>
      </w:r>
      <w:r w:rsidRPr="008516D1">
        <w:t>signalements</w:t>
      </w:r>
      <w:r>
        <w:t xml:space="preserve"> </w:t>
      </w:r>
      <w:r w:rsidRPr="008516D1">
        <w:t>pour</w:t>
      </w:r>
      <w:r>
        <w:t xml:space="preserve"> </w:t>
      </w:r>
      <w:r w:rsidRPr="008516D1">
        <w:t>mauvaises</w:t>
      </w:r>
      <w:r>
        <w:t xml:space="preserve"> </w:t>
      </w:r>
      <w:r w:rsidRPr="008516D1">
        <w:t>conditions</w:t>
      </w:r>
      <w:r>
        <w:t xml:space="preserve"> </w:t>
      </w:r>
      <w:r w:rsidRPr="008516D1">
        <w:t>de</w:t>
      </w:r>
      <w:r>
        <w:t xml:space="preserve"> </w:t>
      </w:r>
      <w:r w:rsidRPr="008516D1">
        <w:t>vie</w:t>
      </w:r>
      <w:r>
        <w:t xml:space="preserve"> </w:t>
      </w:r>
      <w:r w:rsidRPr="008516D1">
        <w:t>dans</w:t>
      </w:r>
      <w:r>
        <w:t xml:space="preserve"> </w:t>
      </w:r>
      <w:r w:rsidRPr="008516D1">
        <w:t>les</w:t>
      </w:r>
      <w:r>
        <w:t xml:space="preserve"> </w:t>
      </w:r>
      <w:r w:rsidRPr="008516D1">
        <w:t>établissements</w:t>
      </w:r>
      <w:r>
        <w:t xml:space="preserve"> </w:t>
      </w:r>
      <w:r w:rsidRPr="008516D1">
        <w:t>ou</w:t>
      </w:r>
      <w:r>
        <w:t xml:space="preserve"> </w:t>
      </w:r>
      <w:r w:rsidRPr="008516D1">
        <w:t>les</w:t>
      </w:r>
      <w:r>
        <w:t xml:space="preserve"> </w:t>
      </w:r>
      <w:r w:rsidRPr="008516D1">
        <w:t>lieux</w:t>
      </w:r>
      <w:r>
        <w:t xml:space="preserve"> </w:t>
      </w:r>
      <w:r w:rsidRPr="008516D1">
        <w:t>de</w:t>
      </w:r>
      <w:r>
        <w:t xml:space="preserve"> </w:t>
      </w:r>
      <w:r w:rsidRPr="008516D1">
        <w:t>détention</w:t>
      </w:r>
      <w:r>
        <w:t xml:space="preserve"> </w:t>
      </w:r>
      <w:r w:rsidRPr="008516D1">
        <w:t>et</w:t>
      </w:r>
      <w:r>
        <w:t xml:space="preserve"> </w:t>
      </w:r>
      <w:r w:rsidRPr="008516D1">
        <w:t>de</w:t>
      </w:r>
      <w:r>
        <w:t xml:space="preserve"> </w:t>
      </w:r>
      <w:r w:rsidRPr="008516D1">
        <w:t>10</w:t>
      </w:r>
      <w:r w:rsidR="00C240B4">
        <w:t> </w:t>
      </w:r>
      <w:r w:rsidRPr="008516D1">
        <w:t>signalements</w:t>
      </w:r>
      <w:r>
        <w:t xml:space="preserve"> </w:t>
      </w:r>
      <w:r w:rsidRPr="008516D1">
        <w:t>pour</w:t>
      </w:r>
      <w:r>
        <w:t xml:space="preserve"> </w:t>
      </w:r>
      <w:r w:rsidRPr="008516D1">
        <w:t>détention</w:t>
      </w:r>
      <w:r>
        <w:t xml:space="preserve"> </w:t>
      </w:r>
      <w:r w:rsidRPr="008516D1">
        <w:t>au</w:t>
      </w:r>
      <w:r>
        <w:t xml:space="preserve"> </w:t>
      </w:r>
      <w:r w:rsidRPr="008516D1">
        <w:t>secret</w:t>
      </w:r>
      <w:r>
        <w:t xml:space="preserve"> </w:t>
      </w:r>
      <w:r w:rsidRPr="008516D1">
        <w:t>ou</w:t>
      </w:r>
      <w:r>
        <w:t xml:space="preserve"> </w:t>
      </w:r>
      <w:r w:rsidRPr="008516D1">
        <w:t>isolement</w:t>
      </w:r>
      <w:r w:rsidRPr="008516D1">
        <w:rPr>
          <w:rStyle w:val="Appelnotedebasdep"/>
        </w:rPr>
        <w:footnoteReference w:id="92"/>
      </w:r>
      <w:r w:rsidRPr="008516D1">
        <w:t>.</w:t>
      </w:r>
    </w:p>
    <w:p w14:paraId="460BB35E" w14:textId="1745BE90" w:rsidR="00286956" w:rsidRPr="008516D1" w:rsidRDefault="00286956" w:rsidP="00286956">
      <w:pPr>
        <w:pStyle w:val="SingleTxtG"/>
      </w:pPr>
      <w:r w:rsidRPr="008516D1">
        <w:t>136.</w:t>
      </w:r>
      <w:r w:rsidRPr="008516D1">
        <w:tab/>
        <w:t>Le</w:t>
      </w:r>
      <w:r>
        <w:t xml:space="preserve"> </w:t>
      </w:r>
      <w:r w:rsidRPr="008516D1">
        <w:t>CICR,</w:t>
      </w:r>
      <w:r>
        <w:t xml:space="preserve"> </w:t>
      </w:r>
      <w:r w:rsidRPr="008516D1">
        <w:t>en</w:t>
      </w:r>
      <w:r>
        <w:t xml:space="preserve"> </w:t>
      </w:r>
      <w:r w:rsidRPr="008516D1">
        <w:t>collaboration</w:t>
      </w:r>
      <w:r>
        <w:t xml:space="preserve"> </w:t>
      </w:r>
      <w:r w:rsidRPr="008516D1">
        <w:t>avec</w:t>
      </w:r>
      <w:r>
        <w:t xml:space="preserve"> </w:t>
      </w:r>
      <w:r w:rsidRPr="008516D1">
        <w:t>les</w:t>
      </w:r>
      <w:r>
        <w:t xml:space="preserve"> </w:t>
      </w:r>
      <w:r w:rsidRPr="008516D1">
        <w:t>autorités</w:t>
      </w:r>
      <w:r>
        <w:t xml:space="preserve"> </w:t>
      </w:r>
      <w:r w:rsidRPr="008516D1">
        <w:t>et</w:t>
      </w:r>
      <w:r>
        <w:t xml:space="preserve"> </w:t>
      </w:r>
      <w:r w:rsidRPr="008516D1">
        <w:t>le</w:t>
      </w:r>
      <w:r>
        <w:t xml:space="preserve"> </w:t>
      </w:r>
      <w:r w:rsidRPr="008516D1">
        <w:t>personnel</w:t>
      </w:r>
      <w:r>
        <w:t xml:space="preserve"> </w:t>
      </w:r>
      <w:r w:rsidRPr="008516D1">
        <w:t>technique</w:t>
      </w:r>
      <w:r>
        <w:t xml:space="preserve"> </w:t>
      </w:r>
      <w:r w:rsidRPr="008516D1">
        <w:t>pénitentiaire,</w:t>
      </w:r>
      <w:r>
        <w:t xml:space="preserve"> </w:t>
      </w:r>
      <w:r w:rsidRPr="008516D1">
        <w:t>effectue</w:t>
      </w:r>
      <w:r>
        <w:t xml:space="preserve"> </w:t>
      </w:r>
      <w:r w:rsidRPr="008516D1">
        <w:t>également</w:t>
      </w:r>
      <w:r>
        <w:t xml:space="preserve"> </w:t>
      </w:r>
      <w:r w:rsidRPr="008516D1">
        <w:t>des</w:t>
      </w:r>
      <w:r>
        <w:t xml:space="preserve"> </w:t>
      </w:r>
      <w:r w:rsidRPr="008516D1">
        <w:t>visites</w:t>
      </w:r>
      <w:r>
        <w:t xml:space="preserve"> </w:t>
      </w:r>
      <w:r w:rsidRPr="008516D1">
        <w:t>dans</w:t>
      </w:r>
      <w:r>
        <w:t xml:space="preserve"> </w:t>
      </w:r>
      <w:r w:rsidRPr="008516D1">
        <w:t>les</w:t>
      </w:r>
      <w:r>
        <w:t xml:space="preserve"> </w:t>
      </w:r>
      <w:r w:rsidRPr="008516D1">
        <w:t>établissements</w:t>
      </w:r>
      <w:r>
        <w:t xml:space="preserve"> </w:t>
      </w:r>
      <w:r w:rsidRPr="008516D1">
        <w:t>pénitentiaires.</w:t>
      </w:r>
      <w:r>
        <w:t xml:space="preserve"> </w:t>
      </w:r>
      <w:r w:rsidRPr="008516D1">
        <w:t>En</w:t>
      </w:r>
      <w:r>
        <w:t xml:space="preserve"> </w:t>
      </w:r>
      <w:r w:rsidRPr="008516D1">
        <w:t>2020,</w:t>
      </w:r>
      <w:r>
        <w:t xml:space="preserve"> </w:t>
      </w:r>
      <w:r w:rsidRPr="008516D1">
        <w:t>il</w:t>
      </w:r>
      <w:r>
        <w:t xml:space="preserve"> </w:t>
      </w:r>
      <w:r w:rsidRPr="008516D1">
        <w:t>a</w:t>
      </w:r>
      <w:r>
        <w:t xml:space="preserve"> </w:t>
      </w:r>
      <w:r w:rsidRPr="008516D1">
        <w:t>rendu</w:t>
      </w:r>
      <w:r>
        <w:t xml:space="preserve"> </w:t>
      </w:r>
      <w:r w:rsidRPr="008516D1">
        <w:t>visite</w:t>
      </w:r>
      <w:r>
        <w:t xml:space="preserve"> </w:t>
      </w:r>
      <w:r w:rsidRPr="008516D1">
        <w:t>à</w:t>
      </w:r>
      <w:r>
        <w:t xml:space="preserve"> </w:t>
      </w:r>
      <w:r w:rsidRPr="008516D1">
        <w:t>4</w:t>
      </w:r>
      <w:r w:rsidR="00C240B4">
        <w:t> </w:t>
      </w:r>
      <w:r w:rsidRPr="008516D1">
        <w:t>448</w:t>
      </w:r>
      <w:r w:rsidR="00C240B4">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dont</w:t>
      </w:r>
      <w:r>
        <w:t xml:space="preserve"> </w:t>
      </w:r>
      <w:r w:rsidRPr="008516D1">
        <w:t>3</w:t>
      </w:r>
      <w:r w:rsidR="00C240B4">
        <w:t> </w:t>
      </w:r>
      <w:r w:rsidRPr="008516D1">
        <w:t>308</w:t>
      </w:r>
      <w:r>
        <w:t xml:space="preserve"> </w:t>
      </w:r>
      <w:r w:rsidRPr="008516D1">
        <w:t>hommes</w:t>
      </w:r>
      <w:r>
        <w:t xml:space="preserve"> </w:t>
      </w:r>
      <w:r w:rsidRPr="008516D1">
        <w:t>détenus</w:t>
      </w:r>
      <w:r>
        <w:t xml:space="preserve"> </w:t>
      </w:r>
      <w:r w:rsidRPr="008516D1">
        <w:t>dans</w:t>
      </w:r>
      <w:r>
        <w:t xml:space="preserve"> </w:t>
      </w:r>
      <w:r w:rsidRPr="008516D1">
        <w:t>trois</w:t>
      </w:r>
      <w:r>
        <w:t xml:space="preserve"> </w:t>
      </w:r>
      <w:r w:rsidRPr="008516D1">
        <w:t>établissements</w:t>
      </w:r>
      <w:r>
        <w:t xml:space="preserve"> </w:t>
      </w:r>
      <w:r w:rsidRPr="008516D1">
        <w:t>de</w:t>
      </w:r>
      <w:r>
        <w:t xml:space="preserve"> </w:t>
      </w:r>
      <w:r w:rsidRPr="008516D1">
        <w:t>haute</w:t>
      </w:r>
      <w:r>
        <w:t xml:space="preserve"> </w:t>
      </w:r>
      <w:r w:rsidRPr="008516D1">
        <w:t>sécurité,</w:t>
      </w:r>
      <w:r>
        <w:t xml:space="preserve"> </w:t>
      </w:r>
      <w:r w:rsidRPr="008516D1">
        <w:t>846</w:t>
      </w:r>
      <w:r w:rsidR="00C240B4">
        <w:t> </w:t>
      </w:r>
      <w:r w:rsidRPr="008516D1">
        <w:t>femmes</w:t>
      </w:r>
      <w:r>
        <w:t xml:space="preserve"> </w:t>
      </w:r>
      <w:r w:rsidRPr="008516D1">
        <w:t>détenues</w:t>
      </w:r>
      <w:r>
        <w:t xml:space="preserve"> </w:t>
      </w:r>
      <w:r w:rsidRPr="008516D1">
        <w:t>dans</w:t>
      </w:r>
      <w:r>
        <w:t xml:space="preserve"> </w:t>
      </w:r>
      <w:r w:rsidRPr="008516D1">
        <w:t>le</w:t>
      </w:r>
      <w:r>
        <w:t xml:space="preserve"> </w:t>
      </w:r>
      <w:r w:rsidRPr="008516D1">
        <w:t>centre</w:t>
      </w:r>
      <w:r>
        <w:t xml:space="preserve"> </w:t>
      </w:r>
      <w:r w:rsidRPr="008516D1">
        <w:t>national</w:t>
      </w:r>
      <w:r>
        <w:t xml:space="preserve"> </w:t>
      </w:r>
      <w:r w:rsidRPr="008516D1">
        <w:t>de</w:t>
      </w:r>
      <w:r>
        <w:t xml:space="preserve"> </w:t>
      </w:r>
      <w:r w:rsidRPr="008516D1">
        <w:t>détention</w:t>
      </w:r>
      <w:r>
        <w:t xml:space="preserve"> </w:t>
      </w:r>
      <w:r w:rsidRPr="008516D1">
        <w:t>pour</w:t>
      </w:r>
      <w:r>
        <w:t xml:space="preserve"> </w:t>
      </w:r>
      <w:r w:rsidRPr="008516D1">
        <w:t>femmes</w:t>
      </w:r>
      <w:r>
        <w:t xml:space="preserve"> </w:t>
      </w:r>
      <w:r w:rsidRPr="008516D1">
        <w:t>et</w:t>
      </w:r>
      <w:r>
        <w:t xml:space="preserve"> </w:t>
      </w:r>
      <w:r w:rsidRPr="008516D1">
        <w:t>294</w:t>
      </w:r>
      <w:r w:rsidR="00C240B4">
        <w:t> </w:t>
      </w:r>
      <w:r w:rsidRPr="008516D1">
        <w:t>enfants</w:t>
      </w:r>
      <w:r>
        <w:t xml:space="preserve"> </w:t>
      </w:r>
      <w:r w:rsidRPr="008516D1">
        <w:t>et</w:t>
      </w:r>
      <w:r>
        <w:t xml:space="preserve"> </w:t>
      </w:r>
      <w:r w:rsidRPr="008516D1">
        <w:t>adolescents</w:t>
      </w:r>
      <w:r>
        <w:t xml:space="preserve"> </w:t>
      </w:r>
      <w:r w:rsidRPr="008516D1">
        <w:t>délinquants</w:t>
      </w:r>
      <w:r>
        <w:t xml:space="preserve"> </w:t>
      </w:r>
      <w:r w:rsidRPr="008516D1">
        <w:t>détenus</w:t>
      </w:r>
      <w:r>
        <w:t xml:space="preserve"> </w:t>
      </w:r>
      <w:r w:rsidRPr="008516D1">
        <w:t>dans</w:t>
      </w:r>
      <w:r>
        <w:t xml:space="preserve"> </w:t>
      </w:r>
      <w:r w:rsidRPr="008516D1">
        <w:t>trois</w:t>
      </w:r>
      <w:r>
        <w:t xml:space="preserve"> </w:t>
      </w:r>
      <w:r w:rsidRPr="008516D1">
        <w:t>centres</w:t>
      </w:r>
      <w:r>
        <w:t xml:space="preserve"> </w:t>
      </w:r>
      <w:r w:rsidRPr="008516D1">
        <w:t>éducatifs</w:t>
      </w:r>
      <w:r>
        <w:t xml:space="preserve"> </w:t>
      </w:r>
      <w:r w:rsidRPr="008516D1">
        <w:t>fermés.</w:t>
      </w:r>
      <w:r>
        <w:t xml:space="preserve"> </w:t>
      </w:r>
      <w:r w:rsidRPr="008516D1">
        <w:t>Il</w:t>
      </w:r>
      <w:r>
        <w:t xml:space="preserve"> </w:t>
      </w:r>
      <w:r w:rsidRPr="008516D1">
        <w:t>a</w:t>
      </w:r>
      <w:r>
        <w:t xml:space="preserve"> </w:t>
      </w:r>
      <w:r w:rsidRPr="008516D1">
        <w:t>également</w:t>
      </w:r>
      <w:r>
        <w:t xml:space="preserve"> </w:t>
      </w:r>
      <w:r w:rsidRPr="008516D1">
        <w:t>dispensé</w:t>
      </w:r>
      <w:r>
        <w:t xml:space="preserve"> </w:t>
      </w:r>
      <w:r w:rsidRPr="008516D1">
        <w:t>aux</w:t>
      </w:r>
      <w:r>
        <w:t xml:space="preserve"> </w:t>
      </w:r>
      <w:r w:rsidRPr="008516D1">
        <w:t>441</w:t>
      </w:r>
      <w:r w:rsidR="00C240B4">
        <w:t> </w:t>
      </w:r>
      <w:r w:rsidRPr="008516D1">
        <w:t>agents</w:t>
      </w:r>
      <w:r>
        <w:t xml:space="preserve"> </w:t>
      </w:r>
      <w:r w:rsidRPr="008516D1">
        <w:t>pénitentiaires</w:t>
      </w:r>
      <w:r>
        <w:t xml:space="preserve"> </w:t>
      </w:r>
      <w:r w:rsidRPr="008516D1">
        <w:t>et</w:t>
      </w:r>
      <w:r>
        <w:t xml:space="preserve"> </w:t>
      </w:r>
      <w:r w:rsidRPr="008516D1">
        <w:t>aux</w:t>
      </w:r>
      <w:r>
        <w:t xml:space="preserve"> </w:t>
      </w:r>
      <w:r w:rsidRPr="008516D1">
        <w:t>directeurs</w:t>
      </w:r>
      <w:r>
        <w:t xml:space="preserve"> </w:t>
      </w:r>
      <w:r w:rsidRPr="008516D1">
        <w:t>et</w:t>
      </w:r>
      <w:r>
        <w:t xml:space="preserve"> </w:t>
      </w:r>
      <w:r w:rsidRPr="008516D1">
        <w:t>directeurs</w:t>
      </w:r>
      <w:r>
        <w:t xml:space="preserve"> </w:t>
      </w:r>
      <w:r w:rsidRPr="008516D1">
        <w:t>adjoints</w:t>
      </w:r>
      <w:r>
        <w:t xml:space="preserve"> </w:t>
      </w:r>
      <w:r w:rsidRPr="008516D1">
        <w:t>des</w:t>
      </w:r>
      <w:r>
        <w:t xml:space="preserve"> </w:t>
      </w:r>
      <w:r w:rsidRPr="008516D1">
        <w:t>28</w:t>
      </w:r>
      <w:r w:rsidR="00C240B4">
        <w:t> </w:t>
      </w:r>
      <w:r w:rsidRPr="008516D1">
        <w:t>établissements</w:t>
      </w:r>
      <w:r>
        <w:t xml:space="preserve"> </w:t>
      </w:r>
      <w:r w:rsidRPr="008516D1">
        <w:t>pénitentiaires</w:t>
      </w:r>
      <w:r>
        <w:t xml:space="preserve"> </w:t>
      </w:r>
      <w:r w:rsidRPr="008516D1">
        <w:t>du</w:t>
      </w:r>
      <w:r>
        <w:t xml:space="preserve"> </w:t>
      </w:r>
      <w:r w:rsidRPr="008516D1">
        <w:t>pays</w:t>
      </w:r>
      <w:r>
        <w:t xml:space="preserve"> </w:t>
      </w:r>
      <w:r w:rsidRPr="008516D1">
        <w:t>une</w:t>
      </w:r>
      <w:r>
        <w:t xml:space="preserve"> </w:t>
      </w:r>
      <w:r w:rsidRPr="008516D1">
        <w:t>formation</w:t>
      </w:r>
      <w:r>
        <w:t xml:space="preserve"> </w:t>
      </w:r>
      <w:r w:rsidRPr="008516D1">
        <w:t>portant</w:t>
      </w:r>
      <w:r>
        <w:t xml:space="preserve"> </w:t>
      </w:r>
      <w:r w:rsidRPr="008516D1">
        <w:t>sur</w:t>
      </w:r>
      <w:r>
        <w:t xml:space="preserve"> </w:t>
      </w:r>
      <w:r w:rsidRPr="008516D1">
        <w:t>les</w:t>
      </w:r>
      <w:r>
        <w:t xml:space="preserve"> </w:t>
      </w:r>
      <w:r w:rsidRPr="008516D1">
        <w:t>règles</w:t>
      </w:r>
      <w:r>
        <w:t xml:space="preserve"> </w:t>
      </w:r>
      <w:r w:rsidRPr="008516D1">
        <w:lastRenderedPageBreak/>
        <w:t>Nelson</w:t>
      </w:r>
      <w:r>
        <w:t xml:space="preserve"> </w:t>
      </w:r>
      <w:r w:rsidRPr="008516D1">
        <w:t>Mandela,</w:t>
      </w:r>
      <w:r>
        <w:t xml:space="preserve"> </w:t>
      </w:r>
      <w:r w:rsidRPr="008516D1">
        <w:t>les</w:t>
      </w:r>
      <w:r>
        <w:t xml:space="preserve"> </w:t>
      </w:r>
      <w:r w:rsidRPr="008516D1">
        <w:t>règles</w:t>
      </w:r>
      <w:r>
        <w:t xml:space="preserve"> </w:t>
      </w:r>
      <w:r w:rsidRPr="008516D1">
        <w:t>de</w:t>
      </w:r>
      <w:r>
        <w:t xml:space="preserve"> </w:t>
      </w:r>
      <w:r w:rsidRPr="008516D1">
        <w:t>Bangkok</w:t>
      </w:r>
      <w:r>
        <w:t xml:space="preserve"> </w:t>
      </w:r>
      <w:r w:rsidRPr="008516D1">
        <w:t>et</w:t>
      </w:r>
      <w:r>
        <w:t xml:space="preserve"> </w:t>
      </w:r>
      <w:r w:rsidRPr="008516D1">
        <w:t>les</w:t>
      </w:r>
      <w:r>
        <w:t xml:space="preserve"> </w:t>
      </w:r>
      <w:r w:rsidRPr="008516D1">
        <w:t>régimes</w:t>
      </w:r>
      <w:r>
        <w:t xml:space="preserve"> </w:t>
      </w:r>
      <w:r w:rsidRPr="008516D1">
        <w:t>restrictifs,</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personnes</w:t>
      </w:r>
      <w:r>
        <w:t xml:space="preserve"> </w:t>
      </w:r>
      <w:r w:rsidRPr="008516D1">
        <w:t>LGTBI,</w:t>
      </w:r>
      <w:r>
        <w:t xml:space="preserve"> </w:t>
      </w:r>
      <w:r w:rsidRPr="008516D1">
        <w:t>la</w:t>
      </w:r>
      <w:r>
        <w:t xml:space="preserve"> </w:t>
      </w:r>
      <w:r w:rsidRPr="008516D1">
        <w:t>gestion</w:t>
      </w:r>
      <w:r>
        <w:t xml:space="preserve"> </w:t>
      </w:r>
      <w:r w:rsidRPr="008516D1">
        <w:t>des</w:t>
      </w:r>
      <w:r>
        <w:t xml:space="preserve"> </w:t>
      </w:r>
      <w:r w:rsidRPr="008516D1">
        <w:t>établissements</w:t>
      </w:r>
      <w:r>
        <w:t xml:space="preserve"> </w:t>
      </w:r>
      <w:r w:rsidRPr="008516D1">
        <w:t>pénitentiaires</w:t>
      </w:r>
      <w:r>
        <w:t xml:space="preserve"> </w:t>
      </w:r>
      <w:r w:rsidRPr="008516D1">
        <w:t>et</w:t>
      </w:r>
      <w:r>
        <w:t xml:space="preserve"> </w:t>
      </w:r>
      <w:r w:rsidRPr="008516D1">
        <w:t>le</w:t>
      </w:r>
      <w:r>
        <w:t xml:space="preserve"> </w:t>
      </w:r>
      <w:r w:rsidRPr="008516D1">
        <w:t>Système</w:t>
      </w:r>
      <w:r>
        <w:t xml:space="preserve"> </w:t>
      </w:r>
      <w:r w:rsidRPr="008516D1">
        <w:t>interaméricain</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rsidRPr="008516D1">
        <w:rPr>
          <w:rStyle w:val="Appelnotedebasdep"/>
        </w:rPr>
        <w:footnoteReference w:id="93"/>
      </w:r>
      <w:r w:rsidRPr="008516D1">
        <w:t>.</w:t>
      </w:r>
    </w:p>
    <w:p w14:paraId="49ED08E5" w14:textId="77777777" w:rsidR="00286956" w:rsidRPr="008516D1" w:rsidRDefault="00286956" w:rsidP="00286956">
      <w:pPr>
        <w:pStyle w:val="SingleTxtG"/>
      </w:pPr>
      <w:r w:rsidRPr="008516D1">
        <w:t>137.</w:t>
      </w:r>
      <w:r w:rsidRPr="008516D1">
        <w:tab/>
        <w:t>En</w:t>
      </w:r>
      <w:r>
        <w:t xml:space="preserve"> </w:t>
      </w:r>
      <w:r w:rsidRPr="008516D1">
        <w:t>2020,</w:t>
      </w:r>
      <w:r>
        <w:t xml:space="preserve"> </w:t>
      </w:r>
      <w:r w:rsidRPr="008516D1">
        <w:t>dans</w:t>
      </w:r>
      <w:r>
        <w:t xml:space="preserve"> </w:t>
      </w:r>
      <w:r w:rsidRPr="008516D1">
        <w:t>le</w:t>
      </w:r>
      <w:r>
        <w:t xml:space="preserve"> </w:t>
      </w:r>
      <w:r w:rsidRPr="008516D1">
        <w:t>contexte</w:t>
      </w:r>
      <w:r>
        <w:t xml:space="preserve"> </w:t>
      </w:r>
      <w:r w:rsidRPr="008516D1">
        <w:t>de</w:t>
      </w:r>
      <w:r>
        <w:t xml:space="preserve"> </w:t>
      </w:r>
      <w:r w:rsidRPr="008516D1">
        <w:t>la</w:t>
      </w:r>
      <w:r>
        <w:t xml:space="preserve"> </w:t>
      </w:r>
      <w:r w:rsidRPr="008516D1">
        <w:t>pandémie</w:t>
      </w:r>
      <w:r>
        <w:t xml:space="preserve"> </w:t>
      </w:r>
      <w:r w:rsidRPr="008516D1">
        <w:t>de</w:t>
      </w:r>
      <w:r>
        <w:t xml:space="preserve"> </w:t>
      </w:r>
      <w:r w:rsidRPr="008516D1">
        <w:t>COVID-19,</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visité</w:t>
      </w:r>
      <w:r>
        <w:t xml:space="preserve"> </w:t>
      </w:r>
      <w:r w:rsidRPr="008516D1">
        <w:t>le</w:t>
      </w:r>
      <w:r>
        <w:t xml:space="preserve"> </w:t>
      </w:r>
      <w:r w:rsidRPr="008516D1">
        <w:t>centre</w:t>
      </w:r>
      <w:r>
        <w:t xml:space="preserve"> </w:t>
      </w:r>
      <w:r w:rsidRPr="008516D1">
        <w:t>de</w:t>
      </w:r>
      <w:r>
        <w:t xml:space="preserve"> </w:t>
      </w:r>
      <w:r w:rsidRPr="008516D1">
        <w:t>détention</w:t>
      </w:r>
      <w:r>
        <w:t xml:space="preserve"> </w:t>
      </w:r>
      <w:r w:rsidRPr="008516D1">
        <w:t>Marco</w:t>
      </w:r>
      <w:r>
        <w:t xml:space="preserve"> </w:t>
      </w:r>
      <w:r w:rsidRPr="008516D1">
        <w:t>Aurelio</w:t>
      </w:r>
      <w:r>
        <w:t xml:space="preserve"> </w:t>
      </w:r>
      <w:r w:rsidRPr="008516D1">
        <w:t>Soto</w:t>
      </w:r>
      <w:r>
        <w:t xml:space="preserve"> </w:t>
      </w:r>
      <w:r w:rsidRPr="008516D1">
        <w:t>et</w:t>
      </w:r>
      <w:r>
        <w:t xml:space="preserve"> </w:t>
      </w:r>
      <w:r w:rsidRPr="008516D1">
        <w:t>le</w:t>
      </w:r>
      <w:r>
        <w:t xml:space="preserve"> </w:t>
      </w:r>
      <w:r w:rsidRPr="008516D1">
        <w:t>centre</w:t>
      </w:r>
      <w:r>
        <w:t xml:space="preserve"> </w:t>
      </w:r>
      <w:r w:rsidRPr="008516D1">
        <w:t>national</w:t>
      </w:r>
      <w:r>
        <w:t xml:space="preserve"> </w:t>
      </w:r>
      <w:r w:rsidRPr="008516D1">
        <w:t>de</w:t>
      </w:r>
      <w:r>
        <w:t xml:space="preserve"> </w:t>
      </w:r>
      <w:r w:rsidRPr="008516D1">
        <w:t>détention</w:t>
      </w:r>
      <w:r>
        <w:t xml:space="preserve"> </w:t>
      </w:r>
      <w:r w:rsidRPr="008516D1">
        <w:t>pour</w:t>
      </w:r>
      <w:r>
        <w:t xml:space="preserve"> </w:t>
      </w:r>
      <w:r w:rsidRPr="008516D1">
        <w:t>femmes,</w:t>
      </w:r>
      <w:r>
        <w:t xml:space="preserve"> </w:t>
      </w:r>
      <w:r w:rsidRPr="008516D1">
        <w:t>en</w:t>
      </w:r>
      <w:r>
        <w:t xml:space="preserve"> </w:t>
      </w:r>
      <w:r w:rsidRPr="008516D1">
        <w:t>vue</w:t>
      </w:r>
      <w:r>
        <w:t xml:space="preserve"> </w:t>
      </w:r>
      <w:r w:rsidRPr="008516D1">
        <w:t>de</w:t>
      </w:r>
      <w:r>
        <w:t xml:space="preserve"> </w:t>
      </w:r>
      <w:r w:rsidRPr="008516D1">
        <w:t>s</w:t>
      </w:r>
      <w:r>
        <w:t>’</w:t>
      </w:r>
      <w:r w:rsidRPr="008516D1">
        <w:t>informer</w:t>
      </w:r>
      <w:r>
        <w:t xml:space="preserve"> </w:t>
      </w:r>
      <w:r w:rsidRPr="008516D1">
        <w:t>sur</w:t>
      </w:r>
      <w:r>
        <w:t xml:space="preserve"> </w:t>
      </w:r>
      <w:r w:rsidRPr="008516D1">
        <w:t>la</w:t>
      </w:r>
      <w:r>
        <w:t xml:space="preserve"> </w:t>
      </w:r>
      <w:r w:rsidRPr="008516D1">
        <w:t>situation</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et</w:t>
      </w:r>
      <w:r>
        <w:t xml:space="preserve"> </w:t>
      </w:r>
      <w:r w:rsidRPr="008516D1">
        <w:t>l</w:t>
      </w:r>
      <w:r>
        <w:t>’</w:t>
      </w:r>
      <w:r w:rsidRPr="008516D1">
        <w:t>accès</w:t>
      </w:r>
      <w:r>
        <w:t xml:space="preserve"> </w:t>
      </w:r>
      <w:r w:rsidRPr="008516D1">
        <w:t>des</w:t>
      </w:r>
      <w:r>
        <w:t xml:space="preserve"> </w:t>
      </w:r>
      <w:r w:rsidRPr="008516D1">
        <w:t>détenus</w:t>
      </w:r>
      <w:r>
        <w:t xml:space="preserve"> </w:t>
      </w:r>
      <w:r w:rsidRPr="008516D1">
        <w:t>aux</w:t>
      </w:r>
      <w:r>
        <w:t xml:space="preserve"> </w:t>
      </w:r>
      <w:r w:rsidRPr="008516D1">
        <w:t>soins</w:t>
      </w:r>
      <w:r>
        <w:t xml:space="preserve"> </w:t>
      </w:r>
      <w:r w:rsidRPr="008516D1">
        <w:t>de</w:t>
      </w:r>
      <w:r>
        <w:t xml:space="preserve"> </w:t>
      </w:r>
      <w:r w:rsidRPr="008516D1">
        <w:t>santé,</w:t>
      </w:r>
      <w:r>
        <w:t xml:space="preserve"> </w:t>
      </w:r>
      <w:r w:rsidRPr="008516D1">
        <w:t>conformément</w:t>
      </w:r>
      <w:r>
        <w:t xml:space="preserve"> </w:t>
      </w:r>
      <w:r w:rsidRPr="008516D1">
        <w:t>aux</w:t>
      </w:r>
      <w:r>
        <w:t xml:space="preserve"> </w:t>
      </w:r>
      <w:r w:rsidRPr="008516D1">
        <w:t>recommandations</w:t>
      </w:r>
      <w:r>
        <w:t xml:space="preserve"> </w:t>
      </w:r>
      <w:r w:rsidRPr="008516D1">
        <w:t>de</w:t>
      </w:r>
      <w:r>
        <w:t xml:space="preserve"> </w:t>
      </w:r>
      <w:r w:rsidRPr="008516D1">
        <w:t>la</w:t>
      </w:r>
      <w:r>
        <w:t xml:space="preserve"> </w:t>
      </w:r>
      <w:r w:rsidRPr="008516D1">
        <w:t>résolution</w:t>
      </w:r>
      <w:r>
        <w:t xml:space="preserve"> </w:t>
      </w:r>
      <w:r w:rsidRPr="008516D1">
        <w:t>1/2020</w:t>
      </w:r>
      <w:r>
        <w:t xml:space="preserve"> </w:t>
      </w:r>
      <w:r w:rsidRPr="008516D1">
        <w:t>de</w:t>
      </w:r>
      <w:r>
        <w:t xml:space="preserve"> </w:t>
      </w:r>
      <w:r w:rsidRPr="008516D1">
        <w:t>la</w:t>
      </w:r>
      <w:r>
        <w:t xml:space="preserve"> </w:t>
      </w:r>
      <w:r w:rsidRPr="008516D1">
        <w:t>Commission</w:t>
      </w:r>
      <w:r>
        <w:t xml:space="preserve"> </w:t>
      </w:r>
      <w:r w:rsidRPr="008516D1">
        <w:t>interaméricaine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257B1AAD" w14:textId="6891FD5D" w:rsidR="00286956" w:rsidRPr="008516D1" w:rsidRDefault="00286956" w:rsidP="00286956">
      <w:pPr>
        <w:pStyle w:val="SingleTxtG"/>
      </w:pPr>
      <w:r w:rsidRPr="008516D1">
        <w:t>138.</w:t>
      </w:r>
      <w:r w:rsidRPr="008516D1">
        <w:tab/>
        <w:t>Le</w:t>
      </w:r>
      <w:r>
        <w:t xml:space="preserve"> </w:t>
      </w:r>
      <w:r w:rsidRPr="008516D1">
        <w:t>Groupe</w:t>
      </w:r>
      <w:r>
        <w:t xml:space="preserve"> </w:t>
      </w:r>
      <w:r w:rsidRPr="008516D1">
        <w:t>de</w:t>
      </w:r>
      <w:r>
        <w:t xml:space="preserve"> </w:t>
      </w:r>
      <w:r w:rsidRPr="008516D1">
        <w:t>travail</w:t>
      </w:r>
      <w:r>
        <w:t xml:space="preserve"> </w:t>
      </w:r>
      <w:r w:rsidRPr="008516D1">
        <w:t>technique</w:t>
      </w:r>
      <w:r>
        <w:t xml:space="preserve"> </w:t>
      </w:r>
      <w:r w:rsidRPr="008516D1">
        <w:t>sur</w:t>
      </w:r>
      <w:r>
        <w:t xml:space="preserve"> </w:t>
      </w:r>
      <w:r w:rsidRPr="008516D1">
        <w:t>la</w:t>
      </w:r>
      <w:r>
        <w:t xml:space="preserve"> </w:t>
      </w:r>
      <w:r w:rsidRPr="008516D1">
        <w:t>santé</w:t>
      </w:r>
      <w:r>
        <w:t xml:space="preserve"> </w:t>
      </w:r>
      <w:r w:rsidRPr="008516D1">
        <w:t>en</w:t>
      </w:r>
      <w:r>
        <w:t xml:space="preserve"> </w:t>
      </w:r>
      <w:r w:rsidRPr="008516D1">
        <w:t>milieu</w:t>
      </w:r>
      <w:r>
        <w:t xml:space="preserve"> </w:t>
      </w:r>
      <w:r w:rsidRPr="008516D1">
        <w:t>carcéral</w:t>
      </w:r>
      <w:r>
        <w:t xml:space="preserve"> </w:t>
      </w:r>
      <w:r w:rsidRPr="008516D1">
        <w:t>réunit</w:t>
      </w:r>
      <w:r>
        <w:t xml:space="preserve"> </w:t>
      </w:r>
      <w:r w:rsidRPr="008516D1">
        <w:t>des</w:t>
      </w:r>
      <w:r>
        <w:t xml:space="preserve"> </w:t>
      </w:r>
      <w:r w:rsidRPr="008516D1">
        <w:t>représentants</w:t>
      </w:r>
      <w:r>
        <w:t xml:space="preserve"> </w:t>
      </w:r>
      <w:r w:rsidRPr="008516D1">
        <w:t>de</w:t>
      </w:r>
      <w:r>
        <w:t xml:space="preserve"> </w:t>
      </w:r>
      <w:r w:rsidRPr="008516D1">
        <w:t>différents</w:t>
      </w:r>
      <w:r>
        <w:t xml:space="preserve"> </w:t>
      </w:r>
      <w:r w:rsidRPr="008516D1">
        <w:t>secteurs</w:t>
      </w:r>
      <w:r>
        <w:t xml:space="preserve"> </w:t>
      </w:r>
      <w:r w:rsidRPr="008516D1">
        <w:t>tels</w:t>
      </w:r>
      <w:r>
        <w:t xml:space="preserve"> </w:t>
      </w:r>
      <w:r w:rsidRPr="008516D1">
        <w:t>que</w:t>
      </w:r>
      <w:r>
        <w:t xml:space="preserve"> </w:t>
      </w:r>
      <w:r w:rsidRPr="008516D1">
        <w:t>les</w:t>
      </w:r>
      <w:r>
        <w:t xml:space="preserve"> </w:t>
      </w:r>
      <w:r w:rsidRPr="008516D1">
        <w:t>associations</w:t>
      </w:r>
      <w:r>
        <w:t xml:space="preserve"> </w:t>
      </w:r>
      <w:r w:rsidRPr="008516D1">
        <w:t>LGTBI,</w:t>
      </w:r>
      <w:r>
        <w:t xml:space="preserve"> </w:t>
      </w:r>
      <w:r w:rsidRPr="008516D1">
        <w:t>les</w:t>
      </w:r>
      <w:r>
        <w:t xml:space="preserve"> </w:t>
      </w:r>
      <w:r w:rsidRPr="008516D1">
        <w:t>directeurs</w:t>
      </w:r>
      <w:r>
        <w:t xml:space="preserve"> </w:t>
      </w:r>
      <w:r w:rsidRPr="008516D1">
        <w:t>d</w:t>
      </w:r>
      <w:r>
        <w:t>’</w:t>
      </w:r>
      <w:r w:rsidRPr="008516D1">
        <w:t>hôpitaux</w:t>
      </w:r>
      <w:r>
        <w:t xml:space="preserve"> </w:t>
      </w:r>
      <w:r w:rsidRPr="008516D1">
        <w:t>psychiatriques,</w:t>
      </w:r>
      <w:r>
        <w:t xml:space="preserve"> </w:t>
      </w:r>
      <w:r w:rsidRPr="008516D1">
        <w:t>le</w:t>
      </w:r>
      <w:r>
        <w:t xml:space="preserve"> </w:t>
      </w:r>
      <w:r w:rsidRPr="008516D1">
        <w:t>ministère</w:t>
      </w:r>
      <w:r>
        <w:t xml:space="preserve"> </w:t>
      </w:r>
      <w:r w:rsidRPr="008516D1">
        <w:t>public,</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le</w:t>
      </w:r>
      <w:r>
        <w:t xml:space="preserve"> </w:t>
      </w:r>
      <w:r w:rsidRPr="008516D1">
        <w:t>Ministère</w:t>
      </w:r>
      <w:r>
        <w:t xml:space="preserve"> </w:t>
      </w:r>
      <w:r w:rsidRPr="008516D1">
        <w:t>de</w:t>
      </w:r>
      <w:r>
        <w:t xml:space="preserve"> </w:t>
      </w:r>
      <w:r w:rsidRPr="008516D1">
        <w:t>la</w:t>
      </w:r>
      <w:r>
        <w:t xml:space="preserve"> </w:t>
      </w:r>
      <w:r w:rsidRPr="008516D1">
        <w:t>santé,</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Mécanisme</w:t>
      </w:r>
      <w:r>
        <w:t xml:space="preserve"> </w:t>
      </w:r>
      <w:r w:rsidRPr="008516D1">
        <w:t>national</w:t>
      </w:r>
      <w:r>
        <w:t xml:space="preserve"> </w:t>
      </w:r>
      <w:r w:rsidRPr="008516D1">
        <w:t>de</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00DA1596">
        <w:t>−</w:t>
      </w:r>
      <w:r>
        <w:t xml:space="preserve"> </w:t>
      </w:r>
      <w:r w:rsidRPr="008516D1">
        <w:t>Comité</w:t>
      </w:r>
      <w:r>
        <w:t xml:space="preserve"> </w:t>
      </w:r>
      <w:r w:rsidRPr="008516D1">
        <w:t>national</w:t>
      </w:r>
      <w:r>
        <w:t xml:space="preserve"> </w:t>
      </w:r>
      <w:r w:rsidRPr="008516D1">
        <w:t>pour</w:t>
      </w:r>
      <w:r>
        <w:t xml:space="preserve"> </w:t>
      </w:r>
      <w:r w:rsidRPr="008516D1">
        <w:t>la</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Pr="008516D1">
        <w:t>et</w:t>
      </w:r>
      <w:r>
        <w:t xml:space="preserve"> </w:t>
      </w:r>
      <w:r w:rsidRPr="008516D1">
        <w:t>autres</w:t>
      </w:r>
      <w:r>
        <w:t xml:space="preserve"> </w:t>
      </w:r>
      <w:r w:rsidRPr="008516D1">
        <w:t>peines</w:t>
      </w:r>
      <w:r>
        <w:t xml:space="preserve"> </w:t>
      </w:r>
      <w:r w:rsidRPr="008516D1">
        <w:t>ou</w:t>
      </w:r>
      <w:r>
        <w:t xml:space="preserve"> </w:t>
      </w:r>
      <w:r w:rsidRPr="008516D1">
        <w:t>traitements</w:t>
      </w:r>
      <w:r>
        <w:t xml:space="preserve"> </w:t>
      </w:r>
      <w:r w:rsidRPr="008516D1">
        <w:t>cruels,</w:t>
      </w:r>
      <w:r>
        <w:t xml:space="preserve"> </w:t>
      </w:r>
      <w:r w:rsidRPr="008516D1">
        <w:t>inhumains</w:t>
      </w:r>
      <w:r>
        <w:t xml:space="preserve"> </w:t>
      </w:r>
      <w:r w:rsidRPr="008516D1">
        <w:t>ou</w:t>
      </w:r>
      <w:r>
        <w:t xml:space="preserve"> </w:t>
      </w:r>
      <w:r w:rsidRPr="008516D1">
        <w:t>dégradants,</w:t>
      </w:r>
      <w:r>
        <w:t xml:space="preserve"> </w:t>
      </w:r>
      <w:r w:rsidRPr="008516D1">
        <w:t>le</w:t>
      </w:r>
      <w:r>
        <w:t xml:space="preserve"> </w:t>
      </w:r>
      <w:r w:rsidRPr="008516D1">
        <w:t>Système</w:t>
      </w:r>
      <w:r>
        <w:t xml:space="preserve"> </w:t>
      </w:r>
      <w:r w:rsidRPr="008516D1">
        <w:t>national</w:t>
      </w:r>
      <w:r>
        <w:t xml:space="preserve"> </w:t>
      </w:r>
      <w:r w:rsidRPr="008516D1">
        <w:t>de</w:t>
      </w:r>
      <w:r>
        <w:t xml:space="preserve"> </w:t>
      </w:r>
      <w:r w:rsidRPr="008516D1">
        <w:t>gestion</w:t>
      </w:r>
      <w:r>
        <w:t xml:space="preserve"> </w:t>
      </w:r>
      <w:r w:rsidRPr="008516D1">
        <w:t>des</w:t>
      </w:r>
      <w:r>
        <w:t xml:space="preserve"> </w:t>
      </w:r>
      <w:r w:rsidRPr="008516D1">
        <w:t>risques,</w:t>
      </w:r>
      <w:r>
        <w:t xml:space="preserve"> </w:t>
      </w:r>
      <w:r w:rsidRPr="008516D1">
        <w:t>l</w:t>
      </w:r>
      <w:r>
        <w:t>’</w:t>
      </w:r>
      <w:r w:rsidRPr="008516D1">
        <w:t>Organisation</w:t>
      </w:r>
      <w:r>
        <w:t xml:space="preserve"> </w:t>
      </w:r>
      <w:r w:rsidRPr="008516D1">
        <w:t>panaméricaine</w:t>
      </w:r>
      <w:r>
        <w:t xml:space="preserve"> </w:t>
      </w:r>
      <w:r w:rsidRPr="008516D1">
        <w:t>de</w:t>
      </w:r>
      <w:r>
        <w:t xml:space="preserve"> </w:t>
      </w:r>
      <w:r w:rsidRPr="008516D1">
        <w:t>la</w:t>
      </w:r>
      <w:r>
        <w:t xml:space="preserve"> </w:t>
      </w:r>
      <w:r w:rsidRPr="008516D1">
        <w:t>santé</w:t>
      </w:r>
      <w:r>
        <w:t xml:space="preserve"> </w:t>
      </w:r>
      <w:r w:rsidRPr="008516D1">
        <w:t>et</w:t>
      </w:r>
      <w:r>
        <w:t xml:space="preserve"> </w:t>
      </w:r>
      <w:r w:rsidRPr="008516D1">
        <w:t>le</w:t>
      </w:r>
      <w:r>
        <w:t xml:space="preserve"> </w:t>
      </w:r>
      <w:r w:rsidRPr="008516D1">
        <w:t>CICR,</w:t>
      </w:r>
      <w:r>
        <w:t xml:space="preserve"> </w:t>
      </w:r>
      <w:r w:rsidRPr="008516D1">
        <w:t>afin</w:t>
      </w:r>
      <w:r>
        <w:t xml:space="preserve"> </w:t>
      </w:r>
      <w:r w:rsidRPr="008516D1">
        <w:t>de</w:t>
      </w:r>
      <w:r>
        <w:t xml:space="preserve"> </w:t>
      </w:r>
      <w:r w:rsidRPr="008516D1">
        <w:t>coordonner</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adéquate</w:t>
      </w:r>
      <w:r>
        <w:t xml:space="preserve"> </w:t>
      </w:r>
      <w:r w:rsidRPr="008516D1">
        <w:t>de</w:t>
      </w:r>
      <w:r>
        <w:t xml:space="preserve"> </w:t>
      </w:r>
      <w:r w:rsidRPr="008516D1">
        <w:t>la</w:t>
      </w:r>
      <w:r>
        <w:t xml:space="preserve"> </w:t>
      </w:r>
      <w:r w:rsidRPr="008516D1">
        <w:t>santé</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rsidRPr="008516D1">
        <w:rPr>
          <w:rStyle w:val="Appelnotedebasdep"/>
        </w:rPr>
        <w:footnoteReference w:id="94"/>
      </w:r>
      <w:r w:rsidRPr="008516D1">
        <w:t>.</w:t>
      </w:r>
      <w:r>
        <w:t xml:space="preserve"> </w:t>
      </w:r>
      <w:r w:rsidRPr="008516D1">
        <w:t>Il</w:t>
      </w:r>
      <w:r>
        <w:t xml:space="preserve"> </w:t>
      </w:r>
      <w:r w:rsidRPr="008516D1">
        <w:t>convient</w:t>
      </w:r>
      <w:r>
        <w:t xml:space="preserve"> </w:t>
      </w:r>
      <w:r w:rsidRPr="008516D1">
        <w:t>de</w:t>
      </w:r>
      <w:r>
        <w:t xml:space="preserve"> </w:t>
      </w:r>
      <w:r w:rsidRPr="008516D1">
        <w:t>mentionner</w:t>
      </w:r>
      <w:r>
        <w:t xml:space="preserve"> </w:t>
      </w:r>
      <w:r w:rsidRPr="008516D1">
        <w:t>la</w:t>
      </w:r>
      <w:r>
        <w:t xml:space="preserve"> </w:t>
      </w:r>
      <w:r w:rsidRPr="008516D1">
        <w:t>pratique</w:t>
      </w:r>
      <w:r>
        <w:t xml:space="preserve"> </w:t>
      </w:r>
      <w:r w:rsidRPr="008516D1">
        <w:t>standardisée</w:t>
      </w:r>
      <w:r>
        <w:t xml:space="preserve"> </w:t>
      </w:r>
      <w:r w:rsidRPr="008516D1">
        <w:t>de</w:t>
      </w:r>
      <w:r>
        <w:t xml:space="preserve"> </w:t>
      </w:r>
      <w:r w:rsidRPr="008516D1">
        <w:t>l</w:t>
      </w:r>
      <w:r>
        <w:t>’</w:t>
      </w:r>
      <w:r w:rsidRPr="008516D1">
        <w:t>examen</w:t>
      </w:r>
      <w:r>
        <w:t xml:space="preserve"> </w:t>
      </w:r>
      <w:r w:rsidRPr="008516D1">
        <w:t>médical</w:t>
      </w:r>
      <w:r>
        <w:t xml:space="preserve"> </w:t>
      </w:r>
      <w:r w:rsidRPr="008516D1">
        <w:t>initial</w:t>
      </w:r>
      <w:r>
        <w:t xml:space="preserve"> </w:t>
      </w:r>
      <w:r w:rsidRPr="008516D1">
        <w:t>dans</w:t>
      </w:r>
      <w:r>
        <w:t xml:space="preserve"> </w:t>
      </w:r>
      <w:r w:rsidRPr="008516D1">
        <w:t>les</w:t>
      </w:r>
      <w:r>
        <w:t xml:space="preserve"> </w:t>
      </w:r>
      <w:r w:rsidRPr="008516D1">
        <w:t>28</w:t>
      </w:r>
      <w:r w:rsidR="00DA1596">
        <w:t> </w:t>
      </w:r>
      <w:r w:rsidRPr="008516D1">
        <w:t>établissements</w:t>
      </w:r>
      <w:r>
        <w:t xml:space="preserve"> </w:t>
      </w:r>
      <w:r w:rsidRPr="008516D1">
        <w:t>pénitentiaires.</w:t>
      </w:r>
    </w:p>
    <w:p w14:paraId="7EBB1E62" w14:textId="77777777" w:rsidR="00286956" w:rsidRPr="008516D1" w:rsidRDefault="00286956" w:rsidP="00286956">
      <w:pPr>
        <w:pStyle w:val="SingleTxtG"/>
      </w:pPr>
      <w:r w:rsidRPr="008516D1">
        <w:t>139.</w:t>
      </w:r>
      <w:r w:rsidRPr="008516D1">
        <w:tab/>
        <w:t>En</w:t>
      </w:r>
      <w:r>
        <w:t xml:space="preserve"> </w:t>
      </w:r>
      <w:r w:rsidRPr="008516D1">
        <w:t>2020,</w:t>
      </w:r>
      <w:r>
        <w:t xml:space="preserve"> </w:t>
      </w:r>
      <w:r w:rsidRPr="008516D1">
        <w:t>le</w:t>
      </w:r>
      <w:r>
        <w:t xml:space="preserve"> </w:t>
      </w:r>
      <w:r w:rsidRPr="008516D1">
        <w:t>Groupe</w:t>
      </w:r>
      <w:r>
        <w:t xml:space="preserve"> </w:t>
      </w:r>
      <w:r w:rsidRPr="008516D1">
        <w:t>de</w:t>
      </w:r>
      <w:r>
        <w:t xml:space="preserve"> </w:t>
      </w:r>
      <w:r w:rsidRPr="008516D1">
        <w:t>travail</w:t>
      </w:r>
      <w:r>
        <w:t xml:space="preserve"> </w:t>
      </w:r>
      <w:r w:rsidRPr="008516D1">
        <w:t>sur</w:t>
      </w:r>
      <w:r>
        <w:t xml:space="preserve"> </w:t>
      </w:r>
      <w:r w:rsidRPr="008516D1">
        <w:t>la</w:t>
      </w:r>
      <w:r>
        <w:t xml:space="preserve"> </w:t>
      </w:r>
      <w:r w:rsidRPr="008516D1">
        <w:t>santé</w:t>
      </w:r>
      <w:r>
        <w:t xml:space="preserve"> </w:t>
      </w:r>
      <w:r w:rsidRPr="008516D1">
        <w:t>en</w:t>
      </w:r>
      <w:r>
        <w:t xml:space="preserve"> </w:t>
      </w:r>
      <w:r w:rsidRPr="008516D1">
        <w:t>milieu</w:t>
      </w:r>
      <w:r>
        <w:t xml:space="preserve"> </w:t>
      </w:r>
      <w:r w:rsidRPr="008516D1">
        <w:t>carcéral</w:t>
      </w:r>
      <w:r>
        <w:t xml:space="preserve"> </w:t>
      </w:r>
      <w:r w:rsidRPr="008516D1">
        <w:t>a</w:t>
      </w:r>
      <w:r>
        <w:t xml:space="preserve"> </w:t>
      </w:r>
      <w:r w:rsidRPr="008516D1">
        <w:t>proposé</w:t>
      </w:r>
      <w:r>
        <w:t xml:space="preserve"> </w:t>
      </w:r>
      <w:r w:rsidRPr="008516D1">
        <w:t>la</w:t>
      </w:r>
      <w:r>
        <w:t xml:space="preserve"> </w:t>
      </w:r>
      <w:r w:rsidRPr="008516D1">
        <w:t>création</w:t>
      </w:r>
      <w:r>
        <w:t xml:space="preserve"> </w:t>
      </w:r>
      <w:r w:rsidRPr="008516D1">
        <w:t>du</w:t>
      </w:r>
      <w:r>
        <w:t xml:space="preserve"> </w:t>
      </w:r>
      <w:r w:rsidRPr="008516D1">
        <w:t>Groupe</w:t>
      </w:r>
      <w:r>
        <w:t xml:space="preserve"> </w:t>
      </w:r>
      <w:r w:rsidRPr="008516D1">
        <w:t>de</w:t>
      </w:r>
      <w:r>
        <w:t xml:space="preserve"> </w:t>
      </w:r>
      <w:r w:rsidRPr="008516D1">
        <w:t>travail</w:t>
      </w:r>
      <w:r>
        <w:t xml:space="preserve"> </w:t>
      </w:r>
      <w:r w:rsidRPr="008516D1">
        <w:t>sur</w:t>
      </w:r>
      <w:r>
        <w:t xml:space="preserve"> </w:t>
      </w:r>
      <w:r w:rsidRPr="008516D1">
        <w:t>la</w:t>
      </w:r>
      <w:r>
        <w:t xml:space="preserve"> </w:t>
      </w:r>
      <w:r w:rsidRPr="008516D1">
        <w:t>santé</w:t>
      </w:r>
      <w:r>
        <w:t xml:space="preserve"> </w:t>
      </w:r>
      <w:r w:rsidRPr="008516D1">
        <w:t>et</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pour</w:t>
      </w:r>
      <w:r>
        <w:t xml:space="preserve"> </w:t>
      </w:r>
      <w:r w:rsidRPr="008516D1">
        <w:t>assurer</w:t>
      </w:r>
      <w:r>
        <w:t xml:space="preserve"> </w:t>
      </w:r>
      <w:r w:rsidRPr="008516D1">
        <w:t>le</w:t>
      </w:r>
      <w:r>
        <w:t xml:space="preserve"> </w:t>
      </w:r>
      <w:r w:rsidRPr="008516D1">
        <w:t>suivi</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et</w:t>
      </w:r>
      <w:r>
        <w:t xml:space="preserve"> </w:t>
      </w:r>
      <w:r w:rsidRPr="008516D1">
        <w:t>répondre</w:t>
      </w:r>
      <w:r>
        <w:t xml:space="preserve"> </w:t>
      </w:r>
      <w:r w:rsidRPr="008516D1">
        <w:t>rapidement</w:t>
      </w:r>
      <w:r>
        <w:t xml:space="preserve"> </w:t>
      </w:r>
      <w:r w:rsidRPr="008516D1">
        <w:t>à</w:t>
      </w:r>
      <w:r>
        <w:t xml:space="preserve"> </w:t>
      </w:r>
      <w:r w:rsidRPr="008516D1">
        <w:t>leurs</w:t>
      </w:r>
      <w:r>
        <w:t xml:space="preserve"> </w:t>
      </w:r>
      <w:r w:rsidRPr="008516D1">
        <w:t>besoins</w:t>
      </w:r>
      <w:r>
        <w:t xml:space="preserve"> </w:t>
      </w:r>
      <w:r w:rsidRPr="008516D1">
        <w:t>face</w:t>
      </w:r>
      <w:r>
        <w:t xml:space="preserve"> </w:t>
      </w:r>
      <w:r w:rsidRPr="008516D1">
        <w:t>au</w:t>
      </w:r>
      <w:r>
        <w:t xml:space="preserve"> </w:t>
      </w:r>
      <w:r w:rsidRPr="008516D1">
        <w:t>COVID-19,</w:t>
      </w:r>
      <w:r>
        <w:t xml:space="preserve"> </w:t>
      </w:r>
      <w:r w:rsidRPr="008516D1">
        <w:t>à</w:t>
      </w:r>
      <w:r>
        <w:t xml:space="preserve"> </w:t>
      </w:r>
      <w:r w:rsidRPr="008516D1">
        <w:t>la</w:t>
      </w:r>
      <w:r>
        <w:t xml:space="preserve"> </w:t>
      </w:r>
      <w:r w:rsidRPr="008516D1">
        <w:t>dengue</w:t>
      </w:r>
      <w:r>
        <w:t xml:space="preserve"> </w:t>
      </w:r>
      <w:r w:rsidRPr="008516D1">
        <w:t>et</w:t>
      </w:r>
      <w:r>
        <w:t xml:space="preserve"> </w:t>
      </w:r>
      <w:r w:rsidRPr="008516D1">
        <w:t>au</w:t>
      </w:r>
      <w:r>
        <w:t xml:space="preserve"> </w:t>
      </w:r>
      <w:r w:rsidRPr="008516D1">
        <w:t>VIH/sida,</w:t>
      </w:r>
      <w:r>
        <w:t xml:space="preserve"> </w:t>
      </w:r>
      <w:r w:rsidRPr="008516D1">
        <w:t>en</w:t>
      </w:r>
      <w:r>
        <w:t xml:space="preserve"> </w:t>
      </w:r>
      <w:r w:rsidRPr="008516D1">
        <w:t>s</w:t>
      </w:r>
      <w:r>
        <w:t>’</w:t>
      </w:r>
      <w:r w:rsidRPr="008516D1">
        <w:t>appuyant</w:t>
      </w:r>
      <w:r>
        <w:t xml:space="preserve"> </w:t>
      </w:r>
      <w:r w:rsidRPr="008516D1">
        <w:t>sur</w:t>
      </w:r>
      <w:r>
        <w:t xml:space="preserve"> </w:t>
      </w:r>
      <w:r w:rsidRPr="008516D1">
        <w:t>les</w:t>
      </w:r>
      <w:r>
        <w:t xml:space="preserve"> </w:t>
      </w:r>
      <w:r w:rsidRPr="008516D1">
        <w:t>recommandations</w:t>
      </w:r>
      <w:r>
        <w:t xml:space="preserve"> </w:t>
      </w:r>
      <w:r w:rsidRPr="008516D1">
        <w:t>formulées</w:t>
      </w:r>
      <w:r>
        <w:t xml:space="preserve"> </w:t>
      </w:r>
      <w:r w:rsidRPr="008516D1">
        <w:t>par</w:t>
      </w:r>
      <w:r>
        <w:t xml:space="preserve"> </w:t>
      </w:r>
      <w:r w:rsidRPr="008516D1">
        <w:t>les</w:t>
      </w:r>
      <w:r>
        <w:t xml:space="preserve"> </w:t>
      </w:r>
      <w:r w:rsidRPr="008516D1">
        <w:t>mécanismes</w:t>
      </w:r>
      <w:r>
        <w:t xml:space="preserve"> </w:t>
      </w:r>
      <w:r w:rsidRPr="008516D1">
        <w:t>nationaux</w:t>
      </w:r>
      <w:r>
        <w:t xml:space="preserve"> </w:t>
      </w:r>
      <w:r w:rsidRPr="008516D1">
        <w:t>et</w:t>
      </w:r>
      <w:r>
        <w:t xml:space="preserve"> </w:t>
      </w:r>
      <w:r w:rsidRPr="008516D1">
        <w:t>internationaux</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6B899700" w14:textId="77777777" w:rsidR="00286956" w:rsidRPr="008516D1" w:rsidRDefault="00286956" w:rsidP="00286956">
      <w:pPr>
        <w:pStyle w:val="SingleTxtG"/>
      </w:pPr>
      <w:r w:rsidRPr="008516D1">
        <w:t>140.</w:t>
      </w:r>
      <w:r w:rsidRPr="008516D1">
        <w:tab/>
        <w:t>Avec</w:t>
      </w:r>
      <w:r>
        <w:t xml:space="preserve"> </w:t>
      </w:r>
      <w:r w:rsidRPr="008516D1">
        <w:t>l</w:t>
      </w:r>
      <w:r>
        <w:t>’</w:t>
      </w:r>
      <w:r w:rsidRPr="008516D1">
        <w:t>appui</w:t>
      </w:r>
      <w:r>
        <w:t xml:space="preserve"> </w:t>
      </w:r>
      <w:r w:rsidRPr="008516D1">
        <w:t>du</w:t>
      </w:r>
      <w:r>
        <w:t xml:space="preserve"> </w:t>
      </w:r>
      <w:r w:rsidRPr="008516D1">
        <w:t>Haut-Commissariat</w:t>
      </w:r>
      <w:r>
        <w:t xml:space="preserve"> </w:t>
      </w:r>
      <w:r w:rsidRPr="008516D1">
        <w:t>des</w:t>
      </w:r>
      <w:r>
        <w:t xml:space="preserve"> </w:t>
      </w:r>
      <w:r w:rsidRPr="008516D1">
        <w:t>Nations</w:t>
      </w:r>
      <w:r>
        <w:t xml:space="preserve"> </w:t>
      </w:r>
      <w:r w:rsidRPr="008516D1">
        <w:t>Unies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w:t>
      </w:r>
      <w:r>
        <w:t xml:space="preserve"> </w:t>
      </w:r>
      <w:r w:rsidRPr="008516D1">
        <w:t>Groupe</w:t>
      </w:r>
      <w:r>
        <w:t xml:space="preserve"> </w:t>
      </w:r>
      <w:r w:rsidRPr="008516D1">
        <w:t>de</w:t>
      </w:r>
      <w:r>
        <w:t xml:space="preserve"> </w:t>
      </w:r>
      <w:r w:rsidRPr="008516D1">
        <w:t>travail</w:t>
      </w:r>
      <w:r>
        <w:t xml:space="preserve"> </w:t>
      </w:r>
      <w:r w:rsidRPr="008516D1">
        <w:t>sur</w:t>
      </w:r>
      <w:r>
        <w:t xml:space="preserve"> </w:t>
      </w:r>
      <w:r w:rsidRPr="008516D1">
        <w:t>la</w:t>
      </w:r>
      <w:r>
        <w:t xml:space="preserve"> </w:t>
      </w:r>
      <w:r w:rsidRPr="008516D1">
        <w:t>santé</w:t>
      </w:r>
      <w:r>
        <w:t xml:space="preserve"> </w:t>
      </w:r>
      <w:r w:rsidRPr="008516D1">
        <w:t>et</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organisé</w:t>
      </w:r>
      <w:r>
        <w:t xml:space="preserve"> </w:t>
      </w:r>
      <w:r w:rsidRPr="008516D1">
        <w:t>la</w:t>
      </w:r>
      <w:r>
        <w:t xml:space="preserve"> </w:t>
      </w:r>
      <w:r w:rsidRPr="008516D1">
        <w:t>Rencontre</w:t>
      </w:r>
      <w:r>
        <w:t xml:space="preserve"> </w:t>
      </w:r>
      <w:r w:rsidRPr="008516D1">
        <w:t>régionale</w:t>
      </w:r>
      <w:r>
        <w:t xml:space="preserve"> </w:t>
      </w:r>
      <w:r w:rsidRPr="008516D1">
        <w:t>sur</w:t>
      </w:r>
      <w:r>
        <w:t xml:space="preserve"> </w:t>
      </w:r>
      <w:r w:rsidRPr="008516D1">
        <w:t>les</w:t>
      </w:r>
      <w:r>
        <w:t xml:space="preserve"> </w:t>
      </w:r>
      <w:r w:rsidRPr="008516D1">
        <w:t>bonnes</w:t>
      </w:r>
      <w:r>
        <w:t xml:space="preserve"> </w:t>
      </w:r>
      <w:r w:rsidRPr="008516D1">
        <w:t>pratiques</w:t>
      </w:r>
      <w:r>
        <w:t xml:space="preserve"> </w:t>
      </w:r>
      <w:r w:rsidRPr="008516D1">
        <w:t>de</w:t>
      </w:r>
      <w:r>
        <w:t xml:space="preserve"> </w:t>
      </w:r>
      <w:r w:rsidRPr="008516D1">
        <w:t>l</w:t>
      </w:r>
      <w:r>
        <w:t>’</w:t>
      </w:r>
      <w:r w:rsidRPr="008516D1">
        <w:t>administration</w:t>
      </w:r>
      <w:r>
        <w:t xml:space="preserve"> </w:t>
      </w:r>
      <w:r w:rsidRPr="008516D1">
        <w:t>pénitentiaire,</w:t>
      </w:r>
      <w:r>
        <w:t xml:space="preserve"> </w:t>
      </w:r>
      <w:r w:rsidRPr="008516D1">
        <w:t>dans</w:t>
      </w:r>
      <w:r>
        <w:t xml:space="preserve"> </w:t>
      </w:r>
      <w:r w:rsidRPr="008516D1">
        <w:t>le</w:t>
      </w:r>
      <w:r>
        <w:t xml:space="preserve"> </w:t>
      </w:r>
      <w:r w:rsidRPr="008516D1">
        <w:t>contexte</w:t>
      </w:r>
      <w:r>
        <w:t xml:space="preserve"> </w:t>
      </w:r>
      <w:r w:rsidRPr="008516D1">
        <w:t>de</w:t>
      </w:r>
      <w:r>
        <w:t xml:space="preserve"> </w:t>
      </w:r>
      <w:r w:rsidRPr="008516D1">
        <w:t>la</w:t>
      </w:r>
      <w:r>
        <w:t xml:space="preserve"> </w:t>
      </w:r>
      <w:r w:rsidRPr="008516D1">
        <w:t>pandémie</w:t>
      </w:r>
      <w:r>
        <w:t xml:space="preserve"> </w:t>
      </w:r>
      <w:r w:rsidRPr="008516D1">
        <w:t>de</w:t>
      </w:r>
      <w:r>
        <w:t xml:space="preserve"> </w:t>
      </w:r>
      <w:r w:rsidRPr="008516D1">
        <w:t>COVID-19,</w:t>
      </w:r>
      <w:r>
        <w:t xml:space="preserve"> </w:t>
      </w:r>
      <w:r w:rsidRPr="008516D1">
        <w:t>à</w:t>
      </w:r>
      <w:r>
        <w:t xml:space="preserve"> </w:t>
      </w:r>
      <w:r w:rsidRPr="008516D1">
        <w:t>laquelle</w:t>
      </w:r>
      <w:r>
        <w:t xml:space="preserve"> </w:t>
      </w:r>
      <w:r w:rsidRPr="008516D1">
        <w:t>ont</w:t>
      </w:r>
      <w:r>
        <w:t xml:space="preserve"> </w:t>
      </w:r>
      <w:r w:rsidRPr="008516D1">
        <w:t>participé</w:t>
      </w:r>
      <w:r>
        <w:t xml:space="preserve"> </w:t>
      </w:r>
      <w:r w:rsidRPr="008516D1">
        <w:t>des</w:t>
      </w:r>
      <w:r>
        <w:t xml:space="preserve"> </w:t>
      </w:r>
      <w:r w:rsidRPr="008516D1">
        <w:t>experts</w:t>
      </w:r>
      <w:r>
        <w:t xml:space="preserve"> </w:t>
      </w:r>
      <w:r w:rsidRPr="008516D1">
        <w:t>venus</w:t>
      </w:r>
      <w:r>
        <w:t xml:space="preserve"> </w:t>
      </w:r>
      <w:r w:rsidRPr="008516D1">
        <w:t>d</w:t>
      </w:r>
      <w:r>
        <w:t>’</w:t>
      </w:r>
      <w:r w:rsidRPr="008516D1">
        <w:t>Argentine,</w:t>
      </w:r>
      <w:r>
        <w:t xml:space="preserve"> </w:t>
      </w:r>
      <w:r w:rsidRPr="008516D1">
        <w:t>de</w:t>
      </w:r>
      <w:r>
        <w:t xml:space="preserve"> </w:t>
      </w:r>
      <w:r w:rsidRPr="008516D1">
        <w:t>Colombie,</w:t>
      </w:r>
      <w:r>
        <w:t xml:space="preserve"> </w:t>
      </w:r>
      <w:r w:rsidRPr="008516D1">
        <w:t>du</w:t>
      </w:r>
      <w:r>
        <w:t xml:space="preserve"> </w:t>
      </w:r>
      <w:r w:rsidRPr="008516D1">
        <w:t>Guatemala,</w:t>
      </w:r>
      <w:r>
        <w:t xml:space="preserve"> </w:t>
      </w:r>
      <w:r w:rsidRPr="008516D1">
        <w:t>du</w:t>
      </w:r>
      <w:r>
        <w:t xml:space="preserve"> </w:t>
      </w:r>
      <w:r w:rsidRPr="008516D1">
        <w:t>Costa</w:t>
      </w:r>
      <w:r>
        <w:t xml:space="preserve"> </w:t>
      </w:r>
      <w:r w:rsidRPr="008516D1">
        <w:t>Rica</w:t>
      </w:r>
      <w:r>
        <w:t xml:space="preserve"> </w:t>
      </w:r>
      <w:r w:rsidRPr="008516D1">
        <w:t>et</w:t>
      </w:r>
      <w:r>
        <w:t xml:space="preserve"> </w:t>
      </w:r>
      <w:r w:rsidRPr="008516D1">
        <w:t>du</w:t>
      </w:r>
      <w:r>
        <w:t xml:space="preserve"> </w:t>
      </w:r>
      <w:r w:rsidRPr="008516D1">
        <w:t>Honduras</w:t>
      </w:r>
      <w:r>
        <w:t xml:space="preserve"> </w:t>
      </w:r>
      <w:r w:rsidRPr="008516D1">
        <w:t>pour</w:t>
      </w:r>
      <w:r>
        <w:t xml:space="preserve"> </w:t>
      </w:r>
      <w:r w:rsidRPr="008516D1">
        <w:t>partager</w:t>
      </w:r>
      <w:r>
        <w:t xml:space="preserve"> </w:t>
      </w:r>
      <w:r w:rsidRPr="008516D1">
        <w:t>leur</w:t>
      </w:r>
      <w:r>
        <w:t xml:space="preserve"> </w:t>
      </w:r>
      <w:r w:rsidRPr="008516D1">
        <w:t>expérience</w:t>
      </w:r>
      <w:r>
        <w:t xml:space="preserve"> </w:t>
      </w:r>
      <w:r w:rsidRPr="008516D1">
        <w:t>et</w:t>
      </w:r>
      <w:r>
        <w:t xml:space="preserve"> </w:t>
      </w:r>
      <w:r w:rsidRPr="008516D1">
        <w:t>les</w:t>
      </w:r>
      <w:r>
        <w:t xml:space="preserve"> </w:t>
      </w:r>
      <w:r w:rsidRPr="008516D1">
        <w:t>bonnes</w:t>
      </w:r>
      <w:r>
        <w:t xml:space="preserve"> </w:t>
      </w:r>
      <w:r w:rsidRPr="008516D1">
        <w:t>pratiques</w:t>
      </w:r>
      <w:r>
        <w:t xml:space="preserve"> </w:t>
      </w:r>
      <w:r w:rsidRPr="008516D1">
        <w:t>mises</w:t>
      </w:r>
      <w:r>
        <w:t xml:space="preserve"> </w:t>
      </w:r>
      <w:r w:rsidRPr="008516D1">
        <w:t>en</w:t>
      </w:r>
      <w:r>
        <w:t xml:space="preserve"> </w:t>
      </w:r>
      <w:r w:rsidRPr="008516D1">
        <w:t>œuvre</w:t>
      </w:r>
      <w:r>
        <w:t xml:space="preserve"> </w:t>
      </w:r>
      <w:r w:rsidRPr="008516D1">
        <w:t>dans</w:t>
      </w:r>
      <w:r>
        <w:t xml:space="preserve"> </w:t>
      </w:r>
      <w:r w:rsidRPr="008516D1">
        <w:t>leurs</w:t>
      </w:r>
      <w:r>
        <w:t xml:space="preserve"> </w:t>
      </w:r>
      <w:r w:rsidRPr="008516D1">
        <w:t>pays</w:t>
      </w:r>
      <w:r>
        <w:t xml:space="preserve"> </w:t>
      </w:r>
      <w:r w:rsidRPr="008516D1">
        <w:t>respectifs.</w:t>
      </w:r>
      <w:r>
        <w:t xml:space="preserve"> </w:t>
      </w:r>
      <w:r w:rsidRPr="008516D1">
        <w:t>De</w:t>
      </w:r>
      <w:r>
        <w:t xml:space="preserve"> </w:t>
      </w:r>
      <w:r w:rsidRPr="008516D1">
        <w:t>même,</w:t>
      </w:r>
      <w:r>
        <w:t xml:space="preserve"> </w:t>
      </w:r>
      <w:r w:rsidRPr="008516D1">
        <w:t>le</w:t>
      </w:r>
      <w:r>
        <w:t xml:space="preserve"> </w:t>
      </w:r>
      <w:r w:rsidRPr="008516D1">
        <w:t>Protocole</w:t>
      </w:r>
      <w:r>
        <w:t xml:space="preserve"> </w:t>
      </w:r>
      <w:r w:rsidRPr="008516D1">
        <w:t>applicable</w:t>
      </w:r>
      <w:r>
        <w:t xml:space="preserve"> </w:t>
      </w:r>
      <w:r w:rsidRPr="008516D1">
        <w:t>aux</w:t>
      </w:r>
      <w:r>
        <w:t xml:space="preserve"> </w:t>
      </w:r>
      <w:r w:rsidRPr="008516D1">
        <w:t>visites</w:t>
      </w:r>
      <w:r>
        <w:t xml:space="preserve"> </w:t>
      </w:r>
      <w:r w:rsidRPr="008516D1">
        <w:t>des</w:t>
      </w:r>
      <w:r>
        <w:t xml:space="preserve"> </w:t>
      </w:r>
      <w:r w:rsidRPr="008516D1">
        <w:t>familles</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a</w:t>
      </w:r>
      <w:r>
        <w:t xml:space="preserve"> </w:t>
      </w:r>
      <w:r w:rsidRPr="008516D1">
        <w:t>été</w:t>
      </w:r>
      <w:r>
        <w:t xml:space="preserve"> </w:t>
      </w:r>
      <w:r w:rsidRPr="008516D1">
        <w:t>approuvé</w:t>
      </w:r>
      <w:r>
        <w:t xml:space="preserve"> </w:t>
      </w:r>
      <w:r w:rsidRPr="008516D1">
        <w:t>par</w:t>
      </w:r>
      <w:r>
        <w:t xml:space="preserve"> </w:t>
      </w:r>
      <w:r w:rsidRPr="008516D1">
        <w:t>le</w:t>
      </w:r>
      <w:r>
        <w:t xml:space="preserve"> </w:t>
      </w:r>
      <w:r w:rsidRPr="008516D1">
        <w:t>Système</w:t>
      </w:r>
      <w:r>
        <w:t xml:space="preserve"> </w:t>
      </w:r>
      <w:r w:rsidRPr="008516D1">
        <w:t>national</w:t>
      </w:r>
      <w:r>
        <w:t xml:space="preserve"> </w:t>
      </w:r>
      <w:r w:rsidRPr="008516D1">
        <w:t>de</w:t>
      </w:r>
      <w:r>
        <w:t xml:space="preserve"> </w:t>
      </w:r>
      <w:r w:rsidRPr="008516D1">
        <w:t>gestion</w:t>
      </w:r>
      <w:r>
        <w:t xml:space="preserve"> </w:t>
      </w:r>
      <w:r w:rsidRPr="008516D1">
        <w:t>des</w:t>
      </w:r>
      <w:r>
        <w:t xml:space="preserve"> </w:t>
      </w:r>
      <w:r w:rsidRPr="008516D1">
        <w:t>risques,</w:t>
      </w:r>
      <w:r>
        <w:t xml:space="preserve"> </w:t>
      </w:r>
      <w:r w:rsidRPr="008516D1">
        <w:t>pour</w:t>
      </w:r>
      <w:r>
        <w:t xml:space="preserve"> </w:t>
      </w:r>
      <w:r w:rsidRPr="008516D1">
        <w:t>être</w:t>
      </w:r>
      <w:r>
        <w:t xml:space="preserve"> </w:t>
      </w:r>
      <w:r w:rsidRPr="008516D1">
        <w:t>mis</w:t>
      </w:r>
      <w:r>
        <w:t xml:space="preserve"> </w:t>
      </w:r>
      <w:r w:rsidRPr="008516D1">
        <w:t>en</w:t>
      </w:r>
      <w:r>
        <w:t xml:space="preserve"> </w:t>
      </w:r>
      <w:r w:rsidRPr="008516D1">
        <w:t>œuvre</w:t>
      </w:r>
      <w:r>
        <w:t xml:space="preserve"> </w:t>
      </w:r>
      <w:r w:rsidRPr="008516D1">
        <w:t>dans</w:t>
      </w:r>
      <w:r>
        <w:t xml:space="preserve"> </w:t>
      </w:r>
      <w:r w:rsidRPr="008516D1">
        <w:t>les</w:t>
      </w:r>
      <w:r>
        <w:t xml:space="preserve"> </w:t>
      </w:r>
      <w:r w:rsidRPr="008516D1">
        <w:t>différents</w:t>
      </w:r>
      <w:r>
        <w:t xml:space="preserve"> </w:t>
      </w:r>
      <w:r w:rsidRPr="008516D1">
        <w:t>établissements</w:t>
      </w:r>
      <w:r>
        <w:t xml:space="preserve"> </w:t>
      </w:r>
      <w:r w:rsidRPr="008516D1">
        <w:t>pénitentiaires</w:t>
      </w:r>
      <w:r>
        <w:t xml:space="preserve"> </w:t>
      </w:r>
      <w:r w:rsidRPr="008516D1">
        <w:t>du</w:t>
      </w:r>
      <w:r>
        <w:t xml:space="preserve"> </w:t>
      </w:r>
      <w:r w:rsidRPr="008516D1">
        <w:t>pays</w:t>
      </w:r>
      <w:r w:rsidRPr="008516D1">
        <w:rPr>
          <w:rStyle w:val="Appelnotedebasdep"/>
        </w:rPr>
        <w:footnoteReference w:id="95"/>
      </w:r>
      <w:r w:rsidRPr="008516D1">
        <w:t>.</w:t>
      </w:r>
    </w:p>
    <w:p w14:paraId="1872CF84" w14:textId="728C56C7" w:rsidR="00286956" w:rsidRPr="008516D1" w:rsidRDefault="00286956" w:rsidP="00286956">
      <w:pPr>
        <w:pStyle w:val="SingleTxtG"/>
      </w:pPr>
      <w:r w:rsidRPr="008516D1">
        <w:t>141.</w:t>
      </w:r>
      <w:r w:rsidRPr="008516D1">
        <w:tab/>
        <w:t>Il</w:t>
      </w:r>
      <w:r>
        <w:t xml:space="preserve"> </w:t>
      </w:r>
      <w:r w:rsidRPr="008516D1">
        <w:t>est</w:t>
      </w:r>
      <w:r>
        <w:t xml:space="preserve"> </w:t>
      </w:r>
      <w:r w:rsidRPr="008516D1">
        <w:t>important</w:t>
      </w:r>
      <w:r>
        <w:t xml:space="preserve"> </w:t>
      </w:r>
      <w:r w:rsidRPr="008516D1">
        <w:t>de</w:t>
      </w:r>
      <w:r>
        <w:t xml:space="preserve"> </w:t>
      </w:r>
      <w:r w:rsidRPr="008516D1">
        <w:t>souligner</w:t>
      </w:r>
      <w:r>
        <w:t xml:space="preserve"> </w:t>
      </w:r>
      <w:r w:rsidRPr="008516D1">
        <w:t>que</w:t>
      </w:r>
      <w:r>
        <w:t xml:space="preserve"> </w:t>
      </w:r>
      <w:r w:rsidRPr="008516D1">
        <w:t>les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constituent</w:t>
      </w:r>
      <w:r>
        <w:t xml:space="preserve"> </w:t>
      </w:r>
      <w:r w:rsidRPr="008516D1">
        <w:t>un</w:t>
      </w:r>
      <w:r>
        <w:t xml:space="preserve"> </w:t>
      </w:r>
      <w:r w:rsidRPr="008516D1">
        <w:t>groupe</w:t>
      </w:r>
      <w:r>
        <w:t xml:space="preserve"> </w:t>
      </w:r>
      <w:r w:rsidRPr="008516D1">
        <w:t>prioritaire</w:t>
      </w:r>
      <w:r>
        <w:t xml:space="preserve"> </w:t>
      </w:r>
      <w:r w:rsidRPr="008516D1">
        <w:t>dans</w:t>
      </w:r>
      <w:r>
        <w:t xml:space="preserve"> </w:t>
      </w:r>
      <w:r w:rsidRPr="008516D1">
        <w:t>le</w:t>
      </w:r>
      <w:r>
        <w:t xml:space="preserve"> </w:t>
      </w:r>
      <w:r w:rsidRPr="008516D1">
        <w:t>programme</w:t>
      </w:r>
      <w:r>
        <w:t xml:space="preserve"> </w:t>
      </w:r>
      <w:r w:rsidRPr="008516D1">
        <w:t>de</w:t>
      </w:r>
      <w:r>
        <w:t xml:space="preserve"> </w:t>
      </w:r>
      <w:r w:rsidRPr="008516D1">
        <w:t>vaccination</w:t>
      </w:r>
      <w:r>
        <w:t xml:space="preserve"> </w:t>
      </w:r>
      <w:r w:rsidRPr="008516D1">
        <w:t>contre</w:t>
      </w:r>
      <w:r>
        <w:t xml:space="preserve"> </w:t>
      </w:r>
      <w:r w:rsidRPr="008516D1">
        <w:t>la</w:t>
      </w:r>
      <w:r>
        <w:t xml:space="preserve"> </w:t>
      </w:r>
      <w:r w:rsidRPr="008516D1">
        <w:t>COVID-19.</w:t>
      </w:r>
      <w:r>
        <w:t xml:space="preserve"> </w:t>
      </w:r>
      <w:r w:rsidRPr="008516D1">
        <w:t>Au</w:t>
      </w:r>
      <w:r>
        <w:t xml:space="preserve"> </w:t>
      </w:r>
      <w:r w:rsidRPr="008516D1">
        <w:t>6</w:t>
      </w:r>
      <w:r w:rsidR="00C240B4">
        <w:t> </w:t>
      </w:r>
      <w:r w:rsidRPr="008516D1">
        <w:t>juillet</w:t>
      </w:r>
      <w:r>
        <w:t xml:space="preserve"> </w:t>
      </w:r>
      <w:r w:rsidRPr="008516D1">
        <w:t>2021,</w:t>
      </w:r>
      <w:r>
        <w:t xml:space="preserve"> </w:t>
      </w:r>
      <w:r w:rsidRPr="008516D1">
        <w:t>1</w:t>
      </w:r>
      <w:r w:rsidR="00C240B4">
        <w:t> </w:t>
      </w:r>
      <w:r w:rsidRPr="008516D1">
        <w:t>582</w:t>
      </w:r>
      <w:r w:rsidR="00C240B4">
        <w:t xml:space="preserve"> </w:t>
      </w:r>
      <w:r w:rsidRPr="008516D1">
        <w:t>détenus</w:t>
      </w:r>
      <w:r>
        <w:t xml:space="preserve"> </w:t>
      </w:r>
      <w:r w:rsidRPr="008516D1">
        <w:t>étaient</w:t>
      </w:r>
      <w:r>
        <w:t xml:space="preserve"> </w:t>
      </w:r>
      <w:r w:rsidRPr="008516D1">
        <w:t>vaccinés,</w:t>
      </w:r>
      <w:r>
        <w:t xml:space="preserve"> </w:t>
      </w:r>
      <w:r w:rsidRPr="008516D1">
        <w:t>ainsi</w:t>
      </w:r>
      <w:r>
        <w:t xml:space="preserve"> </w:t>
      </w:r>
      <w:r w:rsidRPr="008516D1">
        <w:t>que</w:t>
      </w:r>
      <w:r>
        <w:t xml:space="preserve"> </w:t>
      </w:r>
      <w:r w:rsidRPr="008516D1">
        <w:t>157</w:t>
      </w:r>
      <w:r w:rsidR="00C240B4">
        <w:t> </w:t>
      </w:r>
      <w:r w:rsidRPr="008516D1">
        <w:t>membres</w:t>
      </w:r>
      <w:r>
        <w:t xml:space="preserve"> </w:t>
      </w:r>
      <w:r w:rsidRPr="008516D1">
        <w:t>du</w:t>
      </w:r>
      <w:r>
        <w:t xml:space="preserve"> </w:t>
      </w:r>
      <w:r w:rsidRPr="008516D1">
        <w:t>personnel</w:t>
      </w:r>
      <w:r>
        <w:t xml:space="preserve"> </w:t>
      </w:r>
      <w:r w:rsidRPr="008516D1">
        <w:t>de</w:t>
      </w:r>
      <w:r>
        <w:t xml:space="preserve"> </w:t>
      </w:r>
      <w:r w:rsidRPr="008516D1">
        <w:t>santé,</w:t>
      </w:r>
      <w:r>
        <w:t xml:space="preserve"> </w:t>
      </w:r>
      <w:r w:rsidRPr="008516D1">
        <w:t>107</w:t>
      </w:r>
      <w:r w:rsidR="00C240B4">
        <w:t> </w:t>
      </w:r>
      <w:r w:rsidRPr="008516D1">
        <w:t>membres</w:t>
      </w:r>
      <w:r>
        <w:t xml:space="preserve"> </w:t>
      </w:r>
      <w:r w:rsidRPr="008516D1">
        <w:t>du</w:t>
      </w:r>
      <w:r>
        <w:t xml:space="preserve"> </w:t>
      </w:r>
      <w:r w:rsidRPr="008516D1">
        <w:t>personnel</w:t>
      </w:r>
      <w:r>
        <w:t xml:space="preserve"> </w:t>
      </w:r>
      <w:r w:rsidRPr="008516D1">
        <w:t>administratif</w:t>
      </w:r>
      <w:r>
        <w:t xml:space="preserve"> </w:t>
      </w:r>
      <w:r w:rsidRPr="008516D1">
        <w:t>et</w:t>
      </w:r>
      <w:r>
        <w:t xml:space="preserve"> </w:t>
      </w:r>
      <w:r w:rsidRPr="008516D1">
        <w:t>412</w:t>
      </w:r>
      <w:r w:rsidR="00C240B4">
        <w:t> </w:t>
      </w:r>
      <w:r w:rsidRPr="008516D1">
        <w:t>membres</w:t>
      </w:r>
      <w:r>
        <w:t xml:space="preserve"> </w:t>
      </w:r>
      <w:r w:rsidRPr="008516D1">
        <w:t>du</w:t>
      </w:r>
      <w:r>
        <w:t xml:space="preserve"> </w:t>
      </w:r>
      <w:r w:rsidRPr="008516D1">
        <w:t>personnel</w:t>
      </w:r>
      <w:r>
        <w:t xml:space="preserve"> </w:t>
      </w:r>
      <w:r w:rsidRPr="008516D1">
        <w:t>opérationnel</w:t>
      </w:r>
      <w:r>
        <w:t xml:space="preserve"> </w:t>
      </w:r>
      <w:r w:rsidRPr="008516D1">
        <w:t>dans</w:t>
      </w:r>
      <w:r>
        <w:t xml:space="preserve"> </w:t>
      </w:r>
      <w:r w:rsidRPr="008516D1">
        <w:t>les</w:t>
      </w:r>
      <w:r>
        <w:t xml:space="preserve"> </w:t>
      </w:r>
      <w:r w:rsidRPr="008516D1">
        <w:t>établissements</w:t>
      </w:r>
      <w:r>
        <w:t xml:space="preserve"> </w:t>
      </w:r>
      <w:r w:rsidRPr="008516D1">
        <w:t>pénitentiaires</w:t>
      </w:r>
      <w:r>
        <w:t xml:space="preserve"> </w:t>
      </w:r>
      <w:r w:rsidRPr="008516D1">
        <w:t>du</w:t>
      </w:r>
      <w:r>
        <w:t xml:space="preserve"> </w:t>
      </w:r>
      <w:r w:rsidRPr="008516D1">
        <w:t>pays.</w:t>
      </w:r>
      <w:r>
        <w:t xml:space="preserve"> </w:t>
      </w:r>
      <w:r w:rsidRPr="008516D1">
        <w:t>Il</w:t>
      </w:r>
      <w:r>
        <w:t xml:space="preserve"> </w:t>
      </w:r>
      <w:r w:rsidRPr="008516D1">
        <w:t>convient</w:t>
      </w:r>
      <w:r>
        <w:t xml:space="preserve"> </w:t>
      </w:r>
      <w:r w:rsidRPr="008516D1">
        <w:t>de</w:t>
      </w:r>
      <w:r>
        <w:t xml:space="preserve"> </w:t>
      </w:r>
      <w:r w:rsidRPr="008516D1">
        <w:t>noter</w:t>
      </w:r>
      <w:r>
        <w:t xml:space="preserve"> </w:t>
      </w:r>
      <w:r w:rsidRPr="008516D1">
        <w:t>que</w:t>
      </w:r>
      <w:r>
        <w:t xml:space="preserve"> </w:t>
      </w:r>
      <w:r w:rsidRPr="008516D1">
        <w:t>le</w:t>
      </w:r>
      <w:r>
        <w:t xml:space="preserve"> </w:t>
      </w:r>
      <w:r w:rsidRPr="008516D1">
        <w:t>8</w:t>
      </w:r>
      <w:r w:rsidR="00C240B4">
        <w:t> </w:t>
      </w:r>
      <w:r w:rsidRPr="008516D1">
        <w:t>juillet,</w:t>
      </w:r>
      <w:r>
        <w:t xml:space="preserve"> </w:t>
      </w:r>
      <w:r w:rsidRPr="008516D1">
        <w:t>286</w:t>
      </w:r>
      <w:r w:rsidR="00C240B4">
        <w:t> </w:t>
      </w:r>
      <w:r w:rsidRPr="008516D1">
        <w:t>détenus</w:t>
      </w:r>
      <w:r>
        <w:t xml:space="preserve"> </w:t>
      </w:r>
      <w:r w:rsidRPr="008516D1">
        <w:t>ont</w:t>
      </w:r>
      <w:r>
        <w:t xml:space="preserve"> </w:t>
      </w:r>
      <w:r w:rsidRPr="008516D1">
        <w:t>reçu</w:t>
      </w:r>
      <w:r>
        <w:t xml:space="preserve"> </w:t>
      </w:r>
      <w:r w:rsidRPr="008516D1">
        <w:t>la</w:t>
      </w:r>
      <w:r>
        <w:t xml:space="preserve"> </w:t>
      </w:r>
      <w:r w:rsidRPr="008516D1">
        <w:t>première</w:t>
      </w:r>
      <w:r>
        <w:t xml:space="preserve"> </w:t>
      </w:r>
      <w:r w:rsidRPr="008516D1">
        <w:t>dose</w:t>
      </w:r>
      <w:r>
        <w:t xml:space="preserve"> </w:t>
      </w:r>
      <w:r w:rsidRPr="008516D1">
        <w:t>du</w:t>
      </w:r>
      <w:r>
        <w:t xml:space="preserve"> </w:t>
      </w:r>
      <w:r w:rsidRPr="008516D1">
        <w:t>vaccin</w:t>
      </w:r>
      <w:r>
        <w:t xml:space="preserve"> </w:t>
      </w:r>
      <w:r w:rsidRPr="008516D1">
        <w:t>Moderna</w:t>
      </w:r>
      <w:r>
        <w:t xml:space="preserve"> </w:t>
      </w:r>
      <w:r w:rsidRPr="008516D1">
        <w:t>dans</w:t>
      </w:r>
      <w:r>
        <w:t xml:space="preserve"> </w:t>
      </w:r>
      <w:r w:rsidRPr="008516D1">
        <w:t>l</w:t>
      </w:r>
      <w:r>
        <w:t>’</w:t>
      </w:r>
      <w:r w:rsidRPr="008516D1">
        <w:t>établissement</w:t>
      </w:r>
      <w:r>
        <w:t xml:space="preserve"> </w:t>
      </w:r>
      <w:r w:rsidRPr="008516D1">
        <w:t>pénitentiaire</w:t>
      </w:r>
      <w:r>
        <w:t xml:space="preserve"> </w:t>
      </w:r>
      <w:r w:rsidRPr="008516D1">
        <w:t>de</w:t>
      </w:r>
      <w:r>
        <w:t xml:space="preserve"> </w:t>
      </w:r>
      <w:r w:rsidRPr="008516D1">
        <w:t>La</w:t>
      </w:r>
      <w:r>
        <w:t xml:space="preserve"> </w:t>
      </w:r>
      <w:r w:rsidRPr="008516D1">
        <w:t>Paz.</w:t>
      </w:r>
    </w:p>
    <w:p w14:paraId="078FBFD1" w14:textId="3C0B9165" w:rsidR="00286956" w:rsidRPr="008516D1" w:rsidRDefault="00286956" w:rsidP="00286956">
      <w:pPr>
        <w:pStyle w:val="SingleTxtG"/>
      </w:pPr>
      <w:r w:rsidRPr="008516D1">
        <w:t>142.</w:t>
      </w:r>
      <w:r w:rsidRPr="008516D1">
        <w:tab/>
        <w:t>En</w:t>
      </w:r>
      <w:r>
        <w:t xml:space="preserve"> </w:t>
      </w:r>
      <w:r w:rsidRPr="008516D1">
        <w:t>ce</w:t>
      </w:r>
      <w:r>
        <w:t xml:space="preserve"> </w:t>
      </w:r>
      <w:r w:rsidRPr="008516D1">
        <w:t>qui</w:t>
      </w:r>
      <w:r>
        <w:t xml:space="preserve"> </w:t>
      </w:r>
      <w:r w:rsidRPr="008516D1">
        <w:t>concerne</w:t>
      </w:r>
      <w:r>
        <w:t xml:space="preserve"> </w:t>
      </w:r>
      <w:r w:rsidRPr="008516D1">
        <w:t>les</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17</w:t>
      </w:r>
      <w:r w:rsidR="00A74554">
        <w:t> f)</w:t>
      </w:r>
      <w:r>
        <w:t xml:space="preserve"> </w:t>
      </w:r>
      <w:r w:rsidRPr="008516D1">
        <w:t>de</w:t>
      </w:r>
      <w:r>
        <w:t xml:space="preserve"> </w:t>
      </w:r>
      <w:r w:rsidRPr="008516D1">
        <w:t>la</w:t>
      </w:r>
      <w:r>
        <w:t xml:space="preserve"> </w:t>
      </w:r>
      <w:r w:rsidRPr="008516D1">
        <w:t>Convention</w:t>
      </w:r>
      <w:r>
        <w:t xml:space="preserve"> </w:t>
      </w:r>
      <w:r w:rsidRPr="008516D1">
        <w:t>sur</w:t>
      </w:r>
      <w:r>
        <w:t xml:space="preserve"> </w:t>
      </w:r>
      <w:r w:rsidRPr="008516D1">
        <w:t>les</w:t>
      </w:r>
      <w:r>
        <w:t xml:space="preserve"> </w:t>
      </w:r>
      <w:r w:rsidRPr="008516D1">
        <w:t>recours</w:t>
      </w:r>
      <w:r>
        <w:t xml:space="preserve"> </w:t>
      </w:r>
      <w:r w:rsidRPr="008516D1">
        <w:t>et</w:t>
      </w:r>
      <w:r>
        <w:t xml:space="preserve"> </w:t>
      </w:r>
      <w:r w:rsidRPr="008516D1">
        <w:t>garanties</w:t>
      </w:r>
      <w:r>
        <w:t xml:space="preserve"> </w:t>
      </w:r>
      <w:r w:rsidRPr="008516D1">
        <w:t>dont</w:t>
      </w:r>
      <w:r>
        <w:t xml:space="preserve"> </w:t>
      </w:r>
      <w:r w:rsidRPr="008516D1">
        <w:t>dispose</w:t>
      </w:r>
      <w:r>
        <w:t xml:space="preserve"> </w:t>
      </w:r>
      <w:r w:rsidRPr="008516D1">
        <w:t>toute</w:t>
      </w:r>
      <w:r>
        <w:t xml:space="preserve"> </w:t>
      </w:r>
      <w:r w:rsidRPr="008516D1">
        <w:t>personne</w:t>
      </w:r>
      <w:r>
        <w:t xml:space="preserve"> </w:t>
      </w:r>
      <w:r w:rsidRPr="008516D1">
        <w:t>ayant</w:t>
      </w:r>
      <w:r>
        <w:t xml:space="preserve"> </w:t>
      </w:r>
      <w:r w:rsidRPr="008516D1">
        <w:t>un</w:t>
      </w:r>
      <w:r>
        <w:t xml:space="preserve"> </w:t>
      </w:r>
      <w:r w:rsidRPr="008516D1">
        <w:t>intérêt</w:t>
      </w:r>
      <w:r>
        <w:t xml:space="preserve"> </w:t>
      </w:r>
      <w:r w:rsidRPr="008516D1">
        <w:t>légitime</w:t>
      </w:r>
      <w:r>
        <w:t xml:space="preserve"> </w:t>
      </w:r>
      <w:r w:rsidRPr="008516D1">
        <w:t>pour</w:t>
      </w:r>
      <w:r>
        <w:t xml:space="preserve"> </w:t>
      </w:r>
      <w:r w:rsidRPr="008516D1">
        <w:t>introduire</w:t>
      </w:r>
      <w:r>
        <w:t xml:space="preserve"> </w:t>
      </w:r>
      <w:r w:rsidRPr="008516D1">
        <w:t>un</w:t>
      </w:r>
      <w:r>
        <w:t xml:space="preserve"> </w:t>
      </w:r>
      <w:r w:rsidRPr="008516D1">
        <w:t>recours</w:t>
      </w:r>
      <w:r>
        <w:t xml:space="preserve"> </w:t>
      </w:r>
      <w:r w:rsidRPr="008516D1">
        <w:t>devant</w:t>
      </w:r>
      <w:r>
        <w:t xml:space="preserve"> </w:t>
      </w:r>
      <w:r w:rsidRPr="008516D1">
        <w:t>un</w:t>
      </w:r>
      <w:r>
        <w:t xml:space="preserve"> </w:t>
      </w:r>
      <w:r w:rsidRPr="008516D1">
        <w:t>tribunal</w:t>
      </w:r>
      <w:r>
        <w:t xml:space="preserve"> </w:t>
      </w:r>
      <w:r w:rsidRPr="008516D1">
        <w:t>afin</w:t>
      </w:r>
      <w:r>
        <w:t xml:space="preserve"> </w:t>
      </w:r>
      <w:r w:rsidRPr="008516D1">
        <w:t>que</w:t>
      </w:r>
      <w:r>
        <w:t xml:space="preserve"> </w:t>
      </w:r>
      <w:r w:rsidRPr="008516D1">
        <w:t>celui-ci</w:t>
      </w:r>
      <w:r>
        <w:t xml:space="preserve"> </w:t>
      </w:r>
      <w:r w:rsidRPr="008516D1">
        <w:t>statue</w:t>
      </w:r>
      <w:r>
        <w:t xml:space="preserve"> </w:t>
      </w:r>
      <w:r w:rsidRPr="008516D1">
        <w:t>sur</w:t>
      </w:r>
      <w:r>
        <w:t xml:space="preserve"> </w:t>
      </w:r>
      <w:r w:rsidRPr="008516D1">
        <w:t>la</w:t>
      </w:r>
      <w:r>
        <w:t xml:space="preserve"> </w:t>
      </w:r>
      <w:r w:rsidRPr="008516D1">
        <w:t>légalité</w:t>
      </w:r>
      <w:r>
        <w:t xml:space="preserve"> </w:t>
      </w:r>
      <w:r w:rsidRPr="008516D1">
        <w:t>de</w:t>
      </w:r>
      <w:r>
        <w:t xml:space="preserve"> </w:t>
      </w:r>
      <w:r w:rsidRPr="008516D1">
        <w:t>la</w:t>
      </w:r>
      <w:r>
        <w:t xml:space="preserve"> </w:t>
      </w:r>
      <w:r w:rsidRPr="008516D1">
        <w:t>privation</w:t>
      </w:r>
      <w:r>
        <w:t xml:space="preserve"> </w:t>
      </w:r>
      <w:r w:rsidRPr="008516D1">
        <w:t>de</w:t>
      </w:r>
      <w:r>
        <w:t xml:space="preserve"> </w:t>
      </w:r>
      <w:r w:rsidRPr="008516D1">
        <w:t>liberté,</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informations</w:t>
      </w:r>
      <w:r>
        <w:t xml:space="preserve"> </w:t>
      </w:r>
      <w:r w:rsidRPr="008516D1">
        <w:t>sur</w:t>
      </w:r>
      <w:r>
        <w:t xml:space="preserve"> </w:t>
      </w:r>
      <w:r w:rsidRPr="008516D1">
        <w:t>l</w:t>
      </w:r>
      <w:r>
        <w:t>’</w:t>
      </w:r>
      <w:r w:rsidRPr="008516D1">
        <w:rPr>
          <w:i/>
          <w:iCs/>
        </w:rPr>
        <w:t>habeas</w:t>
      </w:r>
      <w:r>
        <w:rPr>
          <w:i/>
          <w:iCs/>
        </w:rPr>
        <w:t xml:space="preserve"> </w:t>
      </w:r>
      <w:r w:rsidRPr="008516D1">
        <w:rPr>
          <w:i/>
          <w:iCs/>
        </w:rPr>
        <w:t>corpus</w:t>
      </w:r>
      <w:r>
        <w:t xml:space="preserve"> </w:t>
      </w:r>
      <w:r w:rsidRPr="008516D1">
        <w:t>et</w:t>
      </w:r>
      <w:r>
        <w:t xml:space="preserve"> </w:t>
      </w:r>
      <w:r w:rsidRPr="008516D1">
        <w:t>l</w:t>
      </w:r>
      <w:r>
        <w:t>’</w:t>
      </w:r>
      <w:r w:rsidRPr="008516D1">
        <w:t>appel</w:t>
      </w:r>
      <w:r>
        <w:t xml:space="preserve"> </w:t>
      </w:r>
      <w:r w:rsidRPr="008516D1">
        <w:t>des</w:t>
      </w:r>
      <w:r>
        <w:t xml:space="preserve"> </w:t>
      </w:r>
      <w:r w:rsidRPr="008516D1">
        <w:t>décisions</w:t>
      </w:r>
      <w:r>
        <w:t xml:space="preserve"> </w:t>
      </w:r>
      <w:r w:rsidRPr="008516D1">
        <w:t>de</w:t>
      </w:r>
      <w:r>
        <w:t xml:space="preserve"> </w:t>
      </w:r>
      <w:r w:rsidRPr="008516D1">
        <w:t>détention</w:t>
      </w:r>
      <w:r>
        <w:t xml:space="preserve"> </w:t>
      </w:r>
      <w:r w:rsidRPr="008516D1">
        <w:t>provisoire</w:t>
      </w:r>
      <w:r>
        <w:t xml:space="preserve"> </w:t>
      </w:r>
      <w:r w:rsidRPr="008516D1">
        <w:t>fournies</w:t>
      </w:r>
      <w:r>
        <w:t xml:space="preserve"> </w:t>
      </w:r>
      <w:r w:rsidRPr="008516D1">
        <w:t>dans</w:t>
      </w:r>
      <w:r>
        <w:t xml:space="preserve"> </w:t>
      </w:r>
      <w:r w:rsidRPr="008516D1">
        <w:t>le</w:t>
      </w:r>
      <w:r>
        <w:t xml:space="preserve"> </w:t>
      </w:r>
      <w:r w:rsidRPr="008516D1">
        <w:t>rapport</w:t>
      </w:r>
      <w:r>
        <w:t xml:space="preserve"> </w:t>
      </w:r>
      <w:r w:rsidRPr="008516D1">
        <w:t>initial</w:t>
      </w:r>
      <w:r>
        <w:t xml:space="preserve"> </w:t>
      </w:r>
      <w:r w:rsidRPr="008516D1">
        <w:t>soumis</w:t>
      </w:r>
      <w:r>
        <w:t xml:space="preserve"> </w:t>
      </w:r>
      <w:r w:rsidRPr="008516D1">
        <w:t>par</w:t>
      </w:r>
      <w:r>
        <w:t xml:space="preserve"> </w:t>
      </w:r>
      <w:r w:rsidRPr="008516D1">
        <w:t>le</w:t>
      </w:r>
      <w:r>
        <w:t xml:space="preserve"> </w:t>
      </w:r>
      <w:r w:rsidRPr="008516D1">
        <w:t>Honduras</w:t>
      </w:r>
      <w:r>
        <w:t xml:space="preserve"> </w:t>
      </w:r>
      <w:r w:rsidRPr="008516D1">
        <w:t>en</w:t>
      </w:r>
      <w:r>
        <w:t xml:space="preserve"> </w:t>
      </w:r>
      <w:r w:rsidRPr="008516D1">
        <w:t>2016.</w:t>
      </w:r>
    </w:p>
    <w:p w14:paraId="30BE65A1" w14:textId="080C668B" w:rsidR="00286956" w:rsidRPr="008516D1" w:rsidRDefault="00286956" w:rsidP="00286956">
      <w:pPr>
        <w:pStyle w:val="SingleTxtG"/>
      </w:pPr>
      <w:r w:rsidRPr="008516D1">
        <w:t>143.</w:t>
      </w:r>
      <w:r w:rsidRPr="008516D1">
        <w:tab/>
        <w:t>En</w:t>
      </w:r>
      <w:r>
        <w:t xml:space="preserve"> </w:t>
      </w:r>
      <w:r w:rsidRPr="008516D1">
        <w:t>application</w:t>
      </w:r>
      <w:r>
        <w:t xml:space="preserve"> </w:t>
      </w:r>
      <w:r w:rsidRPr="008516D1">
        <w:t>de</w:t>
      </w:r>
      <w:r>
        <w:t xml:space="preserve"> </w:t>
      </w:r>
      <w:r w:rsidRPr="008516D1">
        <w:t>l</w:t>
      </w:r>
      <w:r>
        <w:t>’</w:t>
      </w:r>
      <w:r w:rsidRPr="008516D1">
        <w:t>article</w:t>
      </w:r>
      <w:r>
        <w:t xml:space="preserve"> </w:t>
      </w:r>
      <w:r w:rsidRPr="008516D1">
        <w:t>17</w:t>
      </w:r>
      <w:r w:rsidR="00C240B4">
        <w:t> </w:t>
      </w:r>
      <w:r w:rsidRPr="008516D1">
        <w:t>3)</w:t>
      </w:r>
      <w:r>
        <w:t xml:space="preserve"> </w:t>
      </w:r>
      <w:r w:rsidRPr="008516D1">
        <w:t>de</w:t>
      </w:r>
      <w:r>
        <w:t xml:space="preserve"> </w:t>
      </w:r>
      <w:r w:rsidRPr="008516D1">
        <w:t>la</w:t>
      </w:r>
      <w:r>
        <w:t xml:space="preserve"> </w:t>
      </w:r>
      <w:r w:rsidRPr="008516D1">
        <w:t>Convention,</w:t>
      </w:r>
      <w:r>
        <w:t xml:space="preserve"> </w:t>
      </w:r>
      <w:r w:rsidRPr="008516D1">
        <w:t>le</w:t>
      </w:r>
      <w:r>
        <w:t xml:space="preserve"> </w:t>
      </w:r>
      <w:r w:rsidRPr="008516D1">
        <w:t>règlement</w:t>
      </w:r>
      <w:r>
        <w:t xml:space="preserve"> </w:t>
      </w:r>
      <w:r w:rsidRPr="008516D1">
        <w:t>d</w:t>
      </w:r>
      <w:r>
        <w:t>’</w:t>
      </w:r>
      <w:r w:rsidRPr="008516D1">
        <w:t>application</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au</w:t>
      </w:r>
      <w:r>
        <w:t xml:space="preserve"> </w:t>
      </w:r>
      <w:r w:rsidRPr="008516D1">
        <w:t>système</w:t>
      </w:r>
      <w:r>
        <w:t xml:space="preserve"> </w:t>
      </w:r>
      <w:r w:rsidRPr="008516D1">
        <w:t>pénitentiaire</w:t>
      </w:r>
      <w:r>
        <w:t xml:space="preserve"> </w:t>
      </w:r>
      <w:r w:rsidRPr="008516D1">
        <w:t>dispose</w:t>
      </w:r>
      <w:r>
        <w:t xml:space="preserve"> </w:t>
      </w:r>
      <w:r w:rsidRPr="008516D1">
        <w:t>(</w:t>
      </w:r>
      <w:r w:rsidR="003A61DD">
        <w:t>art. </w:t>
      </w:r>
      <w:r w:rsidRPr="008516D1">
        <w:t>324)</w:t>
      </w:r>
      <w:r>
        <w:t xml:space="preserve"> </w:t>
      </w:r>
      <w:r w:rsidRPr="008516D1">
        <w:t>que</w:t>
      </w:r>
      <w:r>
        <w:t xml:space="preserve"> </w:t>
      </w:r>
      <w:r w:rsidRPr="008516D1">
        <w:t>les</w:t>
      </w:r>
      <w:r>
        <w:t xml:space="preserve"> </w:t>
      </w:r>
      <w:r w:rsidRPr="008516D1">
        <w:t>fonctionnaires</w:t>
      </w:r>
      <w:r>
        <w:t xml:space="preserve"> </w:t>
      </w:r>
      <w:r w:rsidRPr="008516D1">
        <w:t>responsables</w:t>
      </w:r>
      <w:r>
        <w:t xml:space="preserve"> </w:t>
      </w:r>
      <w:r w:rsidRPr="008516D1">
        <w:t>des</w:t>
      </w:r>
      <w:r>
        <w:t xml:space="preserve"> </w:t>
      </w:r>
      <w:r w:rsidRPr="008516D1">
        <w:t>dossiers,</w:t>
      </w:r>
      <w:r>
        <w:t xml:space="preserve"> </w:t>
      </w:r>
      <w:r w:rsidRPr="008516D1">
        <w:t>des</w:t>
      </w:r>
      <w:r>
        <w:t xml:space="preserve"> </w:t>
      </w:r>
      <w:r w:rsidRPr="008516D1">
        <w:t>registres</w:t>
      </w:r>
      <w:r>
        <w:t xml:space="preserve"> </w:t>
      </w:r>
      <w:r w:rsidRPr="008516D1">
        <w:t>et</w:t>
      </w:r>
      <w:r>
        <w:t xml:space="preserve"> </w:t>
      </w:r>
      <w:r w:rsidRPr="008516D1">
        <w:t>des</w:t>
      </w:r>
      <w:r>
        <w:t xml:space="preserve"> </w:t>
      </w:r>
      <w:r w:rsidRPr="008516D1">
        <w:t>fichiers</w:t>
      </w:r>
      <w:r>
        <w:t xml:space="preserve"> </w:t>
      </w:r>
      <w:r w:rsidRPr="008516D1">
        <w:t>pénitentiaires</w:t>
      </w:r>
      <w:r>
        <w:t xml:space="preserve"> </w:t>
      </w:r>
      <w:r w:rsidRPr="008516D1">
        <w:t>sont</w:t>
      </w:r>
      <w:r>
        <w:t xml:space="preserve"> </w:t>
      </w:r>
      <w:r w:rsidRPr="008516D1">
        <w:t>tenus</w:t>
      </w:r>
      <w:r>
        <w:t xml:space="preserve"> </w:t>
      </w:r>
      <w:r w:rsidRPr="008516D1">
        <w:t>de</w:t>
      </w:r>
      <w:r>
        <w:t xml:space="preserve"> </w:t>
      </w:r>
      <w:r w:rsidRPr="008516D1">
        <w:t>garantir</w:t>
      </w:r>
      <w:r>
        <w:t xml:space="preserve"> </w:t>
      </w:r>
      <w:r w:rsidRPr="008516D1">
        <w:t>la</w:t>
      </w:r>
      <w:r>
        <w:t xml:space="preserve"> </w:t>
      </w:r>
      <w:r w:rsidRPr="008516D1">
        <w:t>sécurité</w:t>
      </w:r>
      <w:r>
        <w:t xml:space="preserve"> </w:t>
      </w:r>
      <w:r w:rsidRPr="008516D1">
        <w:t>des</w:t>
      </w:r>
      <w:r>
        <w:t xml:space="preserve"> </w:t>
      </w:r>
      <w:r w:rsidRPr="008516D1">
        <w:t>données</w:t>
      </w:r>
      <w:r>
        <w:t xml:space="preserve"> </w:t>
      </w:r>
      <w:r w:rsidRPr="008516D1">
        <w:t>et</w:t>
      </w:r>
      <w:r>
        <w:t xml:space="preserve"> </w:t>
      </w:r>
      <w:r w:rsidRPr="008516D1">
        <w:t>des</w:t>
      </w:r>
      <w:r>
        <w:t xml:space="preserve"> </w:t>
      </w:r>
      <w:r w:rsidRPr="008516D1">
        <w:t>informations</w:t>
      </w:r>
      <w:r>
        <w:t xml:space="preserve"> </w:t>
      </w:r>
      <w:r w:rsidRPr="008516D1">
        <w:t>qu</w:t>
      </w:r>
      <w:r>
        <w:t>’</w:t>
      </w:r>
      <w:r w:rsidRPr="008516D1">
        <w:t>ils</w:t>
      </w:r>
      <w:r>
        <w:t xml:space="preserve"> </w:t>
      </w:r>
      <w:r w:rsidRPr="008516D1">
        <w:t>contiennent,</w:t>
      </w:r>
      <w:r>
        <w:t xml:space="preserve"> </w:t>
      </w:r>
      <w:r w:rsidRPr="008516D1">
        <w:t>afin</w:t>
      </w:r>
      <w:r>
        <w:t xml:space="preserve"> </w:t>
      </w:r>
      <w:r w:rsidRPr="008516D1">
        <w:t>d</w:t>
      </w:r>
      <w:r>
        <w:t>’</w:t>
      </w:r>
      <w:r w:rsidRPr="008516D1">
        <w:t>assurer</w:t>
      </w:r>
      <w:r>
        <w:t xml:space="preserve"> </w:t>
      </w:r>
      <w:r w:rsidRPr="008516D1">
        <w:t>la</w:t>
      </w:r>
      <w:r>
        <w:t xml:space="preserve"> </w:t>
      </w:r>
      <w:r w:rsidRPr="008516D1">
        <w:t>confidentialité</w:t>
      </w:r>
      <w:r>
        <w:t xml:space="preserve"> </w:t>
      </w:r>
      <w:r w:rsidRPr="008516D1">
        <w:t>nécessaire,</w:t>
      </w:r>
      <w:r>
        <w:t xml:space="preserve"> </w:t>
      </w:r>
      <w:r w:rsidRPr="008516D1">
        <w:t>même</w:t>
      </w:r>
      <w:r>
        <w:t xml:space="preserve"> </w:t>
      </w:r>
      <w:r w:rsidRPr="008516D1">
        <w:t>après</w:t>
      </w:r>
      <w:r>
        <w:t xml:space="preserve"> </w:t>
      </w:r>
      <w:r w:rsidRPr="008516D1">
        <w:t>que</w:t>
      </w:r>
      <w:r>
        <w:t xml:space="preserve"> </w:t>
      </w:r>
      <w:r w:rsidRPr="008516D1">
        <w:t>la</w:t>
      </w:r>
      <w:r>
        <w:t xml:space="preserve"> </w:t>
      </w:r>
      <w:r w:rsidRPr="008516D1">
        <w:t>personne</w:t>
      </w:r>
      <w:r>
        <w:t xml:space="preserve"> </w:t>
      </w:r>
      <w:r w:rsidRPr="008516D1">
        <w:t>privée</w:t>
      </w:r>
      <w:r>
        <w:t xml:space="preserve"> </w:t>
      </w:r>
      <w:r w:rsidRPr="008516D1">
        <w:t>de</w:t>
      </w:r>
      <w:r>
        <w:t xml:space="preserve"> </w:t>
      </w:r>
      <w:r w:rsidRPr="008516D1">
        <w:t>liberté</w:t>
      </w:r>
      <w:r>
        <w:t xml:space="preserve"> </w:t>
      </w:r>
      <w:r w:rsidRPr="008516D1">
        <w:t>a</w:t>
      </w:r>
      <w:r>
        <w:t xml:space="preserve"> </w:t>
      </w:r>
      <w:r w:rsidRPr="008516D1">
        <w:t>exécuté</w:t>
      </w:r>
      <w:r>
        <w:t xml:space="preserve"> </w:t>
      </w:r>
      <w:r w:rsidRPr="008516D1">
        <w:t>sa</w:t>
      </w:r>
      <w:r>
        <w:t xml:space="preserve"> </w:t>
      </w:r>
      <w:r w:rsidRPr="008516D1">
        <w:t>peine.</w:t>
      </w:r>
    </w:p>
    <w:p w14:paraId="134DADE1" w14:textId="35712A98" w:rsidR="00286956" w:rsidRPr="008516D1" w:rsidRDefault="00286956" w:rsidP="00286956">
      <w:pPr>
        <w:pStyle w:val="SingleTxtG"/>
      </w:pPr>
      <w:r w:rsidRPr="008516D1">
        <w:t>144.</w:t>
      </w:r>
      <w:r w:rsidRPr="008516D1">
        <w:tab/>
        <w:t>Concernant</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33</w:t>
      </w:r>
      <w:r w:rsidR="00A74554">
        <w:t> a)</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w:t>
      </w:r>
      <w:r>
        <w:t>’</w:t>
      </w:r>
      <w:r w:rsidRPr="008516D1">
        <w:t>adoption</w:t>
      </w:r>
      <w:r>
        <w:t xml:space="preserve"> </w:t>
      </w:r>
      <w:r w:rsidRPr="008516D1">
        <w:t>des</w:t>
      </w:r>
      <w:r>
        <w:t xml:space="preserve"> </w:t>
      </w:r>
      <w:r w:rsidRPr="008516D1">
        <w:t>mesures</w:t>
      </w:r>
      <w:r>
        <w:t xml:space="preserve"> </w:t>
      </w:r>
      <w:r w:rsidRPr="008516D1">
        <w:t>nécessaires</w:t>
      </w:r>
      <w:r>
        <w:t xml:space="preserve"> </w:t>
      </w:r>
      <w:r w:rsidRPr="008516D1">
        <w:t>pour</w:t>
      </w:r>
      <w:r>
        <w:t xml:space="preserve"> </w:t>
      </w:r>
      <w:r w:rsidRPr="008516D1">
        <w:t>que</w:t>
      </w:r>
      <w:r>
        <w:t xml:space="preserve"> </w:t>
      </w:r>
      <w:r w:rsidRPr="008516D1">
        <w:t>quiconque</w:t>
      </w:r>
      <w:r>
        <w:t xml:space="preserve"> </w:t>
      </w:r>
      <w:r w:rsidRPr="008516D1">
        <w:t>ayant</w:t>
      </w:r>
      <w:r>
        <w:t xml:space="preserve"> </w:t>
      </w:r>
      <w:r w:rsidRPr="008516D1">
        <w:t>un</w:t>
      </w:r>
      <w:r>
        <w:t xml:space="preserve"> </w:t>
      </w:r>
      <w:r w:rsidRPr="008516D1">
        <w:t>intérêt</w:t>
      </w:r>
      <w:r>
        <w:t xml:space="preserve"> </w:t>
      </w:r>
      <w:r w:rsidRPr="008516D1">
        <w:t>légitime</w:t>
      </w:r>
      <w:r>
        <w:t xml:space="preserve"> </w:t>
      </w:r>
      <w:r w:rsidRPr="008516D1">
        <w:t>puisse</w:t>
      </w:r>
      <w:r>
        <w:t xml:space="preserve"> </w:t>
      </w:r>
      <w:r w:rsidRPr="008516D1">
        <w:t>avoir</w:t>
      </w:r>
      <w:r>
        <w:t xml:space="preserve"> </w:t>
      </w:r>
      <w:r w:rsidRPr="008516D1">
        <w:t>accès</w:t>
      </w:r>
      <w:r>
        <w:t xml:space="preserve"> </w:t>
      </w:r>
      <w:r w:rsidRPr="008516D1">
        <w:t>aux</w:t>
      </w:r>
      <w:r>
        <w:t xml:space="preserve"> </w:t>
      </w:r>
      <w:r w:rsidRPr="008516D1">
        <w:t>informations</w:t>
      </w:r>
      <w:r>
        <w:t xml:space="preserve"> </w:t>
      </w:r>
      <w:r w:rsidRPr="008516D1">
        <w:t>visées</w:t>
      </w:r>
      <w:r>
        <w:t xml:space="preserve"> </w:t>
      </w:r>
      <w:r w:rsidRPr="008516D1">
        <w:t>à</w:t>
      </w:r>
      <w:r>
        <w:t xml:space="preserve"> </w:t>
      </w:r>
      <w:r w:rsidRPr="008516D1">
        <w:t>l</w:t>
      </w:r>
      <w:r>
        <w:t>’</w:t>
      </w:r>
      <w:r w:rsidRPr="008516D1">
        <w:t>article</w:t>
      </w:r>
      <w:r>
        <w:t xml:space="preserve"> </w:t>
      </w:r>
      <w:r w:rsidRPr="008516D1">
        <w:t>18</w:t>
      </w:r>
      <w:r>
        <w:t xml:space="preserve"> </w:t>
      </w:r>
      <w:r w:rsidRPr="008516D1">
        <w:t>de</w:t>
      </w:r>
      <w:r>
        <w:t xml:space="preserve"> </w:t>
      </w:r>
      <w:r w:rsidRPr="008516D1">
        <w:t>la</w:t>
      </w:r>
      <w:r>
        <w:t xml:space="preserve"> </w:t>
      </w:r>
      <w:r w:rsidRPr="008516D1">
        <w:t>Convention,</w:t>
      </w:r>
      <w:r>
        <w:t xml:space="preserve"> </w:t>
      </w:r>
      <w:r w:rsidRPr="008516D1">
        <w:t>y</w:t>
      </w:r>
      <w:r>
        <w:t xml:space="preserve"> </w:t>
      </w:r>
      <w:r w:rsidRPr="008516D1">
        <w:t>compris</w:t>
      </w:r>
      <w:r>
        <w:t xml:space="preserve"> </w:t>
      </w:r>
      <w:r w:rsidRPr="008516D1">
        <w:t>pendant</w:t>
      </w:r>
      <w:r>
        <w:t xml:space="preserve"> </w:t>
      </w:r>
      <w:r w:rsidRPr="008516D1">
        <w:t>la</w:t>
      </w:r>
      <w:r>
        <w:t xml:space="preserve"> </w:t>
      </w:r>
      <w:r w:rsidRPr="008516D1">
        <w:lastRenderedPageBreak/>
        <w:t>période</w:t>
      </w:r>
      <w:r>
        <w:t xml:space="preserve"> </w:t>
      </w:r>
      <w:r w:rsidRPr="008516D1">
        <w:t>de</w:t>
      </w:r>
      <w:r>
        <w:t xml:space="preserve"> </w:t>
      </w:r>
      <w:r w:rsidRPr="008516D1">
        <w:t>détention,</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aux</w:t>
      </w:r>
      <w:r>
        <w:t xml:space="preserve"> </w:t>
      </w:r>
      <w:r w:rsidRPr="008516D1">
        <w:t>paragraphes</w:t>
      </w:r>
      <w:r>
        <w:t xml:space="preserve"> </w:t>
      </w:r>
      <w:r w:rsidRPr="008516D1">
        <w:t>120</w:t>
      </w:r>
      <w:r>
        <w:t xml:space="preserve"> </w:t>
      </w:r>
      <w:r w:rsidRPr="008516D1">
        <w:t>et</w:t>
      </w:r>
      <w:r>
        <w:t xml:space="preserve"> </w:t>
      </w:r>
      <w:r w:rsidRPr="008516D1">
        <w:t>121</w:t>
      </w:r>
      <w:r>
        <w:t xml:space="preserve"> </w:t>
      </w:r>
      <w:r w:rsidRPr="008516D1">
        <w:t>du</w:t>
      </w:r>
      <w:r>
        <w:t xml:space="preserve"> </w:t>
      </w:r>
      <w:r w:rsidRPr="008516D1">
        <w:t>présent</w:t>
      </w:r>
      <w:r>
        <w:t xml:space="preserve"> </w:t>
      </w:r>
      <w:r w:rsidRPr="008516D1">
        <w:t>rapport.</w:t>
      </w:r>
    </w:p>
    <w:p w14:paraId="261442CB" w14:textId="3F6AB746" w:rsidR="00286956" w:rsidRPr="008516D1" w:rsidRDefault="00286956" w:rsidP="00286956">
      <w:pPr>
        <w:pStyle w:val="SingleTxtG"/>
      </w:pPr>
      <w:r w:rsidRPr="008516D1">
        <w:t>145.</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33</w:t>
      </w:r>
      <w:r w:rsidR="00A74554">
        <w:t> b)</w:t>
      </w:r>
      <w:r>
        <w:t xml:space="preserve"> </w:t>
      </w:r>
      <w:r w:rsidRPr="008516D1">
        <w:t>des</w:t>
      </w:r>
      <w:r>
        <w:t xml:space="preserve"> </w:t>
      </w:r>
      <w:r w:rsidRPr="008516D1">
        <w:t>observations</w:t>
      </w:r>
      <w:r>
        <w:t xml:space="preserve"> </w:t>
      </w:r>
      <w:r w:rsidRPr="008516D1">
        <w:t>finales</w:t>
      </w:r>
      <w:r>
        <w:t xml:space="preserve"> </w:t>
      </w:r>
      <w:r w:rsidRPr="008516D1">
        <w:t>sur</w:t>
      </w:r>
      <w:r>
        <w:t xml:space="preserve"> </w:t>
      </w:r>
      <w:r w:rsidRPr="008516D1">
        <w:t>l</w:t>
      </w:r>
      <w:r>
        <w:t>’</w:t>
      </w:r>
      <w:r w:rsidRPr="008516D1">
        <w:t>inscription</w:t>
      </w:r>
      <w:r>
        <w:t xml:space="preserve"> </w:t>
      </w:r>
      <w:r w:rsidRPr="008516D1">
        <w:t>de</w:t>
      </w:r>
      <w:r>
        <w:t xml:space="preserve"> </w:t>
      </w:r>
      <w:r w:rsidRPr="008516D1">
        <w:t>toutes</w:t>
      </w:r>
      <w:r>
        <w:t xml:space="preserve"> </w:t>
      </w:r>
      <w:r w:rsidRPr="008516D1">
        <w:t>les</w:t>
      </w:r>
      <w:r>
        <w:t xml:space="preserve"> </w:t>
      </w:r>
      <w:r w:rsidRPr="008516D1">
        <w:t>privations</w:t>
      </w:r>
      <w:r>
        <w:t xml:space="preserve"> </w:t>
      </w:r>
      <w:r w:rsidRPr="008516D1">
        <w:t>de</w:t>
      </w:r>
      <w:r>
        <w:t xml:space="preserve"> </w:t>
      </w:r>
      <w:r w:rsidRPr="008516D1">
        <w:t>liberté</w:t>
      </w:r>
      <w:r>
        <w:t xml:space="preserve"> </w:t>
      </w:r>
      <w:r w:rsidRPr="008516D1">
        <w:t>dans</w:t>
      </w:r>
      <w:r>
        <w:t xml:space="preserve"> </w:t>
      </w:r>
      <w:r w:rsidRPr="008516D1">
        <w:t>des</w:t>
      </w:r>
      <w:r>
        <w:t xml:space="preserve"> </w:t>
      </w:r>
      <w:r w:rsidRPr="008516D1">
        <w:t>registres</w:t>
      </w:r>
      <w:r>
        <w:t xml:space="preserve"> </w:t>
      </w:r>
      <w:r w:rsidRPr="008516D1">
        <w:t>officiels</w:t>
      </w:r>
      <w:r>
        <w:t xml:space="preserve"> </w:t>
      </w:r>
      <w:r w:rsidRPr="008516D1">
        <w:t>et</w:t>
      </w:r>
      <w:r>
        <w:t xml:space="preserve"> </w:t>
      </w:r>
      <w:r w:rsidRPr="008516D1">
        <w:t>des</w:t>
      </w:r>
      <w:r>
        <w:t xml:space="preserve"> </w:t>
      </w:r>
      <w:r w:rsidRPr="008516D1">
        <w:t>dossiers</w:t>
      </w:r>
      <w:r>
        <w:t xml:space="preserve"> </w:t>
      </w:r>
      <w:r w:rsidRPr="008516D1">
        <w:t>actualisés,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17</w:t>
      </w:r>
      <w:r>
        <w:t xml:space="preserve"> </w:t>
      </w:r>
      <w:r w:rsidRPr="008516D1">
        <w:t>de</w:t>
      </w:r>
      <w:r>
        <w:t xml:space="preserve"> </w:t>
      </w:r>
      <w:r w:rsidRPr="008516D1">
        <w:t>la</w:t>
      </w:r>
      <w:r>
        <w:t xml:space="preserve"> </w:t>
      </w:r>
      <w:r w:rsidRPr="008516D1">
        <w:t>Convention,</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tient</w:t>
      </w:r>
      <w:r>
        <w:t xml:space="preserve"> </w:t>
      </w:r>
      <w:r w:rsidRPr="008516D1">
        <w:t>à</w:t>
      </w:r>
      <w:r>
        <w:t xml:space="preserve"> </w:t>
      </w:r>
      <w:r w:rsidRPr="008516D1">
        <w:t>jour</w:t>
      </w:r>
      <w:r>
        <w:t xml:space="preserve"> </w:t>
      </w:r>
      <w:r w:rsidRPr="008516D1">
        <w:t>de</w:t>
      </w:r>
      <w:r>
        <w:t xml:space="preserve"> </w:t>
      </w:r>
      <w:r w:rsidRPr="008516D1">
        <w:t>tels</w:t>
      </w:r>
      <w:r>
        <w:t xml:space="preserve"> </w:t>
      </w:r>
      <w:r w:rsidRPr="008516D1">
        <w:t>registres</w:t>
      </w:r>
      <w:r>
        <w:t xml:space="preserve"> </w:t>
      </w:r>
      <w:r w:rsidRPr="008516D1">
        <w:t>et</w:t>
      </w:r>
      <w:r>
        <w:t xml:space="preserve"> </w:t>
      </w:r>
      <w:r w:rsidRPr="008516D1">
        <w:t>dossiers,</w:t>
      </w:r>
      <w:r>
        <w:t xml:space="preserve"> </w:t>
      </w:r>
      <w:r w:rsidRPr="008516D1">
        <w:t>ainsi</w:t>
      </w:r>
      <w:r>
        <w:t xml:space="preserve"> </w:t>
      </w:r>
      <w:r w:rsidRPr="008516D1">
        <w:t>qu</w:t>
      </w:r>
      <w:r>
        <w:t>’</w:t>
      </w:r>
      <w:r w:rsidRPr="008516D1">
        <w:t>une</w:t>
      </w:r>
      <w:r>
        <w:t xml:space="preserve"> </w:t>
      </w:r>
      <w:r w:rsidRPr="008516D1">
        <w:t>base</w:t>
      </w:r>
      <w:r>
        <w:t xml:space="preserve"> </w:t>
      </w:r>
      <w:r w:rsidRPr="008516D1">
        <w:t>de</w:t>
      </w:r>
      <w:r>
        <w:t xml:space="preserve"> </w:t>
      </w:r>
      <w:r w:rsidRPr="008516D1">
        <w:t>données</w:t>
      </w:r>
      <w:r>
        <w:t xml:space="preserve"> </w:t>
      </w:r>
      <w:r w:rsidRPr="008516D1">
        <w:t>sur</w:t>
      </w:r>
      <w:r>
        <w:t xml:space="preserve"> </w:t>
      </w:r>
      <w:r w:rsidRPr="008516D1">
        <w:t>la</w:t>
      </w:r>
      <w:r>
        <w:t xml:space="preserve"> </w:t>
      </w:r>
      <w:r w:rsidRPr="008516D1">
        <w:t>population</w:t>
      </w:r>
      <w:r>
        <w:t xml:space="preserve"> </w:t>
      </w:r>
      <w:r w:rsidRPr="008516D1">
        <w:t>carcérale.</w:t>
      </w:r>
      <w:r>
        <w:t xml:space="preserve"> </w:t>
      </w:r>
      <w:r w:rsidRPr="008516D1">
        <w:t>Entre</w:t>
      </w:r>
      <w:r>
        <w:t xml:space="preserve"> </w:t>
      </w:r>
      <w:r w:rsidRPr="008516D1">
        <w:t>janvier</w:t>
      </w:r>
      <w:r>
        <w:t xml:space="preserve"> </w:t>
      </w:r>
      <w:r w:rsidRPr="008516D1">
        <w:t>et</w:t>
      </w:r>
      <w:r>
        <w:t xml:space="preserve"> </w:t>
      </w:r>
      <w:r w:rsidRPr="008516D1">
        <w:t>juin</w:t>
      </w:r>
      <w:r>
        <w:t xml:space="preserve"> </w:t>
      </w:r>
      <w:r w:rsidRPr="008516D1">
        <w:t>2020,</w:t>
      </w:r>
      <w:r>
        <w:t xml:space="preserve"> </w:t>
      </w:r>
      <w:r w:rsidRPr="008516D1">
        <w:t>21</w:t>
      </w:r>
      <w:r w:rsidR="00C240B4">
        <w:t> </w:t>
      </w:r>
      <w:r w:rsidRPr="008516D1">
        <w:t>872</w:t>
      </w:r>
      <w:r w:rsidR="00C240B4">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(1</w:t>
      </w:r>
      <w:r w:rsidR="00C240B4">
        <w:t> </w:t>
      </w:r>
      <w:r w:rsidRPr="008516D1">
        <w:t>229</w:t>
      </w:r>
      <w:r>
        <w:t xml:space="preserve"> </w:t>
      </w:r>
      <w:r w:rsidRPr="008516D1">
        <w:t>femmes</w:t>
      </w:r>
      <w:r>
        <w:t xml:space="preserve"> </w:t>
      </w:r>
      <w:r w:rsidRPr="008516D1">
        <w:t>et</w:t>
      </w:r>
      <w:r>
        <w:t xml:space="preserve"> </w:t>
      </w:r>
      <w:r w:rsidRPr="008516D1">
        <w:t>20</w:t>
      </w:r>
      <w:r w:rsidR="00C240B4">
        <w:t> </w:t>
      </w:r>
      <w:r w:rsidRPr="008516D1">
        <w:t>643</w:t>
      </w:r>
      <w:r>
        <w:t xml:space="preserve"> </w:t>
      </w:r>
      <w:r w:rsidRPr="008516D1">
        <w:t>hommes)</w:t>
      </w:r>
      <w:r>
        <w:t xml:space="preserve"> </w:t>
      </w:r>
      <w:r w:rsidRPr="008516D1">
        <w:t>étaient</w:t>
      </w:r>
      <w:r>
        <w:t xml:space="preserve"> </w:t>
      </w:r>
      <w:r w:rsidRPr="008516D1">
        <w:t>ainsi</w:t>
      </w:r>
      <w:r>
        <w:t xml:space="preserve"> </w:t>
      </w:r>
      <w:r w:rsidRPr="008516D1">
        <w:t>répertoriées.</w:t>
      </w:r>
      <w:r>
        <w:t xml:space="preserve"> </w:t>
      </w:r>
      <w:r w:rsidRPr="008516D1">
        <w:t>Au</w:t>
      </w:r>
      <w:r>
        <w:t xml:space="preserve"> </w:t>
      </w:r>
      <w:r w:rsidRPr="008516D1">
        <w:t>3</w:t>
      </w:r>
      <w:r w:rsidR="00C240B4">
        <w:t> </w:t>
      </w:r>
      <w:r w:rsidRPr="008516D1">
        <w:t>mai</w:t>
      </w:r>
      <w:r>
        <w:t xml:space="preserve"> </w:t>
      </w:r>
      <w:r w:rsidRPr="008516D1">
        <w:t>2021,</w:t>
      </w:r>
      <w:r>
        <w:t xml:space="preserve"> </w:t>
      </w:r>
      <w:r w:rsidRPr="008516D1">
        <w:t>11</w:t>
      </w:r>
      <w:r w:rsidR="00C240B4">
        <w:t> </w:t>
      </w:r>
      <w:r w:rsidRPr="008516D1">
        <w:t>589</w:t>
      </w:r>
      <w:r w:rsidR="00C240B4">
        <w:t xml:space="preserve"> </w:t>
      </w:r>
      <w:r w:rsidRPr="008516D1">
        <w:t>personnes</w:t>
      </w:r>
      <w:r>
        <w:t xml:space="preserve"> </w:t>
      </w:r>
      <w:r w:rsidRPr="008516D1">
        <w:t>(741</w:t>
      </w:r>
      <w:r w:rsidR="00C240B4">
        <w:t> </w:t>
      </w:r>
      <w:r w:rsidRPr="008516D1">
        <w:t>femmes</w:t>
      </w:r>
      <w:r>
        <w:t xml:space="preserve"> </w:t>
      </w:r>
      <w:r w:rsidRPr="008516D1">
        <w:t>et</w:t>
      </w:r>
      <w:r>
        <w:t xml:space="preserve"> </w:t>
      </w:r>
      <w:r w:rsidRPr="008516D1">
        <w:t>10</w:t>
      </w:r>
      <w:r w:rsidR="00C240B4">
        <w:t> </w:t>
      </w:r>
      <w:r w:rsidRPr="008516D1">
        <w:t>848</w:t>
      </w:r>
      <w:r>
        <w:t xml:space="preserve"> </w:t>
      </w:r>
      <w:r w:rsidRPr="008516D1">
        <w:t>hommes)</w:t>
      </w:r>
      <w:r>
        <w:t xml:space="preserve"> </w:t>
      </w:r>
      <w:r w:rsidRPr="008516D1">
        <w:t>étaient</w:t>
      </w:r>
      <w:r>
        <w:t xml:space="preserve"> </w:t>
      </w:r>
      <w:r w:rsidRPr="008516D1">
        <w:t>placées</w:t>
      </w:r>
      <w:r>
        <w:t xml:space="preserve"> </w:t>
      </w:r>
      <w:r w:rsidRPr="008516D1">
        <w:t>en</w:t>
      </w:r>
      <w:r>
        <w:t xml:space="preserve"> </w:t>
      </w:r>
      <w:r w:rsidRPr="008516D1">
        <w:t>détention</w:t>
      </w:r>
      <w:r>
        <w:t xml:space="preserve"> </w:t>
      </w:r>
      <w:r w:rsidRPr="008516D1">
        <w:t>provisoire.</w:t>
      </w:r>
    </w:p>
    <w:p w14:paraId="7253261B" w14:textId="25391CDA" w:rsidR="00286956" w:rsidRPr="008516D1" w:rsidRDefault="00286956" w:rsidP="00286956">
      <w:pPr>
        <w:pStyle w:val="SingleTxtG"/>
      </w:pPr>
      <w:r w:rsidRPr="008516D1">
        <w:t>146.</w:t>
      </w:r>
      <w:r w:rsidRPr="008516D1">
        <w:tab/>
        <w:t>En</w:t>
      </w:r>
      <w:r>
        <w:t xml:space="preserve"> </w:t>
      </w:r>
      <w:r w:rsidRPr="008516D1">
        <w:t>2019,</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le</w:t>
      </w:r>
      <w:r>
        <w:t xml:space="preserve"> </w:t>
      </w:r>
      <w:r w:rsidRPr="008516D1">
        <w:t>Système</w:t>
      </w:r>
      <w:r>
        <w:t xml:space="preserve"> </w:t>
      </w:r>
      <w:r w:rsidRPr="008516D1">
        <w:t>de</w:t>
      </w:r>
      <w:r>
        <w:t xml:space="preserve"> </w:t>
      </w:r>
      <w:r w:rsidRPr="008516D1">
        <w:t>dossiers</w:t>
      </w:r>
      <w:r>
        <w:t xml:space="preserve"> </w:t>
      </w:r>
      <w:r w:rsidRPr="008516D1">
        <w:t>pénitentiaires</w:t>
      </w:r>
      <w:r>
        <w:t xml:space="preserve"> </w:t>
      </w:r>
      <w:r w:rsidRPr="008516D1">
        <w:t>numériques</w:t>
      </w:r>
      <w:r>
        <w:t xml:space="preserve"> </w:t>
      </w:r>
      <w:r w:rsidRPr="008516D1">
        <w:t>dans</w:t>
      </w:r>
      <w:r>
        <w:t xml:space="preserve"> </w:t>
      </w:r>
      <w:r w:rsidR="00DA1596">
        <w:t>10 </w:t>
      </w:r>
      <w:r w:rsidRPr="008516D1">
        <w:t>établissements</w:t>
      </w:r>
      <w:r>
        <w:t xml:space="preserve"> </w:t>
      </w:r>
      <w:r w:rsidRPr="008516D1">
        <w:t>pénitentiaires.</w:t>
      </w:r>
      <w:r>
        <w:t xml:space="preserve"> </w:t>
      </w:r>
      <w:r w:rsidRPr="008516D1">
        <w:t>Ce</w:t>
      </w:r>
      <w:r>
        <w:t xml:space="preserve"> </w:t>
      </w:r>
      <w:r w:rsidRPr="008516D1">
        <w:t>registre</w:t>
      </w:r>
      <w:r>
        <w:t xml:space="preserve"> </w:t>
      </w:r>
      <w:r w:rsidRPr="008516D1">
        <w:t>pénitentiaire</w:t>
      </w:r>
      <w:r>
        <w:t xml:space="preserve"> </w:t>
      </w:r>
      <w:r w:rsidRPr="008516D1">
        <w:t>national</w:t>
      </w:r>
      <w:r>
        <w:t xml:space="preserve"> </w:t>
      </w:r>
      <w:r w:rsidRPr="008516D1">
        <w:t>permet</w:t>
      </w:r>
      <w:r>
        <w:t xml:space="preserve"> </w:t>
      </w:r>
      <w:r w:rsidRPr="008516D1">
        <w:t>de</w:t>
      </w:r>
      <w:r>
        <w:t xml:space="preserve"> </w:t>
      </w:r>
      <w:r w:rsidRPr="008516D1">
        <w:t>gérer</w:t>
      </w:r>
      <w:r>
        <w:t xml:space="preserve"> </w:t>
      </w:r>
      <w:r w:rsidRPr="008516D1">
        <w:t>correctement</w:t>
      </w:r>
      <w:r>
        <w:t xml:space="preserve"> </w:t>
      </w:r>
      <w:r w:rsidRPr="008516D1">
        <w:t>les</w:t>
      </w:r>
      <w:r>
        <w:t xml:space="preserve"> </w:t>
      </w:r>
      <w:r w:rsidRPr="008516D1">
        <w:t>dossiers</w:t>
      </w:r>
      <w:r>
        <w:t xml:space="preserve"> </w:t>
      </w:r>
      <w:r w:rsidRPr="008516D1">
        <w:t>pénitentiaires</w:t>
      </w:r>
      <w:r>
        <w:t xml:space="preserve"> </w:t>
      </w:r>
      <w:r w:rsidRPr="008516D1">
        <w:t>et</w:t>
      </w:r>
      <w:r>
        <w:t xml:space="preserve"> </w:t>
      </w:r>
      <w:r w:rsidRPr="008516D1">
        <w:t>d</w:t>
      </w:r>
      <w:r>
        <w:t>’</w:t>
      </w:r>
      <w:r w:rsidRPr="008516D1">
        <w:t>assurer</w:t>
      </w:r>
      <w:r>
        <w:t xml:space="preserve"> </w:t>
      </w:r>
      <w:r w:rsidRPr="008516D1">
        <w:t>des</w:t>
      </w:r>
      <w:r>
        <w:t xml:space="preserve"> </w:t>
      </w:r>
      <w:r w:rsidRPr="008516D1">
        <w:t>services</w:t>
      </w:r>
      <w:r>
        <w:t xml:space="preserve"> </w:t>
      </w:r>
      <w:r w:rsidRPr="008516D1">
        <w:t>tels</w:t>
      </w:r>
      <w:r>
        <w:t xml:space="preserve"> </w:t>
      </w:r>
      <w:r w:rsidRPr="008516D1">
        <w:t>que</w:t>
      </w:r>
      <w:r>
        <w:t xml:space="preserve"> </w:t>
      </w:r>
      <w:r w:rsidRPr="008516D1">
        <w:t>la</w:t>
      </w:r>
      <w:r>
        <w:t xml:space="preserve"> </w:t>
      </w:r>
      <w:r w:rsidRPr="008516D1">
        <w:t>classification</w:t>
      </w:r>
      <w:r>
        <w:t xml:space="preserve"> </w:t>
      </w:r>
      <w:r w:rsidRPr="008516D1">
        <w:t>des</w:t>
      </w:r>
      <w:r>
        <w:t xml:space="preserve"> </w:t>
      </w:r>
      <w:r w:rsidRPr="008516D1">
        <w:t>détenus,</w:t>
      </w:r>
      <w:r>
        <w:t xml:space="preserve"> </w:t>
      </w:r>
      <w:r w:rsidRPr="008516D1">
        <w:t>l</w:t>
      </w:r>
      <w:r>
        <w:t>’</w:t>
      </w:r>
      <w:r w:rsidRPr="008516D1">
        <w:t>accès</w:t>
      </w:r>
      <w:r>
        <w:t xml:space="preserve"> </w:t>
      </w:r>
      <w:r w:rsidRPr="008516D1">
        <w:t>à</w:t>
      </w:r>
      <w:r>
        <w:t xml:space="preserve"> </w:t>
      </w:r>
      <w:r w:rsidRPr="008516D1">
        <w:t>la</w:t>
      </w:r>
      <w:r>
        <w:t xml:space="preserve"> </w:t>
      </w:r>
      <w:r w:rsidRPr="008516D1">
        <w:t>santé</w:t>
      </w:r>
      <w:r>
        <w:t xml:space="preserve"> </w:t>
      </w:r>
      <w:r w:rsidRPr="008516D1">
        <w:t>et</w:t>
      </w:r>
      <w:r>
        <w:t xml:space="preserve"> </w:t>
      </w:r>
      <w:r w:rsidRPr="008516D1">
        <w:t>l</w:t>
      </w:r>
      <w:r>
        <w:t>’</w:t>
      </w:r>
      <w:r w:rsidRPr="008516D1">
        <w:t>aménagement</w:t>
      </w:r>
      <w:r>
        <w:t xml:space="preserve"> </w:t>
      </w:r>
      <w:r w:rsidRPr="008516D1">
        <w:t>des</w:t>
      </w:r>
      <w:r>
        <w:t xml:space="preserve"> </w:t>
      </w:r>
      <w:r w:rsidRPr="008516D1">
        <w:t>peines.</w:t>
      </w:r>
      <w:r>
        <w:t xml:space="preserve"> </w:t>
      </w:r>
      <w:r w:rsidRPr="008516D1">
        <w:t>Les</w:t>
      </w:r>
      <w:r>
        <w:t xml:space="preserve"> </w:t>
      </w:r>
      <w:r w:rsidRPr="008516D1">
        <w:t>informations</w:t>
      </w:r>
      <w:r>
        <w:t xml:space="preserve"> </w:t>
      </w:r>
      <w:r w:rsidRPr="008516D1">
        <w:t>fournies</w:t>
      </w:r>
      <w:r>
        <w:t xml:space="preserve"> </w:t>
      </w:r>
      <w:r w:rsidRPr="008516D1">
        <w:t>par</w:t>
      </w:r>
      <w:r>
        <w:t xml:space="preserve"> </w:t>
      </w:r>
      <w:r w:rsidRPr="008516D1">
        <w:t>le</w:t>
      </w:r>
      <w:r>
        <w:t xml:space="preserve"> </w:t>
      </w:r>
      <w:r w:rsidRPr="008516D1">
        <w:t>système</w:t>
      </w:r>
      <w:r>
        <w:t xml:space="preserve"> </w:t>
      </w:r>
      <w:r w:rsidRPr="008516D1">
        <w:t>sont</w:t>
      </w:r>
      <w:r>
        <w:t xml:space="preserve"> </w:t>
      </w:r>
      <w:r w:rsidRPr="008516D1">
        <w:t>précises</w:t>
      </w:r>
      <w:r>
        <w:t xml:space="preserve"> </w:t>
      </w:r>
      <w:r w:rsidRPr="008516D1">
        <w:t>et</w:t>
      </w:r>
      <w:r>
        <w:t xml:space="preserve"> </w:t>
      </w:r>
      <w:r w:rsidRPr="008516D1">
        <w:t>fiables</w:t>
      </w:r>
      <w:r>
        <w:t xml:space="preserve"> </w:t>
      </w:r>
      <w:r w:rsidRPr="008516D1">
        <w:t>et</w:t>
      </w:r>
      <w:r>
        <w:t xml:space="preserve"> </w:t>
      </w:r>
      <w:r w:rsidRPr="008516D1">
        <w:t>permettent</w:t>
      </w:r>
      <w:r>
        <w:t xml:space="preserve"> </w:t>
      </w:r>
      <w:r w:rsidRPr="008516D1">
        <w:t>de</w:t>
      </w:r>
      <w:r>
        <w:t xml:space="preserve"> </w:t>
      </w:r>
      <w:r w:rsidRPr="008516D1">
        <w:t>produire</w:t>
      </w:r>
      <w:r>
        <w:t xml:space="preserve"> </w:t>
      </w:r>
      <w:r w:rsidRPr="008516D1">
        <w:t>des</w:t>
      </w:r>
      <w:r>
        <w:t xml:space="preserve"> </w:t>
      </w:r>
      <w:r w:rsidRPr="008516D1">
        <w:t>données</w:t>
      </w:r>
      <w:r>
        <w:t xml:space="preserve"> </w:t>
      </w:r>
      <w:r w:rsidRPr="008516D1">
        <w:t>statistiques</w:t>
      </w:r>
      <w:r>
        <w:t xml:space="preserve"> </w:t>
      </w:r>
      <w:r w:rsidRPr="008516D1">
        <w:t>pour</w:t>
      </w:r>
      <w:r>
        <w:t xml:space="preserve"> </w:t>
      </w:r>
      <w:r w:rsidRPr="008516D1">
        <w:t>améliorer</w:t>
      </w:r>
      <w:r>
        <w:t xml:space="preserve"> </w:t>
      </w:r>
      <w:r w:rsidRPr="008516D1">
        <w:t>la</w:t>
      </w:r>
      <w:r>
        <w:t xml:space="preserve"> </w:t>
      </w:r>
      <w:r w:rsidR="00E652F0">
        <w:t>prise de décisions</w:t>
      </w:r>
      <w:r>
        <w:t xml:space="preserve"> </w:t>
      </w:r>
      <w:r w:rsidRPr="008516D1">
        <w:t>en</w:t>
      </w:r>
      <w:r>
        <w:t xml:space="preserve"> </w:t>
      </w:r>
      <w:r w:rsidRPr="008516D1">
        <w:t>matière</w:t>
      </w:r>
      <w:r>
        <w:t xml:space="preserve"> </w:t>
      </w:r>
      <w:r w:rsidRPr="008516D1">
        <w:t>pénitentiaire.</w:t>
      </w:r>
      <w:r>
        <w:t xml:space="preserve"> </w:t>
      </w:r>
      <w:r w:rsidRPr="008516D1">
        <w:t>Le</w:t>
      </w:r>
      <w:r>
        <w:t xml:space="preserve"> </w:t>
      </w:r>
      <w:r w:rsidRPr="008516D1">
        <w:t>système</w:t>
      </w:r>
      <w:r>
        <w:t xml:space="preserve"> </w:t>
      </w:r>
      <w:r w:rsidRPr="008516D1">
        <w:t>a</w:t>
      </w:r>
      <w:r>
        <w:t xml:space="preserve"> </w:t>
      </w:r>
      <w:r w:rsidRPr="008516D1">
        <w:t>été</w:t>
      </w:r>
      <w:r>
        <w:t xml:space="preserve"> </w:t>
      </w:r>
      <w:r w:rsidRPr="008516D1">
        <w:t>mis</w:t>
      </w:r>
      <w:r>
        <w:t xml:space="preserve"> </w:t>
      </w:r>
      <w:r w:rsidRPr="008516D1">
        <w:t>en</w:t>
      </w:r>
      <w:r>
        <w:t xml:space="preserve"> </w:t>
      </w:r>
      <w:r w:rsidRPr="008516D1">
        <w:t>place</w:t>
      </w:r>
      <w:r>
        <w:t xml:space="preserve"> </w:t>
      </w:r>
      <w:r w:rsidRPr="008516D1">
        <w:t>avec</w:t>
      </w:r>
      <w:r>
        <w:t xml:space="preserve"> </w:t>
      </w:r>
      <w:r w:rsidRPr="008516D1">
        <w:t>le</w:t>
      </w:r>
      <w:r>
        <w:t xml:space="preserve"> </w:t>
      </w:r>
      <w:r w:rsidRPr="008516D1">
        <w:t>soutien</w:t>
      </w:r>
      <w:r>
        <w:t xml:space="preserve"> </w:t>
      </w:r>
      <w:r w:rsidRPr="008516D1">
        <w:t>du</w:t>
      </w:r>
      <w:r>
        <w:t xml:space="preserve"> </w:t>
      </w:r>
      <w:r w:rsidRPr="008516D1">
        <w:t>CICR.</w:t>
      </w:r>
    </w:p>
    <w:p w14:paraId="7AE9DB22" w14:textId="706CBC6E" w:rsidR="00286956" w:rsidRPr="008516D1" w:rsidRDefault="00286956" w:rsidP="00286956">
      <w:pPr>
        <w:pStyle w:val="SingleTxtG"/>
      </w:pPr>
      <w:r w:rsidRPr="008516D1">
        <w:t>147.</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33</w:t>
      </w:r>
      <w:r w:rsidR="00A74554">
        <w:t> c)</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veiller</w:t>
      </w:r>
      <w:r>
        <w:t xml:space="preserve"> </w:t>
      </w:r>
      <w:r w:rsidRPr="008516D1">
        <w:t>à</w:t>
      </w:r>
      <w:r>
        <w:t xml:space="preserve"> </w:t>
      </w:r>
      <w:r w:rsidRPr="008516D1">
        <w:t>ce</w:t>
      </w:r>
      <w:r>
        <w:t xml:space="preserve"> </w:t>
      </w:r>
      <w:r w:rsidRPr="008516D1">
        <w:t>que</w:t>
      </w:r>
      <w:r>
        <w:t xml:space="preserve"> </w:t>
      </w:r>
      <w:r w:rsidRPr="008516D1">
        <w:t>les</w:t>
      </w:r>
      <w:r>
        <w:t xml:space="preserve"> </w:t>
      </w:r>
      <w:r w:rsidRPr="008516D1">
        <w:t>registres</w:t>
      </w:r>
      <w:r>
        <w:t xml:space="preserve"> </w:t>
      </w:r>
      <w:r w:rsidRPr="008516D1">
        <w:t>ou</w:t>
      </w:r>
      <w:r>
        <w:t xml:space="preserve"> </w:t>
      </w:r>
      <w:r w:rsidRPr="008516D1">
        <w:t>dossiers</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soient</w:t>
      </w:r>
      <w:r>
        <w:t xml:space="preserve"> </w:t>
      </w:r>
      <w:r w:rsidRPr="008516D1">
        <w:t>mis</w:t>
      </w:r>
      <w:r>
        <w:t xml:space="preserve"> </w:t>
      </w:r>
      <w:r w:rsidRPr="008516D1">
        <w:t>à</w:t>
      </w:r>
      <w:r>
        <w:t xml:space="preserve"> </w:t>
      </w:r>
      <w:r w:rsidRPr="008516D1">
        <w:t>jour</w:t>
      </w:r>
      <w:r>
        <w:t xml:space="preserve"> </w:t>
      </w:r>
      <w:r w:rsidRPr="008516D1">
        <w:t>avec</w:t>
      </w:r>
      <w:r>
        <w:t xml:space="preserve"> </w:t>
      </w:r>
      <w:r w:rsidRPr="008516D1">
        <w:t>diligence</w:t>
      </w:r>
      <w:r>
        <w:t xml:space="preserve"> </w:t>
      </w:r>
      <w:r w:rsidRPr="008516D1">
        <w:t>et</w:t>
      </w:r>
      <w:r>
        <w:t xml:space="preserve"> </w:t>
      </w:r>
      <w:r w:rsidRPr="008516D1">
        <w:t>précision</w:t>
      </w:r>
      <w:r>
        <w:t xml:space="preserve"> </w:t>
      </w:r>
      <w:r w:rsidRPr="008516D1">
        <w:t>et</w:t>
      </w:r>
      <w:r>
        <w:t xml:space="preserve"> </w:t>
      </w:r>
      <w:r w:rsidRPr="008516D1">
        <w:t>fassent</w:t>
      </w:r>
      <w:r>
        <w:t xml:space="preserve"> </w:t>
      </w:r>
      <w:r w:rsidRPr="008516D1">
        <w:t>l</w:t>
      </w:r>
      <w:r>
        <w:t>’</w:t>
      </w:r>
      <w:r w:rsidRPr="008516D1">
        <w:t>objet</w:t>
      </w:r>
      <w:r>
        <w:t xml:space="preserve"> </w:t>
      </w:r>
      <w:r w:rsidRPr="008516D1">
        <w:t>de</w:t>
      </w:r>
      <w:r>
        <w:t xml:space="preserve"> </w:t>
      </w:r>
      <w:r w:rsidRPr="008516D1">
        <w:t>contrôles</w:t>
      </w:r>
      <w:r>
        <w:t xml:space="preserve"> </w:t>
      </w:r>
      <w:r w:rsidRPr="008516D1">
        <w:t>réguliers,</w:t>
      </w:r>
      <w:r>
        <w:t xml:space="preserve"> </w:t>
      </w:r>
      <w:r w:rsidRPr="008516D1">
        <w:t>et</w:t>
      </w:r>
      <w:r>
        <w:t xml:space="preserve"> </w:t>
      </w:r>
      <w:r w:rsidRPr="008516D1">
        <w:t>que</w:t>
      </w:r>
      <w:r>
        <w:t xml:space="preserve"> </w:t>
      </w:r>
      <w:r w:rsidRPr="008516D1">
        <w:t>les</w:t>
      </w:r>
      <w:r>
        <w:t xml:space="preserve"> </w:t>
      </w:r>
      <w:r w:rsidRPr="008516D1">
        <w:t>fonctionnaires</w:t>
      </w:r>
      <w:r>
        <w:t xml:space="preserve"> </w:t>
      </w:r>
      <w:r w:rsidRPr="008516D1">
        <w:t>responsables</w:t>
      </w:r>
      <w:r>
        <w:t xml:space="preserve"> </w:t>
      </w:r>
      <w:r w:rsidRPr="008516D1">
        <w:t>soient</w:t>
      </w:r>
      <w:r>
        <w:t xml:space="preserve"> </w:t>
      </w:r>
      <w:r w:rsidRPr="008516D1">
        <w:t>dûment</w:t>
      </w:r>
      <w:r>
        <w:t xml:space="preserve"> </w:t>
      </w:r>
      <w:r w:rsidRPr="008516D1">
        <w:t>sanctionnés,</w:t>
      </w:r>
      <w:r>
        <w:t xml:space="preserve"> </w:t>
      </w:r>
      <w:r w:rsidRPr="008516D1">
        <w:t>en</w:t>
      </w:r>
      <w:r>
        <w:t xml:space="preserve"> </w:t>
      </w:r>
      <w:r w:rsidRPr="008516D1">
        <w:t>cas</w:t>
      </w:r>
      <w:r>
        <w:t xml:space="preserve"> </w:t>
      </w:r>
      <w:r w:rsidRPr="008516D1">
        <w:t>d</w:t>
      </w:r>
      <w:r>
        <w:t>’</w:t>
      </w:r>
      <w:r w:rsidRPr="008516D1">
        <w:t>irrégularités,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met</w:t>
      </w:r>
      <w:r>
        <w:t xml:space="preserve"> </w:t>
      </w:r>
      <w:r w:rsidRPr="008516D1">
        <w:t>quotidiennement</w:t>
      </w:r>
      <w:r>
        <w:t xml:space="preserve"> </w:t>
      </w:r>
      <w:r w:rsidRPr="008516D1">
        <w:t>à</w:t>
      </w:r>
      <w:r>
        <w:t xml:space="preserve"> </w:t>
      </w:r>
      <w:r w:rsidRPr="008516D1">
        <w:t>jour</w:t>
      </w:r>
      <w:r>
        <w:t xml:space="preserve"> </w:t>
      </w:r>
      <w:r w:rsidRPr="008516D1">
        <w:t>les</w:t>
      </w:r>
      <w:r>
        <w:t xml:space="preserve"> </w:t>
      </w:r>
      <w:r w:rsidRPr="008516D1">
        <w:t>dossiers</w:t>
      </w:r>
      <w:r>
        <w:t xml:space="preserve"> </w:t>
      </w:r>
      <w:r w:rsidRPr="008516D1">
        <w:t>des</w:t>
      </w:r>
      <w:r>
        <w:t xml:space="preserve"> </w:t>
      </w:r>
      <w:r w:rsidRPr="008516D1">
        <w:t>établissements</w:t>
      </w:r>
      <w:r>
        <w:t xml:space="preserve"> </w:t>
      </w:r>
      <w:r w:rsidRPr="008516D1">
        <w:t>pénitentiaires</w:t>
      </w:r>
      <w:r>
        <w:t xml:space="preserve"> </w:t>
      </w:r>
      <w:r w:rsidRPr="008516D1">
        <w:t>et</w:t>
      </w:r>
      <w:r>
        <w:t xml:space="preserve"> </w:t>
      </w:r>
      <w:r w:rsidRPr="008516D1">
        <w:t>actualise</w:t>
      </w:r>
      <w:r>
        <w:t xml:space="preserve"> </w:t>
      </w:r>
      <w:r w:rsidRPr="008516D1">
        <w:t>mensuellement</w:t>
      </w:r>
      <w:r>
        <w:t xml:space="preserve"> </w:t>
      </w:r>
      <w:r w:rsidRPr="008516D1">
        <w:t>le</w:t>
      </w:r>
      <w:r>
        <w:t xml:space="preserve"> </w:t>
      </w:r>
      <w:r w:rsidRPr="008516D1">
        <w:t>registre</w:t>
      </w:r>
      <w:r>
        <w:t xml:space="preserve"> </w:t>
      </w:r>
      <w:r w:rsidRPr="008516D1">
        <w:t>national.</w:t>
      </w:r>
      <w:r>
        <w:t xml:space="preserve"> </w:t>
      </w:r>
      <w:r w:rsidRPr="008516D1">
        <w:t>En</w:t>
      </w:r>
      <w:r>
        <w:t xml:space="preserve"> </w:t>
      </w:r>
      <w:r w:rsidRPr="008516D1">
        <w:t>cas</w:t>
      </w:r>
      <w:r>
        <w:t xml:space="preserve"> </w:t>
      </w:r>
      <w:r w:rsidRPr="008516D1">
        <w:t>d</w:t>
      </w:r>
      <w:r>
        <w:t>’</w:t>
      </w:r>
      <w:r w:rsidRPr="008516D1">
        <w:t>irrégularité,</w:t>
      </w:r>
      <w:r>
        <w:t xml:space="preserve"> </w:t>
      </w:r>
      <w:r w:rsidRPr="008516D1">
        <w:t>l</w:t>
      </w:r>
      <w:r>
        <w:t>’</w:t>
      </w:r>
      <w:r w:rsidRPr="008516D1">
        <w:t>article</w:t>
      </w:r>
      <w:r>
        <w:t xml:space="preserve"> </w:t>
      </w:r>
      <w:r w:rsidRPr="008516D1">
        <w:t>324</w:t>
      </w:r>
      <w:r>
        <w:t xml:space="preserve"> </w:t>
      </w:r>
      <w:r w:rsidRPr="008516D1">
        <w:t>du</w:t>
      </w:r>
      <w:r>
        <w:t xml:space="preserve"> </w:t>
      </w:r>
      <w:r w:rsidRPr="008516D1">
        <w:t>règlement</w:t>
      </w:r>
      <w:r>
        <w:t xml:space="preserve"> </w:t>
      </w:r>
      <w:r w:rsidRPr="008516D1">
        <w:t>d</w:t>
      </w:r>
      <w:r>
        <w:t>’</w:t>
      </w:r>
      <w:r w:rsidRPr="008516D1">
        <w:t>application</w:t>
      </w:r>
      <w:r>
        <w:t xml:space="preserve"> </w:t>
      </w:r>
      <w:r w:rsidRPr="008516D1">
        <w:t>de</w:t>
      </w:r>
      <w:r>
        <w:t xml:space="preserve"> </w:t>
      </w:r>
      <w:r w:rsidRPr="008516D1">
        <w:t>la</w:t>
      </w:r>
      <w:r>
        <w:t xml:space="preserve"> </w:t>
      </w:r>
      <w:r w:rsidRPr="008516D1">
        <w:t>loi</w:t>
      </w:r>
      <w:r>
        <w:t xml:space="preserve"> </w:t>
      </w:r>
      <w:r w:rsidRPr="008516D1">
        <w:t>relative</w:t>
      </w:r>
      <w:r>
        <w:t xml:space="preserve"> </w:t>
      </w:r>
      <w:r w:rsidRPr="008516D1">
        <w:t>au</w:t>
      </w:r>
      <w:r>
        <w:t xml:space="preserve"> </w:t>
      </w:r>
      <w:r w:rsidRPr="008516D1">
        <w:t>système</w:t>
      </w:r>
      <w:r>
        <w:t xml:space="preserve"> </w:t>
      </w:r>
      <w:r w:rsidRPr="008516D1">
        <w:t>pénitentiaire,</w:t>
      </w:r>
      <w:r>
        <w:t xml:space="preserve"> </w:t>
      </w:r>
      <w:r w:rsidRPr="008516D1">
        <w:t>sur</w:t>
      </w:r>
      <w:r>
        <w:t xml:space="preserve"> </w:t>
      </w:r>
      <w:r w:rsidRPr="008516D1">
        <w:t>la</w:t>
      </w:r>
      <w:r>
        <w:t xml:space="preserve"> </w:t>
      </w:r>
      <w:r w:rsidRPr="008516D1">
        <w:t>confidentialité</w:t>
      </w:r>
      <w:r>
        <w:t xml:space="preserve"> </w:t>
      </w:r>
      <w:r w:rsidRPr="008516D1">
        <w:t>des</w:t>
      </w:r>
      <w:r>
        <w:t xml:space="preserve"> </w:t>
      </w:r>
      <w:r w:rsidRPr="008516D1">
        <w:t>données</w:t>
      </w:r>
      <w:r>
        <w:t xml:space="preserve"> </w:t>
      </w:r>
      <w:r w:rsidRPr="008516D1">
        <w:t>et</w:t>
      </w:r>
      <w:r>
        <w:t xml:space="preserve"> </w:t>
      </w:r>
      <w:r w:rsidRPr="008516D1">
        <w:t>des</w:t>
      </w:r>
      <w:r>
        <w:t xml:space="preserve"> </w:t>
      </w:r>
      <w:r w:rsidRPr="008516D1">
        <w:t>informations,</w:t>
      </w:r>
      <w:r>
        <w:t xml:space="preserve"> </w:t>
      </w:r>
      <w:r w:rsidRPr="008516D1">
        <w:t>dispose</w:t>
      </w:r>
      <w:r>
        <w:t xml:space="preserve"> </w:t>
      </w:r>
      <w:r w:rsidRPr="008516D1">
        <w:t>que</w:t>
      </w:r>
      <w:r>
        <w:t xml:space="preserve"> </w:t>
      </w:r>
      <w:r w:rsidRPr="008516D1">
        <w:t>les</w:t>
      </w:r>
      <w:r>
        <w:t xml:space="preserve"> </w:t>
      </w:r>
      <w:r w:rsidRPr="008516D1">
        <w:t>fonctionnaires</w:t>
      </w:r>
      <w:r>
        <w:t xml:space="preserve"> </w:t>
      </w:r>
      <w:r w:rsidRPr="008516D1">
        <w:t>et</w:t>
      </w:r>
      <w:r>
        <w:t xml:space="preserve"> </w:t>
      </w:r>
      <w:r w:rsidRPr="008516D1">
        <w:t>employés</w:t>
      </w:r>
      <w:r>
        <w:t xml:space="preserve"> </w:t>
      </w:r>
      <w:r w:rsidRPr="008516D1">
        <w:t>responsables</w:t>
      </w:r>
      <w:r>
        <w:t xml:space="preserve"> </w:t>
      </w:r>
      <w:r w:rsidRPr="008516D1">
        <w:t>des</w:t>
      </w:r>
      <w:r>
        <w:t xml:space="preserve"> </w:t>
      </w:r>
      <w:r w:rsidRPr="008516D1">
        <w:t>dossiers,</w:t>
      </w:r>
      <w:r>
        <w:t xml:space="preserve"> </w:t>
      </w:r>
      <w:r w:rsidRPr="008516D1">
        <w:t>des</w:t>
      </w:r>
      <w:r>
        <w:t xml:space="preserve"> </w:t>
      </w:r>
      <w:r w:rsidRPr="008516D1">
        <w:t>registres</w:t>
      </w:r>
      <w:r>
        <w:t xml:space="preserve"> </w:t>
      </w:r>
      <w:r w:rsidRPr="008516D1">
        <w:t>et</w:t>
      </w:r>
      <w:r>
        <w:t xml:space="preserve"> </w:t>
      </w:r>
      <w:r w:rsidRPr="008516D1">
        <w:t>des</w:t>
      </w:r>
      <w:r>
        <w:t xml:space="preserve"> </w:t>
      </w:r>
      <w:r w:rsidRPr="008516D1">
        <w:t>dossiers</w:t>
      </w:r>
      <w:r>
        <w:t xml:space="preserve"> </w:t>
      </w:r>
      <w:r w:rsidRPr="008516D1">
        <w:t>doivent</w:t>
      </w:r>
      <w:r>
        <w:t xml:space="preserve"> </w:t>
      </w:r>
      <w:r w:rsidRPr="008516D1">
        <w:t>prendre</w:t>
      </w:r>
      <w:r>
        <w:t xml:space="preserve"> </w:t>
      </w:r>
      <w:r w:rsidRPr="008516D1">
        <w:t>les</w:t>
      </w:r>
      <w:r>
        <w:t xml:space="preserve"> </w:t>
      </w:r>
      <w:r w:rsidRPr="008516D1">
        <w:t>mesures</w:t>
      </w:r>
      <w:r>
        <w:t xml:space="preserve"> </w:t>
      </w:r>
      <w:r w:rsidRPr="008516D1">
        <w:t>techniques</w:t>
      </w:r>
      <w:r>
        <w:t xml:space="preserve"> </w:t>
      </w:r>
      <w:r w:rsidRPr="008516D1">
        <w:t>et</w:t>
      </w:r>
      <w:r>
        <w:t xml:space="preserve"> </w:t>
      </w:r>
      <w:r w:rsidRPr="008516D1">
        <w:t>organisationnelles</w:t>
      </w:r>
      <w:r>
        <w:t xml:space="preserve"> </w:t>
      </w:r>
      <w:r w:rsidRPr="008516D1">
        <w:t>nécessaires</w:t>
      </w:r>
      <w:r>
        <w:t xml:space="preserve"> </w:t>
      </w:r>
      <w:r w:rsidRPr="008516D1">
        <w:t>pour</w:t>
      </w:r>
      <w:r>
        <w:t xml:space="preserve"> </w:t>
      </w:r>
      <w:r w:rsidRPr="008516D1">
        <w:t>garantir</w:t>
      </w:r>
      <w:r>
        <w:t xml:space="preserve"> </w:t>
      </w:r>
      <w:r w:rsidRPr="008516D1">
        <w:t>la</w:t>
      </w:r>
      <w:r>
        <w:t xml:space="preserve"> </w:t>
      </w:r>
      <w:r w:rsidRPr="008516D1">
        <w:t>sécurité</w:t>
      </w:r>
      <w:r>
        <w:t xml:space="preserve"> </w:t>
      </w:r>
      <w:r w:rsidRPr="008516D1">
        <w:t>des</w:t>
      </w:r>
      <w:r>
        <w:t xml:space="preserve"> </w:t>
      </w:r>
      <w:r w:rsidRPr="008516D1">
        <w:t>données</w:t>
      </w:r>
      <w:r>
        <w:t xml:space="preserve"> </w:t>
      </w:r>
      <w:r w:rsidRPr="008516D1">
        <w:t>et</w:t>
      </w:r>
      <w:r>
        <w:t xml:space="preserve"> </w:t>
      </w:r>
      <w:r w:rsidRPr="008516D1">
        <w:t>des</w:t>
      </w:r>
      <w:r>
        <w:t xml:space="preserve"> </w:t>
      </w:r>
      <w:r w:rsidRPr="008516D1">
        <w:t>informations,</w:t>
      </w:r>
      <w:r>
        <w:t xml:space="preserve"> </w:t>
      </w:r>
      <w:r w:rsidRPr="008516D1">
        <w:t>ainsi</w:t>
      </w:r>
      <w:r>
        <w:t xml:space="preserve"> </w:t>
      </w:r>
      <w:r w:rsidRPr="008516D1">
        <w:t>que</w:t>
      </w:r>
      <w:r>
        <w:t xml:space="preserve"> </w:t>
      </w:r>
      <w:r w:rsidRPr="008516D1">
        <w:t>pour</w:t>
      </w:r>
      <w:r>
        <w:t xml:space="preserve"> </w:t>
      </w:r>
      <w:r w:rsidRPr="008516D1">
        <w:t>éviter</w:t>
      </w:r>
      <w:r>
        <w:t xml:space="preserve"> </w:t>
      </w:r>
      <w:r w:rsidRPr="008516D1">
        <w:t>tout</w:t>
      </w:r>
      <w:r>
        <w:t xml:space="preserve"> </w:t>
      </w:r>
      <w:r w:rsidRPr="008516D1">
        <w:t>accès</w:t>
      </w:r>
      <w:r>
        <w:t xml:space="preserve"> </w:t>
      </w:r>
      <w:r w:rsidRPr="008516D1">
        <w:t>non</w:t>
      </w:r>
      <w:r>
        <w:t xml:space="preserve"> </w:t>
      </w:r>
      <w:r w:rsidRPr="008516D1">
        <w:t>autorisé</w:t>
      </w:r>
      <w:r>
        <w:t xml:space="preserve"> </w:t>
      </w:r>
      <w:r w:rsidRPr="008516D1">
        <w:t>à</w:t>
      </w:r>
      <w:r>
        <w:t xml:space="preserve"> </w:t>
      </w:r>
      <w:r w:rsidRPr="008516D1">
        <w:t>ces</w:t>
      </w:r>
      <w:r>
        <w:t xml:space="preserve"> </w:t>
      </w:r>
      <w:r w:rsidRPr="008516D1">
        <w:t>données,</w:t>
      </w:r>
      <w:r>
        <w:t xml:space="preserve"> </w:t>
      </w:r>
      <w:r w:rsidRPr="008516D1">
        <w:t>ainsi</w:t>
      </w:r>
      <w:r>
        <w:t xml:space="preserve"> </w:t>
      </w:r>
      <w:r w:rsidRPr="008516D1">
        <w:t>que</w:t>
      </w:r>
      <w:r>
        <w:t xml:space="preserve"> </w:t>
      </w:r>
      <w:r w:rsidRPr="008516D1">
        <w:t>toute</w:t>
      </w:r>
      <w:r>
        <w:t xml:space="preserve"> </w:t>
      </w:r>
      <w:r w:rsidRPr="008516D1">
        <w:t>modification</w:t>
      </w:r>
      <w:r>
        <w:t xml:space="preserve"> </w:t>
      </w:r>
      <w:r w:rsidRPr="008516D1">
        <w:t>ou</w:t>
      </w:r>
      <w:r>
        <w:t xml:space="preserve"> </w:t>
      </w:r>
      <w:r w:rsidRPr="008516D1">
        <w:t>perte</w:t>
      </w:r>
      <w:r>
        <w:t xml:space="preserve"> </w:t>
      </w:r>
      <w:r w:rsidRPr="008516D1">
        <w:t>de</w:t>
      </w:r>
      <w:r>
        <w:t xml:space="preserve"> </w:t>
      </w:r>
      <w:r w:rsidRPr="008516D1">
        <w:t>celles-ci.</w:t>
      </w:r>
    </w:p>
    <w:p w14:paraId="788894F8" w14:textId="06AE0F40" w:rsidR="00286956" w:rsidRPr="008516D1" w:rsidRDefault="00286956" w:rsidP="00286956">
      <w:pPr>
        <w:pStyle w:val="SingleTxtG"/>
      </w:pPr>
      <w:r w:rsidRPr="008516D1">
        <w:t>148.</w:t>
      </w:r>
      <w:r w:rsidRPr="008516D1">
        <w:tab/>
        <w:t>En</w:t>
      </w:r>
      <w:r>
        <w:t xml:space="preserve"> </w:t>
      </w:r>
      <w:r w:rsidRPr="008516D1">
        <w:t>outre,</w:t>
      </w:r>
      <w:r>
        <w:t xml:space="preserve"> </w:t>
      </w:r>
      <w:r w:rsidRPr="008516D1">
        <w:t>les</w:t>
      </w:r>
      <w:r>
        <w:t xml:space="preserve"> </w:t>
      </w:r>
      <w:r w:rsidRPr="008516D1">
        <w:t>autorités</w:t>
      </w:r>
      <w:r>
        <w:t xml:space="preserve"> </w:t>
      </w:r>
      <w:r w:rsidRPr="008516D1">
        <w:t>pénitentiaires</w:t>
      </w:r>
      <w:r>
        <w:t xml:space="preserve"> </w:t>
      </w:r>
      <w:r w:rsidRPr="008516D1">
        <w:t>sont</w:t>
      </w:r>
      <w:r>
        <w:t xml:space="preserve"> </w:t>
      </w:r>
      <w:r w:rsidRPr="008516D1">
        <w:t>tenues</w:t>
      </w:r>
      <w:r>
        <w:t xml:space="preserve"> </w:t>
      </w:r>
      <w:r w:rsidRPr="008516D1">
        <w:t>de</w:t>
      </w:r>
      <w:r>
        <w:t xml:space="preserve"> </w:t>
      </w:r>
      <w:r w:rsidRPr="008516D1">
        <w:t>respecter</w:t>
      </w:r>
      <w:r>
        <w:t xml:space="preserve"> </w:t>
      </w:r>
      <w:r w:rsidRPr="008516D1">
        <w:t>la</w:t>
      </w:r>
      <w:r>
        <w:t xml:space="preserve"> </w:t>
      </w:r>
      <w:r w:rsidRPr="008516D1">
        <w:t>confidentialité</w:t>
      </w:r>
      <w:r>
        <w:t xml:space="preserve"> </w:t>
      </w:r>
      <w:r w:rsidRPr="008516D1">
        <w:t>dans</w:t>
      </w:r>
      <w:r>
        <w:t xml:space="preserve"> </w:t>
      </w:r>
      <w:r w:rsidRPr="008516D1">
        <w:t>le</w:t>
      </w:r>
      <w:r>
        <w:t xml:space="preserve"> </w:t>
      </w:r>
      <w:r w:rsidRPr="008516D1">
        <w:t>traitement</w:t>
      </w:r>
      <w:r>
        <w:t xml:space="preserve"> </w:t>
      </w:r>
      <w:r w:rsidRPr="008516D1">
        <w:t>des</w:t>
      </w:r>
      <w:r>
        <w:t xml:space="preserve"> </w:t>
      </w:r>
      <w:r w:rsidRPr="008516D1">
        <w:t>données</w:t>
      </w:r>
      <w:r>
        <w:t xml:space="preserve"> </w:t>
      </w:r>
      <w:r w:rsidRPr="008516D1">
        <w:t>et</w:t>
      </w:r>
      <w:r>
        <w:t xml:space="preserve"> </w:t>
      </w:r>
      <w:r w:rsidRPr="008516D1">
        <w:t>sont</w:t>
      </w:r>
      <w:r>
        <w:t xml:space="preserve"> </w:t>
      </w:r>
      <w:r w:rsidRPr="008516D1">
        <w:t>pénalement</w:t>
      </w:r>
      <w:r>
        <w:t xml:space="preserve"> </w:t>
      </w:r>
      <w:r w:rsidRPr="008516D1">
        <w:t>responsables</w:t>
      </w:r>
      <w:r>
        <w:t xml:space="preserve"> </w:t>
      </w:r>
      <w:r w:rsidRPr="008516D1">
        <w:t>en</w:t>
      </w:r>
      <w:r>
        <w:t xml:space="preserve"> </w:t>
      </w:r>
      <w:r w:rsidRPr="008516D1">
        <w:t>cas</w:t>
      </w:r>
      <w:r>
        <w:t xml:space="preserve"> </w:t>
      </w:r>
      <w:r w:rsidRPr="008516D1">
        <w:t>de</w:t>
      </w:r>
      <w:r>
        <w:t xml:space="preserve"> </w:t>
      </w:r>
      <w:r w:rsidRPr="008516D1">
        <w:t>mauvaise</w:t>
      </w:r>
      <w:r>
        <w:t xml:space="preserve"> </w:t>
      </w:r>
      <w:r w:rsidRPr="008516D1">
        <w:t>gestion</w:t>
      </w:r>
      <w:r>
        <w:t xml:space="preserve"> </w:t>
      </w:r>
      <w:r w:rsidRPr="008516D1">
        <w:t>dans</w:t>
      </w:r>
      <w:r>
        <w:t xml:space="preserve"> </w:t>
      </w:r>
      <w:r w:rsidRPr="008516D1">
        <w:t>ce</w:t>
      </w:r>
      <w:r w:rsidR="00C240B4">
        <w:t> </w:t>
      </w:r>
      <w:r w:rsidRPr="008516D1">
        <w:t>domaine.</w:t>
      </w:r>
    </w:p>
    <w:p w14:paraId="2AC7E468" w14:textId="24FEADEF" w:rsidR="00286956" w:rsidRPr="008516D1" w:rsidRDefault="00286956" w:rsidP="00286956">
      <w:pPr>
        <w:pStyle w:val="H1G"/>
      </w:pPr>
      <w:bookmarkStart w:id="26" w:name="_Toc76740432"/>
      <w:r w:rsidRPr="008516D1">
        <w:tab/>
        <w:t>L.</w:t>
      </w:r>
      <w:r w:rsidRPr="008516D1">
        <w:tab/>
        <w:t>Mesures</w:t>
      </w:r>
      <w:r>
        <w:t xml:space="preserve"> </w:t>
      </w:r>
      <w:r w:rsidRPr="008516D1">
        <w:t>visant</w:t>
      </w:r>
      <w:r>
        <w:t xml:space="preserve"> </w:t>
      </w:r>
      <w:r w:rsidRPr="008516D1">
        <w:t>à</w:t>
      </w:r>
      <w:r>
        <w:t xml:space="preserve"> </w:t>
      </w:r>
      <w:r w:rsidRPr="008516D1">
        <w:t>assurer</w:t>
      </w:r>
      <w:r>
        <w:t xml:space="preserve"> </w:t>
      </w:r>
      <w:r w:rsidRPr="008516D1">
        <w:t>la</w:t>
      </w:r>
      <w:r>
        <w:t xml:space="preserve"> </w:t>
      </w:r>
      <w:r w:rsidRPr="008516D1">
        <w:t>protection</w:t>
      </w:r>
      <w:r>
        <w:t xml:space="preserve"> </w:t>
      </w:r>
      <w:r w:rsidRPr="008516D1">
        <w:t>des</w:t>
      </w:r>
      <w:r>
        <w:t xml:space="preserve"> </w:t>
      </w:r>
      <w:r w:rsidRPr="008516D1">
        <w:t>enfants</w:t>
      </w:r>
      <w:r>
        <w:t xml:space="preserve"> </w:t>
      </w:r>
      <w:r w:rsidRPr="008516D1">
        <w:t>et</w:t>
      </w:r>
      <w:r>
        <w:t xml:space="preserve"> </w:t>
      </w:r>
      <w:r w:rsidRPr="008516D1">
        <w:t>des</w:t>
      </w:r>
      <w:r>
        <w:t xml:space="preserve"> </w:t>
      </w:r>
      <w:r w:rsidRPr="008516D1">
        <w:t>adolescents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25)</w:t>
      </w:r>
      <w:bookmarkEnd w:id="26"/>
    </w:p>
    <w:p w14:paraId="51923C6D" w14:textId="77777777" w:rsidR="00286956" w:rsidRPr="008516D1" w:rsidRDefault="00286956" w:rsidP="00286956">
      <w:pPr>
        <w:pStyle w:val="SingleTxtG"/>
      </w:pPr>
      <w:r w:rsidRPr="008516D1">
        <w:t>149.</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43</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redoubler</w:t>
      </w:r>
      <w:r>
        <w:t xml:space="preserve"> </w:t>
      </w:r>
      <w:r w:rsidRPr="008516D1">
        <w:t>d</w:t>
      </w:r>
      <w:r>
        <w:t>’</w:t>
      </w:r>
      <w:r w:rsidRPr="008516D1">
        <w:t>efforts</w:t>
      </w:r>
      <w:r>
        <w:t xml:space="preserve"> </w:t>
      </w:r>
      <w:r w:rsidRPr="008516D1">
        <w:t>pour</w:t>
      </w:r>
      <w:r>
        <w:t xml:space="preserve"> </w:t>
      </w:r>
      <w:r w:rsidRPr="008516D1">
        <w:t>rechercher</w:t>
      </w:r>
      <w:r>
        <w:t xml:space="preserve"> </w:t>
      </w:r>
      <w:r w:rsidRPr="008516D1">
        <w:t>et</w:t>
      </w:r>
      <w:r>
        <w:t xml:space="preserve"> </w:t>
      </w:r>
      <w:r w:rsidRPr="008516D1">
        <w:t>identifier</w:t>
      </w:r>
      <w:r>
        <w:t xml:space="preserve"> </w:t>
      </w:r>
      <w:r w:rsidRPr="008516D1">
        <w:t>les</w:t>
      </w:r>
      <w:r>
        <w:t xml:space="preserve"> </w:t>
      </w:r>
      <w:r w:rsidRPr="008516D1">
        <w:t>enfants</w:t>
      </w:r>
      <w:r>
        <w:t xml:space="preserve"> </w:t>
      </w:r>
      <w:r w:rsidRPr="008516D1">
        <w:t>et</w:t>
      </w:r>
      <w:r>
        <w:t xml:space="preserve"> </w:t>
      </w:r>
      <w:r w:rsidRPr="008516D1">
        <w:t>adolescents</w:t>
      </w:r>
      <w:r>
        <w:t xml:space="preserve"> </w:t>
      </w:r>
      <w:r w:rsidRPr="008516D1">
        <w:t>susceptibles</w:t>
      </w:r>
      <w:r>
        <w:t xml:space="preserve"> </w:t>
      </w:r>
      <w:r w:rsidRPr="008516D1">
        <w:t>d</w:t>
      </w:r>
      <w:r>
        <w:t>’</w:t>
      </w:r>
      <w:r w:rsidRPr="008516D1">
        <w:t>avoir</w:t>
      </w:r>
      <w:r>
        <w:t xml:space="preserve"> </w:t>
      </w:r>
      <w:r w:rsidRPr="008516D1">
        <w:t>été</w:t>
      </w:r>
      <w:r>
        <w:t xml:space="preserve"> </w:t>
      </w:r>
      <w:r w:rsidRPr="008516D1">
        <w:t>victimes</w:t>
      </w:r>
      <w:r>
        <w:t xml:space="preserve"> </w:t>
      </w:r>
      <w:r w:rsidRPr="008516D1">
        <w:t>d</w:t>
      </w:r>
      <w:r>
        <w:t>’</w:t>
      </w:r>
      <w:r w:rsidRPr="008516D1">
        <w:t>enlèvement,</w:t>
      </w:r>
      <w:r>
        <w:t xml:space="preserve"> </w:t>
      </w:r>
      <w:r w:rsidRPr="008516D1">
        <w:t>de</w:t>
      </w:r>
      <w:r>
        <w:t xml:space="preserve"> </w:t>
      </w:r>
      <w:r w:rsidRPr="008516D1">
        <w:t>disparition</w:t>
      </w:r>
      <w:r>
        <w:t xml:space="preserve"> </w:t>
      </w:r>
      <w:r w:rsidRPr="008516D1">
        <w:t>forcée</w:t>
      </w:r>
      <w:r>
        <w:t xml:space="preserve"> </w:t>
      </w:r>
      <w:r w:rsidRPr="008516D1">
        <w:t>ou</w:t>
      </w:r>
      <w:r>
        <w:t xml:space="preserve"> </w:t>
      </w:r>
      <w:r w:rsidRPr="008516D1">
        <w:t>de</w:t>
      </w:r>
      <w:r>
        <w:t xml:space="preserve"> </w:t>
      </w:r>
      <w:r w:rsidRPr="008516D1">
        <w:t>substitution</w:t>
      </w:r>
      <w:r>
        <w:t xml:space="preserve"> </w:t>
      </w:r>
      <w:r w:rsidRPr="008516D1">
        <w:t>d</w:t>
      </w:r>
      <w:r>
        <w:t>’</w:t>
      </w:r>
      <w:r w:rsidRPr="008516D1">
        <w:t>identité,</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la</w:t>
      </w:r>
      <w:r>
        <w:t xml:space="preserve"> </w:t>
      </w:r>
      <w:r w:rsidRPr="008516D1">
        <w:t>création</w:t>
      </w:r>
      <w:r>
        <w:t xml:space="preserve"> </w:t>
      </w:r>
      <w:r w:rsidRPr="008516D1">
        <w:t>de</w:t>
      </w:r>
      <w:r>
        <w:t xml:space="preserve"> </w:t>
      </w:r>
      <w:r w:rsidRPr="008516D1">
        <w:t>l</w:t>
      </w:r>
      <w:r>
        <w:t>’</w:t>
      </w:r>
      <w:r w:rsidRPr="008516D1">
        <w:t>Unité</w:t>
      </w:r>
      <w:r>
        <w:t xml:space="preserve"> </w:t>
      </w:r>
      <w:r w:rsidRPr="008516D1">
        <w:t>de</w:t>
      </w:r>
      <w:r>
        <w:t xml:space="preserve"> </w:t>
      </w:r>
      <w:r w:rsidRPr="008516D1">
        <w:t>recherche</w:t>
      </w:r>
      <w:r>
        <w:t xml:space="preserve"> </w:t>
      </w:r>
      <w:r w:rsidRPr="008516D1">
        <w:t>de</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qui</w:t>
      </w:r>
      <w:r>
        <w:t xml:space="preserve"> </w:t>
      </w:r>
      <w:r w:rsidRPr="008516D1">
        <w:t>met</w:t>
      </w:r>
      <w:r>
        <w:t xml:space="preserve"> </w:t>
      </w:r>
      <w:r w:rsidRPr="008516D1">
        <w:t>en</w:t>
      </w:r>
      <w:r>
        <w:t xml:space="preserve"> </w:t>
      </w:r>
      <w:r w:rsidRPr="008516D1">
        <w:t>œuvre</w:t>
      </w:r>
      <w:r>
        <w:t xml:space="preserve"> </w:t>
      </w:r>
      <w:r w:rsidRPr="008516D1">
        <w:t>le</w:t>
      </w:r>
      <w:r>
        <w:t xml:space="preserve"> </w:t>
      </w:r>
      <w:r w:rsidRPr="008516D1">
        <w:t>système</w:t>
      </w:r>
      <w:r>
        <w:t xml:space="preserve"> </w:t>
      </w:r>
      <w:r w:rsidRPr="008516D1">
        <w:t>d</w:t>
      </w:r>
      <w:r>
        <w:t>’</w:t>
      </w:r>
      <w:r w:rsidRPr="008516D1">
        <w:t>alerte</w:t>
      </w:r>
      <w:r>
        <w:t xml:space="preserve"> </w:t>
      </w:r>
      <w:r w:rsidRPr="008516D1">
        <w:t>précoce</w:t>
      </w:r>
      <w:r>
        <w:t xml:space="preserve"> </w:t>
      </w:r>
      <w:r w:rsidRPr="008516D1">
        <w:t>Amber</w:t>
      </w:r>
      <w:r w:rsidRPr="008516D1">
        <w:rPr>
          <w:rStyle w:val="Appelnotedebasdep"/>
        </w:rPr>
        <w:footnoteReference w:id="96"/>
      </w:r>
      <w:r w:rsidRPr="008516D1">
        <w:t>.</w:t>
      </w:r>
      <w:r>
        <w:t xml:space="preserve"> </w:t>
      </w:r>
      <w:r w:rsidRPr="008516D1">
        <w:t>Cette</w:t>
      </w:r>
      <w:r>
        <w:t xml:space="preserve"> </w:t>
      </w:r>
      <w:r w:rsidRPr="008516D1">
        <w:t>plateforme</w:t>
      </w:r>
      <w:r>
        <w:t xml:space="preserve"> </w:t>
      </w:r>
      <w:r w:rsidRPr="008516D1">
        <w:t>permet</w:t>
      </w:r>
      <w:r>
        <w:t xml:space="preserve"> </w:t>
      </w:r>
      <w:r w:rsidRPr="008516D1">
        <w:t>de</w:t>
      </w:r>
      <w:r>
        <w:t xml:space="preserve"> </w:t>
      </w:r>
      <w:r w:rsidRPr="008516D1">
        <w:t>lancer</w:t>
      </w:r>
      <w:r>
        <w:t xml:space="preserve"> </w:t>
      </w:r>
      <w:r w:rsidRPr="008516D1">
        <w:t>une</w:t>
      </w:r>
      <w:r>
        <w:t xml:space="preserve"> </w:t>
      </w:r>
      <w:r w:rsidRPr="008516D1">
        <w:t>alerte</w:t>
      </w:r>
      <w:r>
        <w:t xml:space="preserve"> </w:t>
      </w:r>
      <w:r w:rsidRPr="008516D1">
        <w:t>précoce</w:t>
      </w:r>
      <w:r>
        <w:t xml:space="preserve"> </w:t>
      </w:r>
      <w:r w:rsidRPr="008516D1">
        <w:t>pour</w:t>
      </w:r>
      <w:r>
        <w:t xml:space="preserve"> </w:t>
      </w:r>
      <w:r w:rsidRPr="008516D1">
        <w:t>la</w:t>
      </w:r>
      <w:r>
        <w:t xml:space="preserve"> </w:t>
      </w:r>
      <w:r w:rsidRPr="008516D1">
        <w:t>recherche,</w:t>
      </w:r>
      <w:r>
        <w:t xml:space="preserve"> </w:t>
      </w:r>
      <w:r w:rsidRPr="008516D1">
        <w:t>la</w:t>
      </w:r>
      <w:r>
        <w:t xml:space="preserve"> </w:t>
      </w:r>
      <w:r w:rsidRPr="008516D1">
        <w:t>localisation</w:t>
      </w:r>
      <w:r>
        <w:t xml:space="preserve"> </w:t>
      </w:r>
      <w:r w:rsidRPr="008516D1">
        <w:t>et</w:t>
      </w:r>
      <w:r>
        <w:t xml:space="preserve"> </w:t>
      </w:r>
      <w:r w:rsidRPr="008516D1">
        <w:t>la</w:t>
      </w:r>
      <w:r>
        <w:t xml:space="preserve"> </w:t>
      </w:r>
      <w:r w:rsidRPr="008516D1">
        <w:t>protection</w:t>
      </w:r>
      <w:r>
        <w:t xml:space="preserve"> </w:t>
      </w:r>
      <w:r w:rsidRPr="008516D1">
        <w:t>immédiate</w:t>
      </w:r>
      <w:r>
        <w:t xml:space="preserve"> </w:t>
      </w:r>
      <w:r w:rsidRPr="008516D1">
        <w:t>des</w:t>
      </w:r>
      <w:r>
        <w:t xml:space="preserve"> </w:t>
      </w:r>
      <w:r w:rsidRPr="008516D1">
        <w:t>enfants</w:t>
      </w:r>
      <w:r>
        <w:t xml:space="preserve"> </w:t>
      </w:r>
      <w:r w:rsidRPr="008516D1">
        <w:t>disparus,</w:t>
      </w:r>
      <w:r>
        <w:t xml:space="preserve"> </w:t>
      </w:r>
      <w:r w:rsidRPr="008516D1">
        <w:t>enlevés,</w:t>
      </w:r>
      <w:r>
        <w:t xml:space="preserve"> </w:t>
      </w:r>
      <w:r w:rsidRPr="008516D1">
        <w:t>kidnappés</w:t>
      </w:r>
      <w:r>
        <w:t xml:space="preserve"> </w:t>
      </w:r>
      <w:r w:rsidRPr="008516D1">
        <w:t>ou</w:t>
      </w:r>
      <w:r>
        <w:t xml:space="preserve"> </w:t>
      </w:r>
      <w:r w:rsidRPr="008516D1">
        <w:t>séquestrés.</w:t>
      </w:r>
    </w:p>
    <w:p w14:paraId="722508D9" w14:textId="77777777" w:rsidR="00286956" w:rsidRPr="008516D1" w:rsidRDefault="00286956" w:rsidP="00286956">
      <w:pPr>
        <w:pStyle w:val="SingleTxtG"/>
      </w:pPr>
      <w:r w:rsidRPr="008516D1">
        <w:t>150.</w:t>
      </w:r>
      <w:r w:rsidRPr="008516D1">
        <w:tab/>
        <w:t>Le</w:t>
      </w:r>
      <w:r>
        <w:t xml:space="preserve"> </w:t>
      </w:r>
      <w:r w:rsidRPr="008516D1">
        <w:t>message</w:t>
      </w:r>
      <w:r>
        <w:t xml:space="preserve"> </w:t>
      </w:r>
      <w:r w:rsidRPr="008516D1">
        <w:t>d</w:t>
      </w:r>
      <w:r>
        <w:t>’</w:t>
      </w:r>
      <w:r w:rsidRPr="008516D1">
        <w:t>alerte</w:t>
      </w:r>
      <w:r>
        <w:t xml:space="preserve"> </w:t>
      </w:r>
      <w:r w:rsidRPr="008516D1">
        <w:t>Amber</w:t>
      </w:r>
      <w:r>
        <w:t xml:space="preserve"> </w:t>
      </w:r>
      <w:r w:rsidRPr="008516D1">
        <w:t>contient</w:t>
      </w:r>
      <w:r>
        <w:t xml:space="preserve"> </w:t>
      </w:r>
      <w:r w:rsidRPr="008516D1">
        <w:t>des</w:t>
      </w:r>
      <w:r>
        <w:t xml:space="preserve"> </w:t>
      </w:r>
      <w:r w:rsidRPr="008516D1">
        <w:t>informations</w:t>
      </w:r>
      <w:r>
        <w:t xml:space="preserve"> </w:t>
      </w:r>
      <w:r w:rsidRPr="008516D1">
        <w:t>générales</w:t>
      </w:r>
      <w:r>
        <w:t xml:space="preserve"> </w:t>
      </w:r>
      <w:r w:rsidRPr="008516D1">
        <w:t>sur</w:t>
      </w:r>
      <w:r>
        <w:t xml:space="preserve"> </w:t>
      </w:r>
      <w:r w:rsidRPr="008516D1">
        <w:t>les</w:t>
      </w:r>
      <w:r>
        <w:t xml:space="preserve"> </w:t>
      </w:r>
      <w:r w:rsidRPr="008516D1">
        <w:t>victimes</w:t>
      </w:r>
      <w:r>
        <w:t xml:space="preserve"> </w:t>
      </w:r>
      <w:r w:rsidRPr="008516D1">
        <w:t>(nom,</w:t>
      </w:r>
      <w:r>
        <w:t xml:space="preserve"> </w:t>
      </w:r>
      <w:r w:rsidRPr="008516D1">
        <w:t>âge,</w:t>
      </w:r>
      <w:r>
        <w:t xml:space="preserve"> </w:t>
      </w:r>
      <w:r w:rsidRPr="008516D1">
        <w:t>sexe,</w:t>
      </w:r>
      <w:r>
        <w:t xml:space="preserve"> </w:t>
      </w:r>
      <w:r w:rsidRPr="008516D1">
        <w:t>nationalité,</w:t>
      </w:r>
      <w:r>
        <w:t xml:space="preserve"> </w:t>
      </w:r>
      <w:r w:rsidRPr="008516D1">
        <w:t>dernier</w:t>
      </w:r>
      <w:r>
        <w:t xml:space="preserve"> </w:t>
      </w:r>
      <w:r w:rsidRPr="008516D1">
        <w:t>lieu</w:t>
      </w:r>
      <w:r>
        <w:t xml:space="preserve"> </w:t>
      </w:r>
      <w:r w:rsidRPr="008516D1">
        <w:t>de</w:t>
      </w:r>
      <w:r>
        <w:t xml:space="preserve"> </w:t>
      </w:r>
      <w:r w:rsidRPr="008516D1">
        <w:t>résidence,</w:t>
      </w:r>
      <w:r>
        <w:t xml:space="preserve"> </w:t>
      </w:r>
      <w:r w:rsidRPr="008516D1">
        <w:t>caractéristiques</w:t>
      </w:r>
      <w:r>
        <w:t xml:space="preserve"> </w:t>
      </w:r>
      <w:r w:rsidRPr="008516D1">
        <w:t>physiques,</w:t>
      </w:r>
      <w:r>
        <w:t xml:space="preserve"> </w:t>
      </w:r>
      <w:r w:rsidRPr="008516D1">
        <w:t>entre</w:t>
      </w:r>
      <w:r>
        <w:t xml:space="preserve"> </w:t>
      </w:r>
      <w:r w:rsidRPr="008516D1">
        <w:t>autres)</w:t>
      </w:r>
      <w:r w:rsidRPr="008516D1">
        <w:rPr>
          <w:rStyle w:val="Appelnotedebasdep"/>
        </w:rPr>
        <w:footnoteReference w:id="97"/>
      </w:r>
      <w:r>
        <w:t xml:space="preserve"> </w:t>
      </w:r>
      <w:r w:rsidRPr="008516D1">
        <w:t>et</w:t>
      </w:r>
      <w:r>
        <w:t xml:space="preserve"> </w:t>
      </w:r>
      <w:r w:rsidRPr="008516D1">
        <w:t>une</w:t>
      </w:r>
      <w:r>
        <w:t xml:space="preserve"> </w:t>
      </w:r>
      <w:r w:rsidRPr="008516D1">
        <w:t>photographie</w:t>
      </w:r>
      <w:r>
        <w:t xml:space="preserve"> </w:t>
      </w:r>
      <w:r w:rsidRPr="008516D1">
        <w:t>d</w:t>
      </w:r>
      <w:r>
        <w:t>’</w:t>
      </w:r>
      <w:r w:rsidRPr="008516D1">
        <w:t>identité.</w:t>
      </w:r>
      <w:r>
        <w:t xml:space="preserve"> </w:t>
      </w:r>
      <w:r w:rsidRPr="008516D1">
        <w:t>Entre</w:t>
      </w:r>
      <w:r>
        <w:t xml:space="preserve"> </w:t>
      </w:r>
      <w:r w:rsidRPr="008516D1">
        <w:t>autres</w:t>
      </w:r>
      <w:r>
        <w:t xml:space="preserve"> </w:t>
      </w:r>
      <w:r w:rsidRPr="008516D1">
        <w:t>institutions,</w:t>
      </w:r>
      <w:r>
        <w:t xml:space="preserve"> </w:t>
      </w:r>
      <w:r w:rsidRPr="008516D1">
        <w:t>la</w:t>
      </w:r>
      <w:r>
        <w:t xml:space="preserve"> </w:t>
      </w:r>
      <w:r w:rsidRPr="008516D1">
        <w:t>plateforme</w:t>
      </w:r>
      <w:r>
        <w:t xml:space="preserve"> </w:t>
      </w:r>
      <w:r w:rsidRPr="008516D1">
        <w:t>Amber</w:t>
      </w:r>
      <w:r>
        <w:t xml:space="preserve"> </w:t>
      </w:r>
      <w:r w:rsidRPr="008516D1">
        <w:t>réunit</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police</w:t>
      </w:r>
      <w:r>
        <w:t xml:space="preserve"> </w:t>
      </w:r>
      <w:r w:rsidRPr="008516D1">
        <w:t>judiciaire,</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la</w:t>
      </w:r>
      <w:r>
        <w:t xml:space="preserve"> </w:t>
      </w:r>
      <w:r w:rsidRPr="008516D1">
        <w:t>Commission</w:t>
      </w:r>
      <w:r>
        <w:t xml:space="preserve"> </w:t>
      </w:r>
      <w:r w:rsidRPr="008516D1">
        <w:t>nationale</w:t>
      </w:r>
      <w:r>
        <w:t xml:space="preserve"> </w:t>
      </w:r>
      <w:r w:rsidRPr="008516D1">
        <w:t>des</w:t>
      </w:r>
      <w:r>
        <w:t xml:space="preserve"> </w:t>
      </w:r>
      <w:r w:rsidRPr="008516D1">
        <w:t>télécommunications</w:t>
      </w:r>
      <w:r>
        <w:t xml:space="preserve"> </w:t>
      </w:r>
      <w:r w:rsidRPr="008516D1">
        <w:t>et</w:t>
      </w:r>
      <w:r>
        <w:t xml:space="preserve"> </w:t>
      </w:r>
      <w:r w:rsidRPr="008516D1">
        <w:t>le</w:t>
      </w:r>
      <w:r>
        <w:t xml:space="preserve"> </w:t>
      </w:r>
      <w:r w:rsidRPr="008516D1">
        <w:t>Système</w:t>
      </w:r>
      <w:r>
        <w:t xml:space="preserve"> </w:t>
      </w:r>
      <w:r w:rsidRPr="008516D1">
        <w:t>national</w:t>
      </w:r>
      <w:r>
        <w:t xml:space="preserve"> </w:t>
      </w:r>
      <w:r w:rsidRPr="008516D1">
        <w:t>d</w:t>
      </w:r>
      <w:r>
        <w:t>’</w:t>
      </w:r>
      <w:r w:rsidRPr="008516D1">
        <w:t>urgence</w:t>
      </w:r>
      <w:r>
        <w:t xml:space="preserve"> </w:t>
      </w:r>
      <w:r w:rsidRPr="008516D1">
        <w:t>911,</w:t>
      </w:r>
      <w:r>
        <w:t xml:space="preserve"> </w:t>
      </w:r>
      <w:r w:rsidRPr="008516D1">
        <w:t>ce</w:t>
      </w:r>
      <w:r>
        <w:t xml:space="preserve"> </w:t>
      </w:r>
      <w:r w:rsidRPr="008516D1">
        <w:t>qui</w:t>
      </w:r>
      <w:r>
        <w:t xml:space="preserve"> </w:t>
      </w:r>
      <w:r w:rsidRPr="008516D1">
        <w:t>permet</w:t>
      </w:r>
      <w:r>
        <w:t xml:space="preserve"> </w:t>
      </w:r>
      <w:r w:rsidRPr="008516D1">
        <w:t>d</w:t>
      </w:r>
      <w:r>
        <w:t>’</w:t>
      </w:r>
      <w:r w:rsidRPr="008516D1">
        <w:t>effectuer</w:t>
      </w:r>
      <w:r>
        <w:t xml:space="preserve"> </w:t>
      </w:r>
      <w:r w:rsidRPr="008516D1">
        <w:t>des</w:t>
      </w:r>
      <w:r>
        <w:t xml:space="preserve"> </w:t>
      </w:r>
      <w:r w:rsidRPr="008516D1">
        <w:t>recherches</w:t>
      </w:r>
      <w:r>
        <w:t xml:space="preserve"> </w:t>
      </w:r>
      <w:r w:rsidRPr="008516D1">
        <w:t>en</w:t>
      </w:r>
      <w:r>
        <w:t xml:space="preserve"> </w:t>
      </w:r>
      <w:r w:rsidRPr="008516D1">
        <w:t>utilisant</w:t>
      </w:r>
      <w:r>
        <w:t xml:space="preserve"> </w:t>
      </w:r>
      <w:r w:rsidRPr="008516D1">
        <w:t>le</w:t>
      </w:r>
      <w:r>
        <w:t xml:space="preserve"> </w:t>
      </w:r>
      <w:r w:rsidRPr="008516D1">
        <w:t>réseau</w:t>
      </w:r>
      <w:r>
        <w:t xml:space="preserve"> </w:t>
      </w:r>
      <w:r w:rsidRPr="008516D1">
        <w:t>de</w:t>
      </w:r>
      <w:r>
        <w:t xml:space="preserve"> </w:t>
      </w:r>
      <w:r w:rsidRPr="008516D1">
        <w:t>téléphonie</w:t>
      </w:r>
      <w:r>
        <w:t xml:space="preserve"> </w:t>
      </w:r>
      <w:r w:rsidRPr="008516D1">
        <w:t>mobile,</w:t>
      </w:r>
      <w:r>
        <w:t xml:space="preserve"> </w:t>
      </w:r>
      <w:r w:rsidRPr="008516D1">
        <w:t>la</w:t>
      </w:r>
      <w:r>
        <w:t xml:space="preserve"> </w:t>
      </w:r>
      <w:r w:rsidRPr="008516D1">
        <w:t>radio,</w:t>
      </w:r>
      <w:r>
        <w:t xml:space="preserve"> </w:t>
      </w:r>
      <w:r w:rsidRPr="008516D1">
        <w:t>la</w:t>
      </w:r>
      <w:r>
        <w:t xml:space="preserve"> </w:t>
      </w:r>
      <w:r w:rsidRPr="008516D1">
        <w:t>télévision</w:t>
      </w:r>
      <w:r>
        <w:t xml:space="preserve"> </w:t>
      </w:r>
      <w:r w:rsidRPr="008516D1">
        <w:t>et</w:t>
      </w:r>
      <w:r>
        <w:t xml:space="preserve"> </w:t>
      </w:r>
      <w:r w:rsidRPr="008516D1">
        <w:t>les</w:t>
      </w:r>
      <w:r>
        <w:t xml:space="preserve"> </w:t>
      </w:r>
      <w:r w:rsidRPr="008516D1">
        <w:t>réseaux</w:t>
      </w:r>
      <w:r>
        <w:t xml:space="preserve"> </w:t>
      </w:r>
      <w:r w:rsidRPr="008516D1">
        <w:t>sociaux.</w:t>
      </w:r>
    </w:p>
    <w:p w14:paraId="11D15237" w14:textId="77777777" w:rsidR="00286956" w:rsidRPr="008516D1" w:rsidRDefault="00286956" w:rsidP="00286956">
      <w:pPr>
        <w:pStyle w:val="SingleTxtG"/>
      </w:pPr>
      <w:r w:rsidRPr="008516D1">
        <w:t>151.</w:t>
      </w:r>
      <w:r w:rsidRPr="008516D1">
        <w:tab/>
        <w:t>En</w:t>
      </w:r>
      <w:r>
        <w:t xml:space="preserve"> </w:t>
      </w:r>
      <w:r w:rsidRPr="008516D1">
        <w:t>ce</w:t>
      </w:r>
      <w:r>
        <w:t xml:space="preserve"> </w:t>
      </w:r>
      <w:r w:rsidRPr="008516D1">
        <w:t>qui</w:t>
      </w:r>
      <w:r>
        <w:t xml:space="preserve"> </w:t>
      </w:r>
      <w:r w:rsidRPr="008516D1">
        <w:t>concerne</w:t>
      </w:r>
      <w:r>
        <w:t xml:space="preserve"> </w:t>
      </w:r>
      <w:r w:rsidRPr="008516D1">
        <w:t>la</w:t>
      </w:r>
      <w:r>
        <w:t xml:space="preserve"> </w:t>
      </w:r>
      <w:r w:rsidRPr="008516D1">
        <w:t>création</w:t>
      </w:r>
      <w:r>
        <w:t xml:space="preserve"> </w:t>
      </w:r>
      <w:r w:rsidRPr="008516D1">
        <w:t>d</w:t>
      </w:r>
      <w:r>
        <w:t>’</w:t>
      </w:r>
      <w:r w:rsidRPr="008516D1">
        <w:t>une</w:t>
      </w:r>
      <w:r>
        <w:t xml:space="preserve"> </w:t>
      </w:r>
      <w:r w:rsidRPr="008516D1">
        <w:t>base</w:t>
      </w:r>
      <w:r>
        <w:t xml:space="preserve"> </w:t>
      </w:r>
      <w:r w:rsidRPr="008516D1">
        <w:t>de</w:t>
      </w:r>
      <w:r>
        <w:t xml:space="preserve"> </w:t>
      </w:r>
      <w:r w:rsidRPr="008516D1">
        <w:t>données</w:t>
      </w:r>
      <w:r>
        <w:t xml:space="preserve"> </w:t>
      </w:r>
      <w:r w:rsidRPr="008516D1">
        <w:t>ADN</w:t>
      </w:r>
      <w:r>
        <w:t xml:space="preserve"> </w:t>
      </w:r>
      <w:r w:rsidRPr="008516D1">
        <w:t>comprenant</w:t>
      </w:r>
      <w:r>
        <w:t xml:space="preserve"> </w:t>
      </w:r>
      <w:r w:rsidRPr="008516D1">
        <w:t>des</w:t>
      </w:r>
      <w:r>
        <w:t xml:space="preserve"> </w:t>
      </w:r>
      <w:r w:rsidRPr="008516D1">
        <w:t>échantillons</w:t>
      </w:r>
      <w:r>
        <w:t xml:space="preserve"> </w:t>
      </w:r>
      <w:r w:rsidRPr="008516D1">
        <w:t>génétiques,</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du</w:t>
      </w:r>
      <w:r>
        <w:t xml:space="preserve"> </w:t>
      </w:r>
      <w:r w:rsidRPr="008516D1">
        <w:t>programme</w:t>
      </w:r>
      <w:r>
        <w:t xml:space="preserve"> </w:t>
      </w:r>
      <w:r w:rsidRPr="008516D1">
        <w:rPr>
          <w:i/>
          <w:iCs/>
        </w:rPr>
        <w:t>DNA</w:t>
      </w:r>
      <w:r>
        <w:t xml:space="preserve"> </w:t>
      </w:r>
      <w:r w:rsidRPr="008516D1">
        <w:rPr>
          <w:i/>
          <w:iCs/>
        </w:rPr>
        <w:t>PROKIDS</w:t>
      </w:r>
      <w:r>
        <w:rPr>
          <w:i/>
          <w:iCs/>
        </w:rPr>
        <w:t xml:space="preserve"> </w:t>
      </w:r>
      <w:r w:rsidRPr="008516D1">
        <w:t>est</w:t>
      </w:r>
      <w:r>
        <w:t xml:space="preserve"> </w:t>
      </w:r>
      <w:r w:rsidRPr="008516D1">
        <w:t>actuellement</w:t>
      </w:r>
      <w:r>
        <w:t xml:space="preserve"> </w:t>
      </w:r>
      <w:r w:rsidRPr="008516D1">
        <w:t>en</w:t>
      </w:r>
      <w:r>
        <w:t xml:space="preserve"> </w:t>
      </w:r>
      <w:r w:rsidRPr="008516D1">
        <w:t>cours,</w:t>
      </w:r>
      <w:r>
        <w:t xml:space="preserve"> </w:t>
      </w:r>
      <w:r w:rsidRPr="008516D1">
        <w:t>dans</w:t>
      </w:r>
      <w:r>
        <w:t xml:space="preserve"> </w:t>
      </w:r>
      <w:r w:rsidRPr="008516D1">
        <w:t>le</w:t>
      </w:r>
      <w:r>
        <w:t xml:space="preserve"> </w:t>
      </w:r>
      <w:r w:rsidRPr="008516D1">
        <w:t>cadre</w:t>
      </w:r>
      <w:r>
        <w:t xml:space="preserve"> </w:t>
      </w:r>
      <w:r w:rsidRPr="008516D1">
        <w:t>d</w:t>
      </w:r>
      <w:r>
        <w:t>’</w:t>
      </w:r>
      <w:r w:rsidRPr="008516D1">
        <w:t>un</w:t>
      </w:r>
      <w:r>
        <w:t xml:space="preserve"> </w:t>
      </w:r>
      <w:r w:rsidRPr="008516D1">
        <w:t>accord</w:t>
      </w:r>
      <w:r>
        <w:t xml:space="preserve"> </w:t>
      </w:r>
      <w:r w:rsidRPr="008516D1">
        <w:t>conclu</w:t>
      </w:r>
      <w:r>
        <w:t xml:space="preserve"> </w:t>
      </w:r>
      <w:r w:rsidRPr="008516D1">
        <w:t>entre</w:t>
      </w:r>
      <w:r>
        <w:t xml:space="preserve"> </w:t>
      </w:r>
      <w:r w:rsidRPr="008516D1">
        <w:t>l</w:t>
      </w:r>
      <w:r>
        <w:t>’</w:t>
      </w:r>
      <w:r w:rsidRPr="008516D1">
        <w:t>Université</w:t>
      </w:r>
      <w:r>
        <w:t xml:space="preserve"> </w:t>
      </w:r>
      <w:r w:rsidRPr="008516D1">
        <w:t>de</w:t>
      </w:r>
      <w:r>
        <w:t xml:space="preserve"> </w:t>
      </w:r>
      <w:r w:rsidRPr="008516D1">
        <w:t>Grenade,</w:t>
      </w:r>
      <w:r>
        <w:t xml:space="preserve"> </w:t>
      </w:r>
      <w:r w:rsidRPr="008516D1">
        <w:t>la</w:t>
      </w:r>
      <w:r>
        <w:t xml:space="preserve"> </w:t>
      </w:r>
      <w:r w:rsidRPr="008516D1">
        <w:t>Direction</w:t>
      </w:r>
      <w:r>
        <w:t xml:space="preserve"> </w:t>
      </w:r>
      <w:r w:rsidRPr="008516D1">
        <w:lastRenderedPageBreak/>
        <w:t>générale</w:t>
      </w:r>
      <w:r>
        <w:t xml:space="preserve"> </w:t>
      </w:r>
      <w:r w:rsidRPr="008516D1">
        <w:t>de</w:t>
      </w:r>
      <w:r>
        <w:t xml:space="preserve"> </w:t>
      </w:r>
      <w:r w:rsidRPr="008516D1">
        <w:t>médecine</w:t>
      </w:r>
      <w:r>
        <w:t xml:space="preserve"> </w:t>
      </w:r>
      <w:r w:rsidRPr="008516D1">
        <w:t>légale</w:t>
      </w:r>
      <w:r>
        <w:t xml:space="preserve"> </w:t>
      </w:r>
      <w:r w:rsidRPr="008516D1">
        <w:t>du</w:t>
      </w:r>
      <w:r>
        <w:t xml:space="preserve"> </w:t>
      </w:r>
      <w:r w:rsidRPr="008516D1">
        <w:t>ministère</w:t>
      </w:r>
      <w:r>
        <w:t xml:space="preserve"> </w:t>
      </w:r>
      <w:r w:rsidRPr="008516D1">
        <w:t>public</w:t>
      </w:r>
      <w:r>
        <w:t xml:space="preserve"> </w:t>
      </w:r>
      <w:r w:rsidRPr="008516D1">
        <w:t>et</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pour</w:t>
      </w:r>
      <w:r>
        <w:t xml:space="preserve"> </w:t>
      </w:r>
      <w:r w:rsidRPr="008516D1">
        <w:t>permettre</w:t>
      </w:r>
      <w:r>
        <w:t xml:space="preserve"> </w:t>
      </w:r>
      <w:r w:rsidRPr="008516D1">
        <w:t>d</w:t>
      </w:r>
      <w:r>
        <w:t>’</w:t>
      </w:r>
      <w:r w:rsidRPr="008516D1">
        <w:t>identifier</w:t>
      </w:r>
      <w:r>
        <w:t xml:space="preserve"> </w:t>
      </w:r>
      <w:r w:rsidRPr="008516D1">
        <w:t>les</w:t>
      </w:r>
      <w:r>
        <w:t xml:space="preserve"> </w:t>
      </w:r>
      <w:r w:rsidRPr="008516D1">
        <w:t>victimes</w:t>
      </w:r>
      <w:r>
        <w:t xml:space="preserve"> </w:t>
      </w:r>
      <w:r w:rsidRPr="008516D1">
        <w:t>de</w:t>
      </w:r>
      <w:r>
        <w:t xml:space="preserve"> </w:t>
      </w:r>
      <w:r w:rsidRPr="008516D1">
        <w:t>trafic</w:t>
      </w:r>
      <w:r>
        <w:t xml:space="preserve"> </w:t>
      </w:r>
      <w:r w:rsidRPr="008516D1">
        <w:t>d</w:t>
      </w:r>
      <w:r>
        <w:t>’</w:t>
      </w:r>
      <w:r w:rsidRPr="008516D1">
        <w:t>êtres</w:t>
      </w:r>
      <w:r>
        <w:t xml:space="preserve"> </w:t>
      </w:r>
      <w:r w:rsidRPr="008516D1">
        <w:t>humains,</w:t>
      </w:r>
      <w:r>
        <w:t xml:space="preserve"> </w:t>
      </w:r>
      <w:r w:rsidRPr="008516D1">
        <w:t>y</w:t>
      </w:r>
      <w:r>
        <w:t xml:space="preserve"> </w:t>
      </w:r>
      <w:r w:rsidRPr="008516D1">
        <w:t>compris</w:t>
      </w:r>
      <w:r>
        <w:t xml:space="preserve"> </w:t>
      </w:r>
      <w:r w:rsidRPr="008516D1">
        <w:t>sous</w:t>
      </w:r>
      <w:r>
        <w:t xml:space="preserve"> </w:t>
      </w:r>
      <w:r w:rsidRPr="008516D1">
        <w:t>forme</w:t>
      </w:r>
      <w:r>
        <w:t xml:space="preserve"> </w:t>
      </w:r>
      <w:r w:rsidRPr="008516D1">
        <w:t>d</w:t>
      </w:r>
      <w:r>
        <w:t>’</w:t>
      </w:r>
      <w:r w:rsidRPr="008516D1">
        <w:t>adoptions</w:t>
      </w:r>
      <w:r>
        <w:t xml:space="preserve"> </w:t>
      </w:r>
      <w:r w:rsidRPr="008516D1">
        <w:t>illégales,</w:t>
      </w:r>
      <w:r>
        <w:t xml:space="preserve"> </w:t>
      </w:r>
      <w:r w:rsidRPr="008516D1">
        <w:t>et</w:t>
      </w:r>
      <w:r>
        <w:t xml:space="preserve"> </w:t>
      </w:r>
      <w:r w:rsidRPr="008516D1">
        <w:t>d</w:t>
      </w:r>
      <w:r>
        <w:t>’</w:t>
      </w:r>
      <w:r w:rsidRPr="008516D1">
        <w:t>obtenir</w:t>
      </w:r>
      <w:r>
        <w:t xml:space="preserve"> </w:t>
      </w:r>
      <w:r w:rsidRPr="008516D1">
        <w:t>des</w:t>
      </w:r>
      <w:r>
        <w:t xml:space="preserve"> </w:t>
      </w:r>
      <w:r w:rsidRPr="008516D1">
        <w:t>renseignements</w:t>
      </w:r>
      <w:r>
        <w:t xml:space="preserve"> </w:t>
      </w:r>
      <w:r w:rsidRPr="008516D1">
        <w:t>sur</w:t>
      </w:r>
      <w:r>
        <w:t xml:space="preserve"> </w:t>
      </w:r>
      <w:r w:rsidRPr="008516D1">
        <w:t>les</w:t>
      </w:r>
      <w:r>
        <w:t xml:space="preserve"> </w:t>
      </w:r>
      <w:r w:rsidRPr="008516D1">
        <w:t>origines,</w:t>
      </w:r>
      <w:r>
        <w:t xml:space="preserve"> </w:t>
      </w:r>
      <w:r w:rsidRPr="008516D1">
        <w:t>les</w:t>
      </w:r>
      <w:r>
        <w:t xml:space="preserve"> </w:t>
      </w:r>
      <w:r w:rsidRPr="008516D1">
        <w:t>itinéraires</w:t>
      </w:r>
      <w:r>
        <w:t xml:space="preserve"> </w:t>
      </w:r>
      <w:r w:rsidRPr="008516D1">
        <w:t>et</w:t>
      </w:r>
      <w:r>
        <w:t xml:space="preserve"> </w:t>
      </w:r>
      <w:r w:rsidRPr="008516D1">
        <w:t>les</w:t>
      </w:r>
      <w:r>
        <w:t xml:space="preserve"> </w:t>
      </w:r>
      <w:r w:rsidRPr="008516D1">
        <w:t>moyens</w:t>
      </w:r>
      <w:r>
        <w:t xml:space="preserve"> </w:t>
      </w:r>
      <w:r w:rsidRPr="008516D1">
        <w:t>utilisés</w:t>
      </w:r>
      <w:r>
        <w:t xml:space="preserve"> </w:t>
      </w:r>
      <w:r w:rsidRPr="008516D1">
        <w:t>pour</w:t>
      </w:r>
      <w:r>
        <w:t xml:space="preserve"> </w:t>
      </w:r>
      <w:r w:rsidRPr="008516D1">
        <w:t>commettre</w:t>
      </w:r>
      <w:r>
        <w:t xml:space="preserve"> </w:t>
      </w:r>
      <w:r w:rsidRPr="008516D1">
        <w:t>les</w:t>
      </w:r>
      <w:r>
        <w:t xml:space="preserve"> </w:t>
      </w:r>
      <w:r w:rsidRPr="008516D1">
        <w:t>infractions.</w:t>
      </w:r>
    </w:p>
    <w:p w14:paraId="264BB251" w14:textId="77777777" w:rsidR="00286956" w:rsidRPr="008516D1" w:rsidRDefault="00286956" w:rsidP="00286956">
      <w:pPr>
        <w:pStyle w:val="SingleTxtG"/>
      </w:pPr>
      <w:r w:rsidRPr="008516D1">
        <w:t>152.</w:t>
      </w:r>
      <w:r w:rsidRPr="008516D1">
        <w:tab/>
        <w:t>L</w:t>
      </w:r>
      <w:r>
        <w:t>’</w:t>
      </w:r>
      <w:r w:rsidRPr="008516D1">
        <w:t>accord</w:t>
      </w:r>
      <w:r>
        <w:t xml:space="preserve"> </w:t>
      </w:r>
      <w:r w:rsidRPr="008516D1">
        <w:t>prévoit</w:t>
      </w:r>
      <w:r>
        <w:t xml:space="preserve"> </w:t>
      </w:r>
      <w:r w:rsidRPr="008516D1">
        <w:t>que</w:t>
      </w:r>
      <w:r>
        <w:t xml:space="preserve"> </w:t>
      </w:r>
      <w:r w:rsidRPr="008516D1">
        <w:t>l</w:t>
      </w:r>
      <w:r>
        <w:t>’</w:t>
      </w:r>
      <w:r w:rsidRPr="008516D1">
        <w:t>Université</w:t>
      </w:r>
      <w:r>
        <w:t xml:space="preserve"> </w:t>
      </w:r>
      <w:r w:rsidRPr="008516D1">
        <w:t>de</w:t>
      </w:r>
      <w:r>
        <w:t xml:space="preserve"> </w:t>
      </w:r>
      <w:r w:rsidRPr="008516D1">
        <w:t>Grenade</w:t>
      </w:r>
      <w:r>
        <w:t xml:space="preserve"> </w:t>
      </w:r>
      <w:r w:rsidRPr="008516D1">
        <w:t>dispensera</w:t>
      </w:r>
      <w:r>
        <w:t xml:space="preserve"> </w:t>
      </w:r>
      <w:r w:rsidRPr="008516D1">
        <w:t>une</w:t>
      </w:r>
      <w:r>
        <w:t xml:space="preserve"> </w:t>
      </w:r>
      <w:r w:rsidRPr="008516D1">
        <w:t>formation</w:t>
      </w:r>
      <w:r>
        <w:t xml:space="preserve"> </w:t>
      </w:r>
      <w:r w:rsidRPr="008516D1">
        <w:t>méthodologique,</w:t>
      </w:r>
      <w:r>
        <w:t xml:space="preserve"> </w:t>
      </w:r>
      <w:r w:rsidRPr="008516D1">
        <w:t>scientifique</w:t>
      </w:r>
      <w:r>
        <w:t xml:space="preserve"> </w:t>
      </w:r>
      <w:r w:rsidRPr="008516D1">
        <w:t>et</w:t>
      </w:r>
      <w:r>
        <w:t xml:space="preserve"> </w:t>
      </w:r>
      <w:r w:rsidRPr="008516D1">
        <w:t>technique</w:t>
      </w:r>
      <w:r>
        <w:t xml:space="preserve"> </w:t>
      </w:r>
      <w:r w:rsidRPr="008516D1">
        <w:t>pour</w:t>
      </w:r>
      <w:r>
        <w:t xml:space="preserve"> </w:t>
      </w:r>
      <w:r w:rsidRPr="008516D1">
        <w:t>mettre</w:t>
      </w:r>
      <w:r>
        <w:t xml:space="preserve"> </w:t>
      </w:r>
      <w:r w:rsidRPr="008516D1">
        <w:t>en</w:t>
      </w:r>
      <w:r>
        <w:t xml:space="preserve"> </w:t>
      </w:r>
      <w:r w:rsidRPr="008516D1">
        <w:t>place</w:t>
      </w:r>
      <w:r>
        <w:t xml:space="preserve"> </w:t>
      </w:r>
      <w:r w:rsidRPr="008516D1">
        <w:t>des</w:t>
      </w:r>
      <w:r>
        <w:t xml:space="preserve"> </w:t>
      </w:r>
      <w:r w:rsidRPr="008516D1">
        <w:t>logiciels</w:t>
      </w:r>
      <w:r>
        <w:t xml:space="preserve"> </w:t>
      </w:r>
      <w:r w:rsidRPr="008516D1">
        <w:t>de</w:t>
      </w:r>
      <w:r>
        <w:t xml:space="preserve"> </w:t>
      </w:r>
      <w:r w:rsidRPr="008516D1">
        <w:t>stockage</w:t>
      </w:r>
      <w:r>
        <w:t xml:space="preserve"> </w:t>
      </w:r>
      <w:r w:rsidRPr="008516D1">
        <w:t>et</w:t>
      </w:r>
      <w:r>
        <w:t xml:space="preserve"> </w:t>
      </w:r>
      <w:r w:rsidRPr="008516D1">
        <w:t>de</w:t>
      </w:r>
      <w:r>
        <w:t xml:space="preserve"> </w:t>
      </w:r>
      <w:r w:rsidRPr="008516D1">
        <w:t>comparaison</w:t>
      </w:r>
      <w:r>
        <w:t xml:space="preserve"> </w:t>
      </w:r>
      <w:r w:rsidRPr="008516D1">
        <w:t>automatisée</w:t>
      </w:r>
      <w:r>
        <w:t xml:space="preserve"> </w:t>
      </w:r>
      <w:r w:rsidRPr="008516D1">
        <w:t>des</w:t>
      </w:r>
      <w:r>
        <w:t xml:space="preserve"> </w:t>
      </w:r>
      <w:r w:rsidRPr="008516D1">
        <w:t>résultats</w:t>
      </w:r>
      <w:r>
        <w:t xml:space="preserve"> </w:t>
      </w:r>
      <w:r w:rsidRPr="008516D1">
        <w:t>des</w:t>
      </w:r>
      <w:r>
        <w:t xml:space="preserve"> </w:t>
      </w:r>
      <w:r w:rsidRPr="008516D1">
        <w:t>analyses</w:t>
      </w:r>
      <w:r>
        <w:t xml:space="preserve"> </w:t>
      </w:r>
      <w:r w:rsidRPr="008516D1">
        <w:t>d</w:t>
      </w:r>
      <w:r>
        <w:t>’</w:t>
      </w:r>
      <w:r w:rsidRPr="008516D1">
        <w:t>ADN,</w:t>
      </w:r>
      <w:r>
        <w:t xml:space="preserve"> </w:t>
      </w:r>
      <w:r w:rsidRPr="008516D1">
        <w:t>de</w:t>
      </w:r>
      <w:r>
        <w:t xml:space="preserve"> </w:t>
      </w:r>
      <w:r w:rsidRPr="008516D1">
        <w:t>manière</w:t>
      </w:r>
      <w:r>
        <w:t xml:space="preserve"> </w:t>
      </w:r>
      <w:r w:rsidRPr="008516D1">
        <w:t>compatible</w:t>
      </w:r>
      <w:r>
        <w:t xml:space="preserve"> </w:t>
      </w:r>
      <w:r w:rsidRPr="008516D1">
        <w:t>avec</w:t>
      </w:r>
      <w:r>
        <w:t xml:space="preserve"> </w:t>
      </w:r>
      <w:r w:rsidRPr="008516D1">
        <w:t>toutes</w:t>
      </w:r>
      <w:r>
        <w:t xml:space="preserve"> </w:t>
      </w:r>
      <w:r w:rsidRPr="008516D1">
        <w:t>les</w:t>
      </w:r>
      <w:r>
        <w:t xml:space="preserve"> </w:t>
      </w:r>
      <w:r w:rsidRPr="008516D1">
        <w:t>bases</w:t>
      </w:r>
      <w:r>
        <w:t xml:space="preserve"> </w:t>
      </w:r>
      <w:r w:rsidRPr="008516D1">
        <w:t>internationales</w:t>
      </w:r>
      <w:r>
        <w:t xml:space="preserve"> </w:t>
      </w:r>
      <w:r w:rsidRPr="008516D1">
        <w:t>de</w:t>
      </w:r>
      <w:r>
        <w:t xml:space="preserve"> </w:t>
      </w:r>
      <w:r w:rsidRPr="008516D1">
        <w:t>données</w:t>
      </w:r>
      <w:r>
        <w:t xml:space="preserve"> </w:t>
      </w:r>
      <w:r w:rsidRPr="008516D1">
        <w:t>génétiques</w:t>
      </w:r>
      <w:r>
        <w:t xml:space="preserve"> </w:t>
      </w:r>
      <w:r w:rsidRPr="008516D1">
        <w:t>du</w:t>
      </w:r>
      <w:r>
        <w:t xml:space="preserve"> </w:t>
      </w:r>
      <w:r w:rsidRPr="008516D1">
        <w:t>programme</w:t>
      </w:r>
      <w:r>
        <w:t xml:space="preserve"> </w:t>
      </w:r>
      <w:r w:rsidRPr="008516D1">
        <w:rPr>
          <w:i/>
          <w:iCs/>
        </w:rPr>
        <w:t>DNA</w:t>
      </w:r>
      <w:r>
        <w:t xml:space="preserve"> </w:t>
      </w:r>
      <w:r w:rsidRPr="008516D1">
        <w:rPr>
          <w:i/>
          <w:iCs/>
        </w:rPr>
        <w:t>PROKIDS</w:t>
      </w:r>
      <w:r w:rsidRPr="008516D1">
        <w:t>,</w:t>
      </w:r>
      <w:r>
        <w:t xml:space="preserve"> </w:t>
      </w:r>
      <w:r w:rsidRPr="008516D1">
        <w:t>afin</w:t>
      </w:r>
      <w:r>
        <w:t xml:space="preserve"> </w:t>
      </w:r>
      <w:r w:rsidRPr="008516D1">
        <w:t>que</w:t>
      </w:r>
      <w:r>
        <w:t xml:space="preserve"> </w:t>
      </w:r>
      <w:r w:rsidRPr="008516D1">
        <w:t>les</w:t>
      </w:r>
      <w:r>
        <w:t xml:space="preserve"> </w:t>
      </w:r>
      <w:r w:rsidRPr="008516D1">
        <w:t>enfants</w:t>
      </w:r>
      <w:r>
        <w:t xml:space="preserve"> </w:t>
      </w:r>
      <w:r w:rsidRPr="008516D1">
        <w:t>et</w:t>
      </w:r>
      <w:r>
        <w:t xml:space="preserve"> </w:t>
      </w:r>
      <w:r w:rsidRPr="008516D1">
        <w:t>les</w:t>
      </w:r>
      <w:r>
        <w:t xml:space="preserve"> </w:t>
      </w:r>
      <w:r w:rsidRPr="008516D1">
        <w:t>adolescents</w:t>
      </w:r>
      <w:r>
        <w:t xml:space="preserve"> </w:t>
      </w:r>
      <w:r w:rsidRPr="008516D1">
        <w:t>soient</w:t>
      </w:r>
      <w:r>
        <w:t xml:space="preserve"> </w:t>
      </w:r>
      <w:r w:rsidRPr="008516D1">
        <w:t>enregistrés</w:t>
      </w:r>
      <w:r>
        <w:t xml:space="preserve"> </w:t>
      </w:r>
      <w:r w:rsidRPr="008516D1">
        <w:t>sous</w:t>
      </w:r>
      <w:r>
        <w:t xml:space="preserve"> </w:t>
      </w:r>
      <w:r w:rsidRPr="008516D1">
        <w:t>forme</w:t>
      </w:r>
      <w:r>
        <w:t xml:space="preserve"> </w:t>
      </w:r>
      <w:r w:rsidRPr="008516D1">
        <w:t>d</w:t>
      </w:r>
      <w:r>
        <w:t>’</w:t>
      </w:r>
      <w:r w:rsidRPr="008516D1">
        <w:t>une</w:t>
      </w:r>
      <w:r>
        <w:t xml:space="preserve"> </w:t>
      </w:r>
      <w:r w:rsidRPr="008516D1">
        <w:t>fiche</w:t>
      </w:r>
      <w:r>
        <w:t xml:space="preserve"> </w:t>
      </w:r>
      <w:r w:rsidRPr="008516D1">
        <w:t>d</w:t>
      </w:r>
      <w:r>
        <w:t>’</w:t>
      </w:r>
      <w:r w:rsidRPr="008516D1">
        <w:t>identification</w:t>
      </w:r>
      <w:r>
        <w:t xml:space="preserve"> </w:t>
      </w:r>
      <w:r w:rsidRPr="008516D1">
        <w:t>génétique</w:t>
      </w:r>
      <w:r>
        <w:t xml:space="preserve"> </w:t>
      </w:r>
      <w:r w:rsidRPr="008516D1">
        <w:t>établie</w:t>
      </w:r>
      <w:r>
        <w:t xml:space="preserve"> </w:t>
      </w:r>
      <w:r w:rsidRPr="008516D1">
        <w:t>par</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la</w:t>
      </w:r>
      <w:r>
        <w:t xml:space="preserve"> </w:t>
      </w:r>
      <w:r w:rsidRPr="008516D1">
        <w:t>médecine</w:t>
      </w:r>
      <w:r>
        <w:t xml:space="preserve"> </w:t>
      </w:r>
      <w:r w:rsidRPr="008516D1">
        <w:t>légale</w:t>
      </w:r>
      <w:r w:rsidRPr="008516D1">
        <w:rPr>
          <w:rStyle w:val="Appelnotedebasdep"/>
        </w:rPr>
        <w:footnoteReference w:id="98"/>
      </w:r>
      <w:r w:rsidRPr="008516D1">
        <w:t>.</w:t>
      </w:r>
    </w:p>
    <w:p w14:paraId="410498F4" w14:textId="292716E0" w:rsidR="00286956" w:rsidRPr="008516D1" w:rsidRDefault="00286956" w:rsidP="00286956">
      <w:pPr>
        <w:pStyle w:val="SingleTxtG"/>
      </w:pPr>
      <w:r w:rsidRPr="008516D1">
        <w:t>153.</w:t>
      </w:r>
      <w:r w:rsidRPr="008516D1">
        <w:tab/>
        <w:t>Dans</w:t>
      </w:r>
      <w:r>
        <w:t xml:space="preserve"> </w:t>
      </w:r>
      <w:r w:rsidRPr="008516D1">
        <w:t>le</w:t>
      </w:r>
      <w:r>
        <w:t xml:space="preserve"> </w:t>
      </w:r>
      <w:r w:rsidRPr="008516D1">
        <w:t>cadre</w:t>
      </w:r>
      <w:r>
        <w:t xml:space="preserve"> </w:t>
      </w:r>
      <w:r w:rsidRPr="008516D1">
        <w:t>de</w:t>
      </w:r>
      <w:r>
        <w:t xml:space="preserve"> </w:t>
      </w:r>
      <w:r w:rsidRPr="008516D1">
        <w:t>la</w:t>
      </w:r>
      <w:r>
        <w:t xml:space="preserve"> </w:t>
      </w:r>
      <w:r w:rsidRPr="008516D1">
        <w:t>Stratégie</w:t>
      </w:r>
      <w:r>
        <w:t xml:space="preserve"> </w:t>
      </w:r>
      <w:r w:rsidRPr="008516D1">
        <w:t>de</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enfants</w:t>
      </w:r>
      <w:r>
        <w:t xml:space="preserve"> </w:t>
      </w:r>
      <w:r w:rsidRPr="008516D1">
        <w:t>des</w:t>
      </w:r>
      <w:r>
        <w:t xml:space="preserve"> </w:t>
      </w:r>
      <w:r w:rsidRPr="008516D1">
        <w:t>rues,</w:t>
      </w:r>
      <w:r>
        <w:t xml:space="preserve"> </w:t>
      </w:r>
      <w:r w:rsidRPr="008516D1">
        <w:t>mise</w:t>
      </w:r>
      <w:r>
        <w:t xml:space="preserve"> </w:t>
      </w:r>
      <w:r w:rsidRPr="008516D1">
        <w:t>en</w:t>
      </w:r>
      <w:r>
        <w:t xml:space="preserve"> </w:t>
      </w:r>
      <w:r w:rsidRPr="008516D1">
        <w:t>œuvre</w:t>
      </w:r>
      <w:r>
        <w:t xml:space="preserve"> </w:t>
      </w:r>
      <w:r w:rsidRPr="008516D1">
        <w:t>par</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en</w:t>
      </w:r>
      <w:r>
        <w:t xml:space="preserve"> </w:t>
      </w:r>
      <w:r w:rsidRPr="008516D1">
        <w:t>collaboration</w:t>
      </w:r>
      <w:r>
        <w:t xml:space="preserve"> </w:t>
      </w:r>
      <w:r w:rsidRPr="008516D1">
        <w:t>avec</w:t>
      </w:r>
      <w:r>
        <w:t xml:space="preserve"> </w:t>
      </w:r>
      <w:r w:rsidRPr="008516D1">
        <w:t>d</w:t>
      </w:r>
      <w:r>
        <w:t>’</w:t>
      </w:r>
      <w:r w:rsidRPr="008516D1">
        <w:t>autres</w:t>
      </w:r>
      <w:r>
        <w:t xml:space="preserve"> </w:t>
      </w:r>
      <w:r w:rsidRPr="008516D1">
        <w:t>institutions</w:t>
      </w:r>
      <w:r>
        <w:t xml:space="preserve"> </w:t>
      </w:r>
      <w:r w:rsidRPr="008516D1">
        <w:t>de</w:t>
      </w:r>
      <w:r>
        <w:t xml:space="preserve"> </w:t>
      </w:r>
      <w:r w:rsidRPr="008516D1">
        <w:t>l</w:t>
      </w:r>
      <w:r>
        <w:t>’</w:t>
      </w:r>
      <w:r w:rsidRPr="008516D1">
        <w:t>État,</w:t>
      </w:r>
      <w:r>
        <w:t xml:space="preserve"> </w:t>
      </w:r>
      <w:r w:rsidRPr="008516D1">
        <w:t>des</w:t>
      </w:r>
      <w:r>
        <w:t xml:space="preserve"> </w:t>
      </w:r>
      <w:r w:rsidRPr="008516D1">
        <w:t>interventions</w:t>
      </w:r>
      <w:r>
        <w:t xml:space="preserve"> </w:t>
      </w:r>
      <w:r w:rsidRPr="008516D1">
        <w:t>ont</w:t>
      </w:r>
      <w:r>
        <w:t xml:space="preserve"> </w:t>
      </w:r>
      <w:r w:rsidRPr="008516D1">
        <w:t>été</w:t>
      </w:r>
      <w:r>
        <w:t xml:space="preserve"> </w:t>
      </w:r>
      <w:r w:rsidRPr="008516D1">
        <w:t>menées</w:t>
      </w:r>
      <w:r>
        <w:t xml:space="preserve"> </w:t>
      </w:r>
      <w:r w:rsidRPr="008516D1">
        <w:t>dans</w:t>
      </w:r>
      <w:r>
        <w:t xml:space="preserve"> </w:t>
      </w:r>
      <w:r w:rsidRPr="008516D1">
        <w:t>les</w:t>
      </w:r>
      <w:r>
        <w:t xml:space="preserve"> </w:t>
      </w:r>
      <w:r w:rsidRPr="008516D1">
        <w:t>villes</w:t>
      </w:r>
      <w:r>
        <w:t xml:space="preserve"> </w:t>
      </w:r>
      <w:r w:rsidRPr="008516D1">
        <w:t>de</w:t>
      </w:r>
      <w:r>
        <w:t xml:space="preserve"> </w:t>
      </w:r>
      <w:r w:rsidRPr="008516D1">
        <w:t>Tegucigalpa</w:t>
      </w:r>
      <w:r>
        <w:t xml:space="preserve"> </w:t>
      </w:r>
      <w:r w:rsidRPr="008516D1">
        <w:t>et</w:t>
      </w:r>
      <w:r>
        <w:t xml:space="preserve"> </w:t>
      </w:r>
      <w:r w:rsidRPr="008516D1">
        <w:t>San</w:t>
      </w:r>
      <w:r>
        <w:t xml:space="preserve"> </w:t>
      </w:r>
      <w:r w:rsidRPr="008516D1">
        <w:t>Pedro</w:t>
      </w:r>
      <w:r>
        <w:t xml:space="preserve"> </w:t>
      </w:r>
      <w:proofErr w:type="spellStart"/>
      <w:r w:rsidRPr="008516D1">
        <w:t>Sula</w:t>
      </w:r>
      <w:proofErr w:type="spellEnd"/>
      <w:r>
        <w:t xml:space="preserve"> </w:t>
      </w:r>
      <w:r w:rsidRPr="008516D1">
        <w:t>auprès</w:t>
      </w:r>
      <w:r>
        <w:t xml:space="preserve"> </w:t>
      </w:r>
      <w:r w:rsidRPr="008516D1">
        <w:t>de</w:t>
      </w:r>
      <w:r>
        <w:t xml:space="preserve"> </w:t>
      </w:r>
      <w:r w:rsidRPr="008516D1">
        <w:t>323</w:t>
      </w:r>
      <w:r w:rsidR="00C240B4">
        <w:t> </w:t>
      </w:r>
      <w:r w:rsidRPr="008516D1">
        <w:t>enfants</w:t>
      </w:r>
      <w:r>
        <w:t xml:space="preserve"> </w:t>
      </w:r>
      <w:r w:rsidRPr="008516D1">
        <w:t>et</w:t>
      </w:r>
      <w:r>
        <w:t xml:space="preserve"> </w:t>
      </w:r>
      <w:r w:rsidRPr="008516D1">
        <w:t>302</w:t>
      </w:r>
      <w:r w:rsidR="00C240B4">
        <w:t> </w:t>
      </w:r>
      <w:r w:rsidRPr="008516D1">
        <w:t>familles,</w:t>
      </w:r>
      <w:r>
        <w:t xml:space="preserve"> </w:t>
      </w:r>
      <w:r w:rsidRPr="008516D1">
        <w:t>entre</w:t>
      </w:r>
      <w:r>
        <w:t xml:space="preserve"> </w:t>
      </w:r>
      <w:r w:rsidRPr="008516D1">
        <w:t>juillet</w:t>
      </w:r>
      <w:r>
        <w:t xml:space="preserve"> </w:t>
      </w:r>
      <w:r w:rsidRPr="008516D1">
        <w:t>et</w:t>
      </w:r>
      <w:r>
        <w:t xml:space="preserve"> </w:t>
      </w:r>
      <w:r w:rsidRPr="008516D1">
        <w:t>septembre</w:t>
      </w:r>
      <w:r>
        <w:t xml:space="preserve"> </w:t>
      </w:r>
      <w:r w:rsidRPr="008516D1">
        <w:t>2020.</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visant</w:t>
      </w:r>
      <w:r>
        <w:t xml:space="preserve"> </w:t>
      </w:r>
      <w:r w:rsidRPr="008516D1">
        <w:t>à</w:t>
      </w:r>
      <w:r>
        <w:t xml:space="preserve"> </w:t>
      </w:r>
      <w:r w:rsidRPr="008516D1">
        <w:t>traiter</w:t>
      </w:r>
      <w:r>
        <w:t xml:space="preserve"> </w:t>
      </w:r>
      <w:r w:rsidRPr="008516D1">
        <w:t>le</w:t>
      </w:r>
      <w:r>
        <w:t xml:space="preserve"> </w:t>
      </w:r>
      <w:r w:rsidRPr="008516D1">
        <w:t>problème</w:t>
      </w:r>
      <w:r>
        <w:t xml:space="preserve"> </w:t>
      </w:r>
      <w:r w:rsidRPr="008516D1">
        <w:t>des</w:t>
      </w:r>
      <w:r>
        <w:t xml:space="preserve"> </w:t>
      </w:r>
      <w:r w:rsidRPr="008516D1">
        <w:t>enfants</w:t>
      </w:r>
      <w:r>
        <w:t xml:space="preserve"> </w:t>
      </w:r>
      <w:r w:rsidRPr="008516D1">
        <w:t>des</w:t>
      </w:r>
      <w:r>
        <w:t xml:space="preserve"> </w:t>
      </w:r>
      <w:r w:rsidRPr="008516D1">
        <w:t>rues</w:t>
      </w:r>
      <w:r>
        <w:t xml:space="preserve"> </w:t>
      </w:r>
      <w:r w:rsidRPr="008516D1">
        <w:t>a</w:t>
      </w:r>
      <w:r>
        <w:t xml:space="preserve"> </w:t>
      </w:r>
      <w:r w:rsidRPr="008516D1">
        <w:t>également</w:t>
      </w:r>
      <w:r>
        <w:t xml:space="preserve"> </w:t>
      </w:r>
      <w:r w:rsidRPr="008516D1">
        <w:t>été</w:t>
      </w:r>
      <w:r>
        <w:t xml:space="preserve"> </w:t>
      </w:r>
      <w:r w:rsidRPr="008516D1">
        <w:t>conclu</w:t>
      </w:r>
      <w:r>
        <w:t xml:space="preserve"> </w:t>
      </w:r>
      <w:r w:rsidRPr="008516D1">
        <w:t>entre</w:t>
      </w:r>
      <w:r>
        <w:t xml:space="preserve"> </w:t>
      </w:r>
      <w:r w:rsidRPr="008516D1">
        <w:t>cette</w:t>
      </w:r>
      <w:r>
        <w:t xml:space="preserve"> </w:t>
      </w:r>
      <w:r w:rsidRPr="008516D1">
        <w:t>même</w:t>
      </w:r>
      <w:r>
        <w:t xml:space="preserve"> </w:t>
      </w:r>
      <w:r w:rsidRPr="008516D1">
        <w:t>direction</w:t>
      </w:r>
      <w:r>
        <w:t xml:space="preserve"> </w:t>
      </w:r>
      <w:r w:rsidRPr="008516D1">
        <w:t>et</w:t>
      </w:r>
      <w:r>
        <w:t xml:space="preserve"> </w:t>
      </w:r>
      <w:r w:rsidRPr="008516D1">
        <w:t>l</w:t>
      </w:r>
      <w:r>
        <w:t>’</w:t>
      </w:r>
      <w:r w:rsidRPr="008516D1">
        <w:t>organisation</w:t>
      </w:r>
      <w:r>
        <w:t xml:space="preserve"> </w:t>
      </w:r>
      <w:r w:rsidRPr="008516D1">
        <w:rPr>
          <w:i/>
          <w:iCs/>
        </w:rPr>
        <w:t>Casa</w:t>
      </w:r>
      <w:r>
        <w:rPr>
          <w:i/>
          <w:iCs/>
        </w:rPr>
        <w:t xml:space="preserve"> </w:t>
      </w:r>
      <w:proofErr w:type="spellStart"/>
      <w:r w:rsidRPr="008516D1">
        <w:rPr>
          <w:i/>
          <w:iCs/>
        </w:rPr>
        <w:t>Alianza</w:t>
      </w:r>
      <w:proofErr w:type="spellEnd"/>
      <w:r w:rsidRPr="008516D1">
        <w:t>.</w:t>
      </w:r>
    </w:p>
    <w:p w14:paraId="686CA613" w14:textId="77777777" w:rsidR="00286956" w:rsidRPr="008516D1" w:rsidRDefault="00286956" w:rsidP="00286956">
      <w:pPr>
        <w:pStyle w:val="SingleTxtG"/>
      </w:pPr>
      <w:r w:rsidRPr="008516D1">
        <w:t>154.</w:t>
      </w:r>
      <w:r w:rsidRPr="008516D1">
        <w:tab/>
        <w:t>En</w:t>
      </w:r>
      <w:r>
        <w:t xml:space="preserve"> </w:t>
      </w:r>
      <w:r w:rsidRPr="008516D1">
        <w:t>ce</w:t>
      </w:r>
      <w:r>
        <w:t xml:space="preserve"> </w:t>
      </w:r>
      <w:r w:rsidRPr="008516D1">
        <w:t>qui</w:t>
      </w:r>
      <w:r>
        <w:t xml:space="preserve"> </w:t>
      </w:r>
      <w:r w:rsidRPr="008516D1">
        <w:t>concerne</w:t>
      </w:r>
      <w:r>
        <w:t xml:space="preserve"> </w:t>
      </w:r>
      <w:r w:rsidRPr="008516D1">
        <w:t>la</w:t>
      </w:r>
      <w:r>
        <w:t xml:space="preserve"> </w:t>
      </w:r>
      <w:r w:rsidRPr="008516D1">
        <w:t>recherche</w:t>
      </w:r>
      <w:r>
        <w:t xml:space="preserve"> </w:t>
      </w:r>
      <w:r w:rsidRPr="008516D1">
        <w:t>et</w:t>
      </w:r>
      <w:r>
        <w:t xml:space="preserve"> </w:t>
      </w:r>
      <w:r w:rsidRPr="008516D1">
        <w:t>l</w:t>
      </w:r>
      <w:r>
        <w:t>’</w:t>
      </w:r>
      <w:r w:rsidRPr="008516D1">
        <w:t>identification</w:t>
      </w:r>
      <w:r>
        <w:t xml:space="preserve"> </w:t>
      </w:r>
      <w:r w:rsidRPr="008516D1">
        <w:t>internationale</w:t>
      </w:r>
      <w:r>
        <w:t xml:space="preserve"> </w:t>
      </w:r>
      <w:r w:rsidRPr="008516D1">
        <w:t>des</w:t>
      </w:r>
      <w:r>
        <w:t xml:space="preserve"> </w:t>
      </w:r>
      <w:r w:rsidRPr="008516D1">
        <w:t>enfants</w:t>
      </w:r>
      <w:r>
        <w:t xml:space="preserve"> </w:t>
      </w:r>
      <w:r w:rsidRPr="008516D1">
        <w:t>et</w:t>
      </w:r>
      <w:r>
        <w:t xml:space="preserve"> </w:t>
      </w:r>
      <w:r w:rsidRPr="008516D1">
        <w:t>adolescents</w:t>
      </w:r>
      <w:r>
        <w:t xml:space="preserve"> </w:t>
      </w:r>
      <w:r w:rsidRPr="008516D1">
        <w:t>migrants</w:t>
      </w:r>
      <w:r>
        <w:t xml:space="preserve"> </w:t>
      </w:r>
      <w:r w:rsidRPr="008516D1">
        <w:t>disparus</w:t>
      </w:r>
      <w:r>
        <w:t xml:space="preserve"> </w:t>
      </w:r>
      <w:r w:rsidRPr="008516D1">
        <w:t>pendant</w:t>
      </w:r>
      <w:r>
        <w:t xml:space="preserve"> </w:t>
      </w:r>
      <w:r w:rsidRPr="008516D1">
        <w:t>leur</w:t>
      </w:r>
      <w:r>
        <w:t xml:space="preserve"> </w:t>
      </w:r>
      <w:r w:rsidRPr="008516D1">
        <w:t>migration,</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en</w:t>
      </w:r>
      <w:r>
        <w:t xml:space="preserve"> </w:t>
      </w:r>
      <w:r w:rsidRPr="008516D1">
        <w:t>coordination</w:t>
      </w:r>
      <w:r>
        <w:t xml:space="preserve"> </w:t>
      </w:r>
      <w:r w:rsidRPr="008516D1">
        <w:t>avec</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et</w:t>
      </w:r>
      <w:r>
        <w:t xml:space="preserve"> </w:t>
      </w:r>
      <w:r w:rsidRPr="008516D1">
        <w:t>le</w:t>
      </w:r>
      <w:r>
        <w:t xml:space="preserve"> </w:t>
      </w:r>
      <w:r w:rsidRPr="008516D1">
        <w:t>réseau</w:t>
      </w:r>
      <w:r>
        <w:t xml:space="preserve"> </w:t>
      </w:r>
      <w:r w:rsidRPr="008516D1">
        <w:t>consulaire,</w:t>
      </w:r>
      <w:r>
        <w:t xml:space="preserve"> </w:t>
      </w:r>
      <w:r w:rsidRPr="008516D1">
        <w:t>a</w:t>
      </w:r>
      <w:r>
        <w:t xml:space="preserve"> </w:t>
      </w:r>
      <w:r w:rsidRPr="008516D1">
        <w:t>pris</w:t>
      </w:r>
      <w:r>
        <w:t xml:space="preserve"> </w:t>
      </w:r>
      <w:r w:rsidRPr="008516D1">
        <w:t>des</w:t>
      </w:r>
      <w:r>
        <w:t xml:space="preserve"> </w:t>
      </w:r>
      <w:r w:rsidRPr="008516D1">
        <w:t>mesures</w:t>
      </w:r>
      <w:r>
        <w:t xml:space="preserve"> </w:t>
      </w:r>
      <w:r w:rsidRPr="008516D1">
        <w:t>permettant</w:t>
      </w:r>
      <w:r>
        <w:t xml:space="preserve"> </w:t>
      </w:r>
      <w:r w:rsidRPr="008516D1">
        <w:t>de</w:t>
      </w:r>
      <w:r>
        <w:t xml:space="preserve"> </w:t>
      </w:r>
      <w:r w:rsidRPr="008516D1">
        <w:t>localiser</w:t>
      </w:r>
      <w:r>
        <w:t xml:space="preserve"> </w:t>
      </w:r>
      <w:r w:rsidRPr="008516D1">
        <w:t>ces</w:t>
      </w:r>
      <w:r>
        <w:t xml:space="preserve"> </w:t>
      </w:r>
      <w:r w:rsidRPr="008516D1">
        <w:t>jeunes,</w:t>
      </w:r>
      <w:r>
        <w:t xml:space="preserve"> </w:t>
      </w:r>
      <w:r w:rsidRPr="008516D1">
        <w:t>notamment</w:t>
      </w:r>
      <w:r>
        <w:t xml:space="preserve"> </w:t>
      </w:r>
      <w:r w:rsidRPr="008516D1">
        <w:t>dans</w:t>
      </w:r>
      <w:r>
        <w:t xml:space="preserve"> </w:t>
      </w:r>
      <w:r w:rsidRPr="008516D1">
        <w:t>les</w:t>
      </w:r>
      <w:r>
        <w:t xml:space="preserve"> </w:t>
      </w:r>
      <w:r w:rsidRPr="008516D1">
        <w:t>stations</w:t>
      </w:r>
      <w:r>
        <w:t xml:space="preserve"> </w:t>
      </w:r>
      <w:r w:rsidRPr="008516D1">
        <w:t>migratoires,</w:t>
      </w:r>
      <w:r>
        <w:t xml:space="preserve"> </w:t>
      </w:r>
      <w:r w:rsidRPr="008516D1">
        <w:t>les</w:t>
      </w:r>
      <w:r>
        <w:t xml:space="preserve"> </w:t>
      </w:r>
      <w:r w:rsidRPr="008516D1">
        <w:t>centres</w:t>
      </w:r>
      <w:r>
        <w:t xml:space="preserve"> </w:t>
      </w:r>
      <w:r w:rsidRPr="008516D1">
        <w:t>de</w:t>
      </w:r>
      <w:r>
        <w:t xml:space="preserve"> </w:t>
      </w:r>
      <w:r w:rsidRPr="008516D1">
        <w:t>protection</w:t>
      </w:r>
      <w:r>
        <w:t xml:space="preserve"> </w:t>
      </w:r>
      <w:r w:rsidRPr="008516D1">
        <w:t>et</w:t>
      </w:r>
      <w:r>
        <w:t xml:space="preserve"> </w:t>
      </w:r>
      <w:r w:rsidRPr="008516D1">
        <w:t>les</w:t>
      </w:r>
      <w:r>
        <w:t xml:space="preserve"> </w:t>
      </w:r>
      <w:r w:rsidRPr="008516D1">
        <w:t>hôpitaux,</w:t>
      </w:r>
      <w:r>
        <w:t xml:space="preserve"> </w:t>
      </w:r>
      <w:r w:rsidRPr="008516D1">
        <w:t>et</w:t>
      </w:r>
      <w:r>
        <w:t xml:space="preserve"> </w:t>
      </w:r>
      <w:r w:rsidRPr="008516D1">
        <w:t>de</w:t>
      </w:r>
      <w:r>
        <w:t xml:space="preserve"> </w:t>
      </w:r>
      <w:r w:rsidRPr="008516D1">
        <w:t>garantir</w:t>
      </w:r>
      <w:r>
        <w:t xml:space="preserve"> </w:t>
      </w:r>
      <w:r w:rsidRPr="008516D1">
        <w:t>l</w:t>
      </w:r>
      <w:r>
        <w:t>’</w:t>
      </w:r>
      <w:r w:rsidRPr="008516D1">
        <w:t>intérêt</w:t>
      </w:r>
      <w:r>
        <w:t xml:space="preserve"> </w:t>
      </w:r>
      <w:r w:rsidRPr="008516D1">
        <w:t>supérieur</w:t>
      </w:r>
      <w:r>
        <w:t xml:space="preserve"> </w:t>
      </w:r>
      <w:r w:rsidRPr="008516D1">
        <w:t>de</w:t>
      </w:r>
      <w:r>
        <w:t xml:space="preserve"> </w:t>
      </w:r>
      <w:r w:rsidRPr="008516D1">
        <w:t>l</w:t>
      </w:r>
      <w:r>
        <w:t>’</w:t>
      </w:r>
      <w:r w:rsidRPr="008516D1">
        <w:t>enfant.</w:t>
      </w:r>
    </w:p>
    <w:p w14:paraId="2B2C1426" w14:textId="37C4442A" w:rsidR="00286956" w:rsidRPr="008516D1" w:rsidRDefault="00286956" w:rsidP="00286956">
      <w:pPr>
        <w:pStyle w:val="SingleTxtG"/>
      </w:pPr>
      <w:r w:rsidRPr="008516D1">
        <w:t>155.</w:t>
      </w:r>
      <w:r w:rsidRPr="008516D1">
        <w:tab/>
        <w:t>Selon</w:t>
      </w:r>
      <w:r>
        <w:t xml:space="preserve"> </w:t>
      </w:r>
      <w:r w:rsidRPr="008516D1">
        <w:t>les</w:t>
      </w:r>
      <w:r>
        <w:t xml:space="preserve"> </w:t>
      </w:r>
      <w:r w:rsidRPr="008516D1">
        <w:t>registres</w:t>
      </w:r>
      <w:r>
        <w:t xml:space="preserve"> </w:t>
      </w:r>
      <w:r w:rsidRPr="008516D1">
        <w:t>officiels</w:t>
      </w:r>
      <w:r>
        <w:t xml:space="preserve"> </w:t>
      </w:r>
      <w:r w:rsidRPr="008516D1">
        <w:t>de</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93</w:t>
      </w:r>
      <w:r w:rsidR="00C240B4">
        <w:t> </w:t>
      </w:r>
      <w:r w:rsidRPr="008516D1">
        <w:t>recherches</w:t>
      </w:r>
      <w:r>
        <w:t xml:space="preserve"> </w:t>
      </w:r>
      <w:r w:rsidRPr="008516D1">
        <w:t>internationales</w:t>
      </w:r>
      <w:r>
        <w:t xml:space="preserve"> </w:t>
      </w:r>
      <w:r w:rsidRPr="008516D1">
        <w:t>d</w:t>
      </w:r>
      <w:r>
        <w:t>’</w:t>
      </w:r>
      <w:r w:rsidRPr="008516D1">
        <w:t>enfants</w:t>
      </w:r>
      <w:r>
        <w:t xml:space="preserve"> </w:t>
      </w:r>
      <w:r w:rsidRPr="008516D1">
        <w:t>disparus</w:t>
      </w:r>
      <w:r>
        <w:t xml:space="preserve"> </w:t>
      </w:r>
      <w:r w:rsidRPr="008516D1">
        <w:t>ont</w:t>
      </w:r>
      <w:r>
        <w:t xml:space="preserve"> </w:t>
      </w:r>
      <w:r w:rsidRPr="008516D1">
        <w:t>été</w:t>
      </w:r>
      <w:r>
        <w:t xml:space="preserve"> </w:t>
      </w:r>
      <w:r w:rsidRPr="008516D1">
        <w:t>effectuées</w:t>
      </w:r>
      <w:r>
        <w:t xml:space="preserve"> </w:t>
      </w:r>
      <w:r w:rsidRPr="008516D1">
        <w:t>en</w:t>
      </w:r>
      <w:r>
        <w:t xml:space="preserve"> </w:t>
      </w:r>
      <w:r w:rsidRPr="008516D1">
        <w:t>2021.</w:t>
      </w:r>
      <w:r>
        <w:t xml:space="preserve"> </w:t>
      </w:r>
      <w:r w:rsidRPr="008516D1">
        <w:t>Pour</w:t>
      </w:r>
      <w:r>
        <w:t xml:space="preserve"> </w:t>
      </w:r>
      <w:r w:rsidRPr="008516D1">
        <w:t>la</w:t>
      </w:r>
      <w:r>
        <w:t xml:space="preserve"> </w:t>
      </w:r>
      <w:r w:rsidRPr="008516D1">
        <w:t>plupart,</w:t>
      </w:r>
      <w:r>
        <w:t xml:space="preserve"> </w:t>
      </w:r>
      <w:r w:rsidRPr="008516D1">
        <w:t>elles</w:t>
      </w:r>
      <w:r>
        <w:t xml:space="preserve"> </w:t>
      </w:r>
      <w:r w:rsidRPr="008516D1">
        <w:t>concernent</w:t>
      </w:r>
      <w:r>
        <w:t xml:space="preserve"> </w:t>
      </w:r>
      <w:r w:rsidRPr="008516D1">
        <w:t>des</w:t>
      </w:r>
      <w:r>
        <w:t xml:space="preserve"> </w:t>
      </w:r>
      <w:r w:rsidRPr="008516D1">
        <w:t>enfants</w:t>
      </w:r>
      <w:r>
        <w:t xml:space="preserve"> </w:t>
      </w:r>
      <w:r w:rsidRPr="008516D1">
        <w:t>qui</w:t>
      </w:r>
      <w:r>
        <w:t xml:space="preserve"> </w:t>
      </w:r>
      <w:r w:rsidRPr="008516D1">
        <w:t>ont</w:t>
      </w:r>
      <w:r>
        <w:t xml:space="preserve"> </w:t>
      </w:r>
      <w:r w:rsidRPr="008516D1">
        <w:t>migré</w:t>
      </w:r>
      <w:r>
        <w:t xml:space="preserve"> </w:t>
      </w:r>
      <w:r w:rsidRPr="008516D1">
        <w:t>de</w:t>
      </w:r>
      <w:r>
        <w:t xml:space="preserve"> </w:t>
      </w:r>
      <w:r w:rsidRPr="008516D1">
        <w:t>manière</w:t>
      </w:r>
      <w:r>
        <w:t xml:space="preserve"> </w:t>
      </w:r>
      <w:r w:rsidRPr="008516D1">
        <w:t>irrégulière,</w:t>
      </w:r>
      <w:r>
        <w:t xml:space="preserve"> </w:t>
      </w:r>
      <w:r w:rsidRPr="008516D1">
        <w:t>vraisemblablement</w:t>
      </w:r>
      <w:r>
        <w:t xml:space="preserve"> </w:t>
      </w:r>
      <w:r w:rsidRPr="008516D1">
        <w:t>vers</w:t>
      </w:r>
      <w:r>
        <w:t xml:space="preserve"> </w:t>
      </w:r>
      <w:r w:rsidRPr="008516D1">
        <w:t>les</w:t>
      </w:r>
      <w:r>
        <w:t xml:space="preserve"> </w:t>
      </w:r>
      <w:r w:rsidRPr="008516D1">
        <w:t>États-Unis</w:t>
      </w:r>
      <w:r>
        <w:t xml:space="preserve"> </w:t>
      </w:r>
      <w:r w:rsidRPr="008516D1">
        <w:t>d</w:t>
      </w:r>
      <w:r>
        <w:t>’</w:t>
      </w:r>
      <w:r w:rsidRPr="008516D1">
        <w:t>Amérique,</w:t>
      </w:r>
      <w:r>
        <w:t xml:space="preserve"> </w:t>
      </w:r>
      <w:r w:rsidRPr="008516D1">
        <w:t>ou</w:t>
      </w:r>
      <w:r>
        <w:t xml:space="preserve"> </w:t>
      </w:r>
      <w:r w:rsidRPr="008516D1">
        <w:t>qui</w:t>
      </w:r>
      <w:r>
        <w:t xml:space="preserve"> </w:t>
      </w:r>
      <w:r w:rsidRPr="008516D1">
        <w:t>ont</w:t>
      </w:r>
      <w:r>
        <w:t xml:space="preserve"> </w:t>
      </w:r>
      <w:r w:rsidRPr="008516D1">
        <w:t>disparu</w:t>
      </w:r>
      <w:r>
        <w:t xml:space="preserve"> </w:t>
      </w:r>
      <w:r w:rsidRPr="008516D1">
        <w:t>à</w:t>
      </w:r>
      <w:r>
        <w:t xml:space="preserve"> </w:t>
      </w:r>
      <w:r w:rsidRPr="008516D1">
        <w:t>la</w:t>
      </w:r>
      <w:r>
        <w:t xml:space="preserve"> </w:t>
      </w:r>
      <w:r w:rsidRPr="008516D1">
        <w:t>suite</w:t>
      </w:r>
      <w:r>
        <w:t xml:space="preserve"> </w:t>
      </w:r>
      <w:r w:rsidRPr="008516D1">
        <w:t>de</w:t>
      </w:r>
      <w:r>
        <w:t xml:space="preserve"> </w:t>
      </w:r>
      <w:r w:rsidRPr="008516D1">
        <w:t>l</w:t>
      </w:r>
      <w:r>
        <w:t>’</w:t>
      </w:r>
      <w:r w:rsidRPr="008516D1">
        <w:t>enlèvement</w:t>
      </w:r>
      <w:r>
        <w:t xml:space="preserve"> </w:t>
      </w:r>
      <w:r w:rsidRPr="008516D1">
        <w:t>d</w:t>
      </w:r>
      <w:r>
        <w:t>’</w:t>
      </w:r>
      <w:r w:rsidRPr="008516D1">
        <w:t>un</w:t>
      </w:r>
      <w:r>
        <w:t xml:space="preserve"> </w:t>
      </w:r>
      <w:r w:rsidRPr="008516D1">
        <w:t>parent</w:t>
      </w:r>
      <w:r>
        <w:t xml:space="preserve"> </w:t>
      </w:r>
      <w:r w:rsidRPr="008516D1">
        <w:t>ou</w:t>
      </w:r>
      <w:r>
        <w:t xml:space="preserve"> </w:t>
      </w:r>
      <w:r w:rsidRPr="008516D1">
        <w:t>autre</w:t>
      </w:r>
      <w:r>
        <w:t xml:space="preserve"> </w:t>
      </w:r>
      <w:r w:rsidRPr="008516D1">
        <w:t>membre</w:t>
      </w:r>
      <w:r>
        <w:t xml:space="preserve"> </w:t>
      </w:r>
      <w:r w:rsidRPr="008516D1">
        <w:t>de</w:t>
      </w:r>
      <w:r>
        <w:t xml:space="preserve"> </w:t>
      </w:r>
      <w:r w:rsidRPr="008516D1">
        <w:t>la</w:t>
      </w:r>
      <w:r>
        <w:t xml:space="preserve"> </w:t>
      </w:r>
      <w:r w:rsidRPr="008516D1">
        <w:t>famille.</w:t>
      </w:r>
      <w:r>
        <w:t xml:space="preserve"> </w:t>
      </w:r>
      <w:r w:rsidRPr="008516D1">
        <w:t>Depuis</w:t>
      </w:r>
      <w:r>
        <w:t xml:space="preserve"> </w:t>
      </w:r>
      <w:r w:rsidRPr="008516D1">
        <w:t>2015,</w:t>
      </w:r>
      <w:r>
        <w:t xml:space="preserve"> </w:t>
      </w:r>
      <w:r w:rsidRPr="008516D1">
        <w:t>448</w:t>
      </w:r>
      <w:r w:rsidR="00C240B4">
        <w:t> </w:t>
      </w:r>
      <w:r w:rsidRPr="008516D1">
        <w:t>cas</w:t>
      </w:r>
      <w:r>
        <w:t xml:space="preserve"> </w:t>
      </w:r>
      <w:r w:rsidRPr="008516D1">
        <w:t>de</w:t>
      </w:r>
      <w:r>
        <w:t xml:space="preserve"> </w:t>
      </w:r>
      <w:r w:rsidRPr="008516D1">
        <w:t>recherche</w:t>
      </w:r>
      <w:r>
        <w:t xml:space="preserve"> </w:t>
      </w:r>
      <w:r w:rsidRPr="008516D1">
        <w:t>internationale</w:t>
      </w:r>
      <w:r>
        <w:t xml:space="preserve"> </w:t>
      </w:r>
      <w:r w:rsidRPr="008516D1">
        <w:t>active</w:t>
      </w:r>
      <w:r>
        <w:t xml:space="preserve"> </w:t>
      </w:r>
      <w:r w:rsidRPr="008516D1">
        <w:t>ont</w:t>
      </w:r>
      <w:r>
        <w:t xml:space="preserve"> </w:t>
      </w:r>
      <w:r w:rsidRPr="008516D1">
        <w:t>été</w:t>
      </w:r>
      <w:r>
        <w:t xml:space="preserve"> </w:t>
      </w:r>
      <w:r w:rsidRPr="008516D1">
        <w:t>recensés.</w:t>
      </w:r>
    </w:p>
    <w:p w14:paraId="550DC933" w14:textId="0976E6BB" w:rsidR="00286956" w:rsidRPr="008516D1" w:rsidRDefault="00286956" w:rsidP="00286956">
      <w:pPr>
        <w:pStyle w:val="SingleTxtG"/>
      </w:pPr>
      <w:r w:rsidRPr="008516D1">
        <w:t>156.</w:t>
      </w:r>
      <w:r w:rsidRPr="008516D1">
        <w:tab/>
        <w:t>En</w:t>
      </w:r>
      <w:r>
        <w:t xml:space="preserve"> </w:t>
      </w:r>
      <w:r w:rsidRPr="008516D1">
        <w:t>2021,</w:t>
      </w:r>
      <w:r>
        <w:t xml:space="preserve"> </w:t>
      </w:r>
      <w:r w:rsidRPr="008516D1">
        <w:t>dans</w:t>
      </w:r>
      <w:r>
        <w:t xml:space="preserve"> </w:t>
      </w:r>
      <w:r w:rsidRPr="008516D1">
        <w:t>le</w:t>
      </w:r>
      <w:r>
        <w:t xml:space="preserve"> </w:t>
      </w:r>
      <w:r w:rsidRPr="008516D1">
        <w:t>cadre</w:t>
      </w:r>
      <w:r>
        <w:t xml:space="preserve"> </w:t>
      </w:r>
      <w:r w:rsidRPr="008516D1">
        <w:t>du</w:t>
      </w:r>
      <w:r>
        <w:t xml:space="preserve"> </w:t>
      </w:r>
      <w:r w:rsidRPr="008516D1">
        <w:t>Système</w:t>
      </w:r>
      <w:r>
        <w:t xml:space="preserve"> </w:t>
      </w:r>
      <w:r w:rsidRPr="008516D1">
        <w:t>de</w:t>
      </w:r>
      <w:r>
        <w:t xml:space="preserve"> </w:t>
      </w:r>
      <w:r w:rsidRPr="008516D1">
        <w:t>protection</w:t>
      </w:r>
      <w:r>
        <w:t xml:space="preserve"> </w:t>
      </w:r>
      <w:r w:rsidRPr="008516D1">
        <w:t>intégrale</w:t>
      </w:r>
      <w:r>
        <w:t xml:space="preserve"> </w:t>
      </w:r>
      <w:r w:rsidRPr="008516D1">
        <w:t>des</w:t>
      </w:r>
      <w:r>
        <w:t xml:space="preserve"> </w:t>
      </w:r>
      <w:r w:rsidRPr="008516D1">
        <w:t>droits</w:t>
      </w:r>
      <w:r>
        <w:t xml:space="preserve"> </w:t>
      </w:r>
      <w:r w:rsidRPr="008516D1">
        <w:t>des</w:t>
      </w:r>
      <w:r>
        <w:t xml:space="preserve"> </w:t>
      </w:r>
      <w:r w:rsidRPr="008516D1">
        <w:t>enfants</w:t>
      </w:r>
      <w:r>
        <w:t xml:space="preserve"> </w:t>
      </w:r>
      <w:r w:rsidRPr="008516D1">
        <w:t>et</w:t>
      </w:r>
      <w:r>
        <w:t xml:space="preserve"> </w:t>
      </w:r>
      <w:r w:rsidRPr="008516D1">
        <w:t>des</w:t>
      </w:r>
      <w:r>
        <w:t xml:space="preserve"> </w:t>
      </w:r>
      <w:r w:rsidRPr="008516D1">
        <w:t>adolescents</w:t>
      </w:r>
      <w:r>
        <w:t xml:space="preserve"> </w:t>
      </w:r>
      <w:r w:rsidRPr="008516D1">
        <w:t>au</w:t>
      </w:r>
      <w:r>
        <w:t xml:space="preserve"> </w:t>
      </w:r>
      <w:r w:rsidRPr="008516D1">
        <w:t>Honduras,</w:t>
      </w:r>
      <w:r>
        <w:t xml:space="preserve"> </w:t>
      </w:r>
      <w:r w:rsidRPr="008516D1">
        <w:t>la</w:t>
      </w:r>
      <w:r>
        <w:t xml:space="preserve"> </w:t>
      </w:r>
      <w:r w:rsidRPr="008516D1">
        <w:t>Direction</w:t>
      </w:r>
      <w:r>
        <w:t xml:space="preserve"> </w:t>
      </w:r>
      <w:r w:rsidRPr="008516D1">
        <w:t>nationale</w:t>
      </w:r>
      <w:r>
        <w:t xml:space="preserve"> </w:t>
      </w:r>
      <w:r w:rsidRPr="008516D1">
        <w:t>de</w:t>
      </w:r>
      <w:r>
        <w:t xml:space="preserve"> </w:t>
      </w:r>
      <w:r w:rsidRPr="008516D1">
        <w:t>l</w:t>
      </w:r>
      <w:r>
        <w:t>’</w:t>
      </w:r>
      <w:r w:rsidRPr="008516D1">
        <w:t>enfance,</w:t>
      </w:r>
      <w:r>
        <w:t xml:space="preserve"> </w:t>
      </w:r>
      <w:r w:rsidRPr="008516D1">
        <w:t>de</w:t>
      </w:r>
      <w:r>
        <w:t xml:space="preserve"> </w:t>
      </w:r>
      <w:r w:rsidRPr="008516D1">
        <w:t>l</w:t>
      </w:r>
      <w:r>
        <w:t>’</w:t>
      </w:r>
      <w:r w:rsidRPr="008516D1">
        <w:t>adolescence</w:t>
      </w:r>
      <w:r>
        <w:t xml:space="preserve"> </w:t>
      </w:r>
      <w:r w:rsidRPr="008516D1">
        <w:t>et</w:t>
      </w:r>
      <w:r>
        <w:t xml:space="preserve"> </w:t>
      </w:r>
      <w:r w:rsidRPr="008516D1">
        <w:t>de</w:t>
      </w:r>
      <w:r>
        <w:t xml:space="preserve"> </w:t>
      </w:r>
      <w:r w:rsidRPr="008516D1">
        <w:t>la</w:t>
      </w:r>
      <w:r>
        <w:t xml:space="preserve"> </w:t>
      </w:r>
      <w:r w:rsidRPr="008516D1">
        <w:t>famille</w:t>
      </w:r>
      <w:r>
        <w:t xml:space="preserve"> </w:t>
      </w:r>
      <w:r w:rsidRPr="008516D1">
        <w:t>a</w:t>
      </w:r>
      <w:r>
        <w:t xml:space="preserve"> </w:t>
      </w:r>
      <w:r w:rsidRPr="008516D1">
        <w:t>mis</w:t>
      </w:r>
      <w:r>
        <w:t xml:space="preserve"> </w:t>
      </w:r>
      <w:r w:rsidRPr="008516D1">
        <w:t>en</w:t>
      </w:r>
      <w:r>
        <w:t xml:space="preserve"> </w:t>
      </w:r>
      <w:r w:rsidRPr="008516D1">
        <w:t>œuvre</w:t>
      </w:r>
      <w:r>
        <w:t xml:space="preserve"> </w:t>
      </w:r>
      <w:r w:rsidRPr="008516D1">
        <w:t>7</w:t>
      </w:r>
      <w:r w:rsidR="00C240B4">
        <w:t> </w:t>
      </w:r>
      <w:r w:rsidRPr="008516D1">
        <w:t>200</w:t>
      </w:r>
      <w:r>
        <w:t xml:space="preserve"> </w:t>
      </w:r>
      <w:r w:rsidRPr="008516D1">
        <w:t>mesures</w:t>
      </w:r>
      <w:r>
        <w:t xml:space="preserve"> </w:t>
      </w:r>
      <w:r w:rsidRPr="008516D1">
        <w:t>d</w:t>
      </w:r>
      <w:r>
        <w:t>’</w:t>
      </w:r>
      <w:r w:rsidRPr="008516D1">
        <w:t>aide</w:t>
      </w:r>
      <w:r>
        <w:t xml:space="preserve"> </w:t>
      </w:r>
      <w:r w:rsidRPr="008516D1">
        <w:t>humanitaire</w:t>
      </w:r>
      <w:r>
        <w:t xml:space="preserve"> </w:t>
      </w:r>
      <w:r w:rsidRPr="008516D1">
        <w:t>au</w:t>
      </w:r>
      <w:r>
        <w:t xml:space="preserve"> </w:t>
      </w:r>
      <w:r w:rsidRPr="008516D1">
        <w:t>profit</w:t>
      </w:r>
      <w:r>
        <w:t xml:space="preserve"> </w:t>
      </w:r>
      <w:r w:rsidRPr="008516D1">
        <w:t>de</w:t>
      </w:r>
      <w:r>
        <w:t xml:space="preserve"> </w:t>
      </w:r>
      <w:r w:rsidRPr="008516D1">
        <w:t>2</w:t>
      </w:r>
      <w:r w:rsidR="00C240B4">
        <w:t> </w:t>
      </w:r>
      <w:r w:rsidRPr="008516D1">
        <w:t>679</w:t>
      </w:r>
      <w:r>
        <w:t xml:space="preserve"> </w:t>
      </w:r>
      <w:r w:rsidRPr="008516D1">
        <w:t>enfants</w:t>
      </w:r>
      <w:r>
        <w:t xml:space="preserve"> </w:t>
      </w:r>
      <w:r w:rsidRPr="008516D1">
        <w:t>et</w:t>
      </w:r>
      <w:r>
        <w:t xml:space="preserve"> </w:t>
      </w:r>
      <w:r w:rsidRPr="008516D1">
        <w:t>adolescents</w:t>
      </w:r>
      <w:r>
        <w:t xml:space="preserve"> </w:t>
      </w:r>
      <w:r w:rsidRPr="008516D1">
        <w:t>migrants</w:t>
      </w:r>
      <w:r>
        <w:t xml:space="preserve"> </w:t>
      </w:r>
      <w:r w:rsidRPr="008516D1">
        <w:t>(1</w:t>
      </w:r>
      <w:r w:rsidR="00C240B4">
        <w:t> </w:t>
      </w:r>
      <w:r w:rsidRPr="008516D1">
        <w:t>692</w:t>
      </w:r>
      <w:r w:rsidR="00C240B4">
        <w:t xml:space="preserve"> </w:t>
      </w:r>
      <w:r w:rsidRPr="008516D1">
        <w:t>non</w:t>
      </w:r>
      <w:r>
        <w:t xml:space="preserve"> </w:t>
      </w:r>
      <w:r w:rsidRPr="008516D1">
        <w:t>accompagnés</w:t>
      </w:r>
      <w:r>
        <w:t xml:space="preserve"> </w:t>
      </w:r>
      <w:r w:rsidRPr="008516D1">
        <w:t>et</w:t>
      </w:r>
      <w:r>
        <w:t xml:space="preserve"> </w:t>
      </w:r>
      <w:r w:rsidRPr="008516D1">
        <w:t>987</w:t>
      </w:r>
      <w:r w:rsidR="00C240B4">
        <w:t> </w:t>
      </w:r>
      <w:r w:rsidRPr="008516D1">
        <w:t>accompagnés)</w:t>
      </w:r>
      <w:r>
        <w:t xml:space="preserve"> </w:t>
      </w:r>
      <w:r w:rsidRPr="008516D1">
        <w:t>rentrés</w:t>
      </w:r>
      <w:r>
        <w:t xml:space="preserve"> </w:t>
      </w:r>
      <w:r w:rsidRPr="008516D1">
        <w:t>au</w:t>
      </w:r>
      <w:r>
        <w:t xml:space="preserve"> </w:t>
      </w:r>
      <w:r w:rsidRPr="008516D1">
        <w:t>pays</w:t>
      </w:r>
      <w:r>
        <w:t xml:space="preserve"> </w:t>
      </w:r>
      <w:r w:rsidRPr="008516D1">
        <w:t>au</w:t>
      </w:r>
      <w:r>
        <w:t xml:space="preserve"> </w:t>
      </w:r>
      <w:r w:rsidRPr="008516D1">
        <w:t>terme</w:t>
      </w:r>
      <w:r>
        <w:t xml:space="preserve"> </w:t>
      </w:r>
      <w:r w:rsidRPr="008516D1">
        <w:t>d</w:t>
      </w:r>
      <w:r>
        <w:t>’</w:t>
      </w:r>
      <w:r w:rsidRPr="008516D1">
        <w:t>une</w:t>
      </w:r>
      <w:r>
        <w:t xml:space="preserve"> </w:t>
      </w:r>
      <w:r w:rsidRPr="008516D1">
        <w:t>migration</w:t>
      </w:r>
      <w:r>
        <w:t xml:space="preserve"> </w:t>
      </w:r>
      <w:r w:rsidRPr="008516D1">
        <w:t>irrégulière.</w:t>
      </w:r>
    </w:p>
    <w:p w14:paraId="0CEC89BD" w14:textId="5407DE81" w:rsidR="00286956" w:rsidRPr="008516D1" w:rsidRDefault="00286956" w:rsidP="00286956">
      <w:pPr>
        <w:pStyle w:val="SingleTxtG"/>
      </w:pPr>
      <w:r w:rsidRPr="008516D1">
        <w:t>157.</w:t>
      </w:r>
      <w:r w:rsidRPr="008516D1">
        <w:tab/>
        <w:t>En</w:t>
      </w:r>
      <w:r>
        <w:t xml:space="preserve"> </w:t>
      </w:r>
      <w:r w:rsidRPr="008516D1">
        <w:t>2017,</w:t>
      </w:r>
      <w:r>
        <w:t xml:space="preserve"> </w:t>
      </w:r>
      <w:r w:rsidRPr="008516D1">
        <w:t>afin</w:t>
      </w:r>
      <w:r>
        <w:t xml:space="preserve"> </w:t>
      </w:r>
      <w:r w:rsidRPr="008516D1">
        <w:t>de</w:t>
      </w:r>
      <w:r>
        <w:t xml:space="preserve"> </w:t>
      </w:r>
      <w:r w:rsidRPr="008516D1">
        <w:t>prévenir</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la</w:t>
      </w:r>
      <w:r>
        <w:t xml:space="preserve"> </w:t>
      </w:r>
      <w:r w:rsidRPr="008516D1">
        <w:t>Commission</w:t>
      </w:r>
      <w:r>
        <w:t xml:space="preserve"> </w:t>
      </w:r>
      <w:r w:rsidRPr="008516D1">
        <w:t>interinstitutionnelle</w:t>
      </w:r>
      <w:r>
        <w:t xml:space="preserve"> </w:t>
      </w:r>
      <w:r w:rsidRPr="008516D1">
        <w:t>de</w:t>
      </w:r>
      <w:r>
        <w:t xml:space="preserve"> </w:t>
      </w:r>
      <w:r w:rsidRPr="008516D1">
        <w:t>lutte</w:t>
      </w:r>
      <w:r>
        <w:t xml:space="preserve"> </w:t>
      </w:r>
      <w:r w:rsidRPr="008516D1">
        <w:t>contre</w:t>
      </w:r>
      <w:r>
        <w:t xml:space="preserve"> </w:t>
      </w:r>
      <w:r w:rsidRPr="008516D1">
        <w:t>l</w:t>
      </w:r>
      <w:r>
        <w:t>’</w:t>
      </w:r>
      <w:r w:rsidRPr="008516D1">
        <w:t>exploitation</w:t>
      </w:r>
      <w:r>
        <w:t xml:space="preserve"> </w:t>
      </w:r>
      <w:r w:rsidRPr="008516D1">
        <w:t>sexuelle</w:t>
      </w:r>
      <w:r>
        <w:t xml:space="preserve"> </w:t>
      </w:r>
      <w:r w:rsidRPr="008516D1">
        <w:t>à</w:t>
      </w:r>
      <w:r>
        <w:t xml:space="preserve"> </w:t>
      </w:r>
      <w:r w:rsidRPr="008516D1">
        <w:t>des</w:t>
      </w:r>
      <w:r>
        <w:t xml:space="preserve"> </w:t>
      </w:r>
      <w:r w:rsidRPr="008516D1">
        <w:t>fins</w:t>
      </w:r>
      <w:r>
        <w:t xml:space="preserve"> </w:t>
      </w:r>
      <w:r w:rsidRPr="008516D1">
        <w:t>commerciales</w:t>
      </w:r>
      <w:r>
        <w:t xml:space="preserve"> </w:t>
      </w:r>
      <w:r w:rsidRPr="008516D1">
        <w:t>et</w:t>
      </w:r>
      <w:r>
        <w:t xml:space="preserve"> </w:t>
      </w:r>
      <w:r w:rsidRPr="008516D1">
        <w:t>la</w:t>
      </w:r>
      <w:r>
        <w:t xml:space="preserve"> </w:t>
      </w:r>
      <w:r w:rsidRPr="008516D1">
        <w:t>traite</w:t>
      </w:r>
      <w:r>
        <w:t xml:space="preserve"> </w:t>
      </w:r>
      <w:r w:rsidRPr="008516D1">
        <w:t>des</w:t>
      </w:r>
      <w:r>
        <w:t xml:space="preserve"> </w:t>
      </w:r>
      <w:r w:rsidRPr="008516D1">
        <w:t>personnes,</w:t>
      </w:r>
      <w:r>
        <w:t xml:space="preserve"> </w:t>
      </w:r>
      <w:r w:rsidRPr="008516D1">
        <w:t>en</w:t>
      </w:r>
      <w:r>
        <w:t xml:space="preserve"> </w:t>
      </w:r>
      <w:r w:rsidRPr="008516D1">
        <w:t>collaboration</w:t>
      </w:r>
      <w:r>
        <w:t xml:space="preserve"> </w:t>
      </w:r>
      <w:r w:rsidRPr="008516D1">
        <w:t>avec</w:t>
      </w:r>
      <w:r>
        <w:t xml:space="preserve"> </w:t>
      </w:r>
      <w:r w:rsidRPr="008516D1">
        <w:t>le</w:t>
      </w:r>
      <w:r>
        <w:t xml:space="preserve"> </w:t>
      </w:r>
      <w:r w:rsidRPr="008516D1">
        <w:t>Forum</w:t>
      </w:r>
      <w:r>
        <w:t xml:space="preserve"> </w:t>
      </w:r>
      <w:r w:rsidRPr="008516D1">
        <w:t>national</w:t>
      </w:r>
      <w:r>
        <w:t xml:space="preserve"> </w:t>
      </w:r>
      <w:r w:rsidRPr="008516D1">
        <w:t>sur</w:t>
      </w:r>
      <w:r>
        <w:t xml:space="preserve"> </w:t>
      </w:r>
      <w:r w:rsidRPr="008516D1">
        <w:t>les</w:t>
      </w:r>
      <w:r>
        <w:t xml:space="preserve"> </w:t>
      </w:r>
      <w:r w:rsidRPr="008516D1">
        <w:t>migrations</w:t>
      </w:r>
      <w:r>
        <w:t xml:space="preserve"> </w:t>
      </w:r>
      <w:r w:rsidRPr="008516D1">
        <w:t>au</w:t>
      </w:r>
      <w:r>
        <w:t xml:space="preserve"> </w:t>
      </w:r>
      <w:r w:rsidRPr="008516D1">
        <w:t>Honduras,</w:t>
      </w:r>
      <w:r>
        <w:t xml:space="preserve"> </w:t>
      </w:r>
      <w:r w:rsidRPr="008516D1">
        <w:t>a</w:t>
      </w:r>
      <w:r>
        <w:t xml:space="preserve"> </w:t>
      </w:r>
      <w:r w:rsidRPr="008516D1">
        <w:t>dispensé</w:t>
      </w:r>
      <w:r>
        <w:t xml:space="preserve"> </w:t>
      </w:r>
      <w:r w:rsidRPr="008516D1">
        <w:t>une</w:t>
      </w:r>
      <w:r>
        <w:t xml:space="preserve"> </w:t>
      </w:r>
      <w:r w:rsidRPr="008516D1">
        <w:t>formation</w:t>
      </w:r>
      <w:r>
        <w:t xml:space="preserve"> </w:t>
      </w:r>
      <w:r w:rsidRPr="008516D1">
        <w:t>sur</w:t>
      </w:r>
      <w:r>
        <w:t xml:space="preserve"> </w:t>
      </w:r>
      <w:r w:rsidRPr="008516D1">
        <w:t>la</w:t>
      </w:r>
      <w:r>
        <w:t xml:space="preserve"> </w:t>
      </w:r>
      <w:r w:rsidRPr="008516D1">
        <w:t>migration</w:t>
      </w:r>
      <w:r>
        <w:t xml:space="preserve"> </w:t>
      </w:r>
      <w:r w:rsidRPr="008516D1">
        <w:t>et</w:t>
      </w:r>
      <w:r>
        <w:t xml:space="preserve"> </w:t>
      </w:r>
      <w:r w:rsidRPr="008516D1">
        <w:t>ses</w:t>
      </w:r>
      <w:r>
        <w:t xml:space="preserve"> </w:t>
      </w:r>
      <w:r w:rsidRPr="008516D1">
        <w:t>risques</w:t>
      </w:r>
      <w:r>
        <w:t xml:space="preserve"> </w:t>
      </w:r>
      <w:r w:rsidRPr="008516D1">
        <w:t>à</w:t>
      </w:r>
      <w:r>
        <w:t xml:space="preserve"> </w:t>
      </w:r>
      <w:r w:rsidRPr="008516D1">
        <w:t>70</w:t>
      </w:r>
      <w:r w:rsidR="00C240B4">
        <w:t> </w:t>
      </w:r>
      <w:r w:rsidRPr="008516D1">
        <w:t>filles</w:t>
      </w:r>
      <w:r>
        <w:t xml:space="preserve"> </w:t>
      </w:r>
      <w:r w:rsidRPr="008516D1">
        <w:t>et</w:t>
      </w:r>
      <w:r>
        <w:t xml:space="preserve"> </w:t>
      </w:r>
      <w:r w:rsidRPr="008516D1">
        <w:t>adolescentes</w:t>
      </w:r>
      <w:r>
        <w:t xml:space="preserve"> </w:t>
      </w:r>
      <w:r w:rsidRPr="008516D1">
        <w:t>qui</w:t>
      </w:r>
      <w:r>
        <w:t xml:space="preserve"> </w:t>
      </w:r>
      <w:r w:rsidRPr="008516D1">
        <w:t>comptent</w:t>
      </w:r>
      <w:r>
        <w:t xml:space="preserve"> </w:t>
      </w:r>
      <w:r w:rsidRPr="008516D1">
        <w:t>dans</w:t>
      </w:r>
      <w:r>
        <w:t xml:space="preserve"> </w:t>
      </w:r>
      <w:r w:rsidRPr="008516D1">
        <w:t>leur</w:t>
      </w:r>
      <w:r>
        <w:t xml:space="preserve"> </w:t>
      </w:r>
      <w:r w:rsidRPr="008516D1">
        <w:t>famille</w:t>
      </w:r>
      <w:r>
        <w:t xml:space="preserve"> </w:t>
      </w:r>
      <w:r w:rsidRPr="008516D1">
        <w:t>des</w:t>
      </w:r>
      <w:r>
        <w:t xml:space="preserve"> </w:t>
      </w:r>
      <w:r w:rsidRPr="008516D1">
        <w:t>migrants</w:t>
      </w:r>
      <w:r>
        <w:t xml:space="preserve"> </w:t>
      </w:r>
      <w:r w:rsidRPr="008516D1">
        <w:t>honduriens</w:t>
      </w:r>
      <w:r>
        <w:t xml:space="preserve"> </w:t>
      </w:r>
      <w:r w:rsidRPr="008516D1">
        <w:t>disparus</w:t>
      </w:r>
      <w:r>
        <w:t xml:space="preserve"> </w:t>
      </w:r>
      <w:r w:rsidRPr="008516D1">
        <w:t>pendant</w:t>
      </w:r>
      <w:r>
        <w:t xml:space="preserve"> </w:t>
      </w:r>
      <w:r w:rsidRPr="008516D1">
        <w:t>leur</w:t>
      </w:r>
      <w:r>
        <w:t xml:space="preserve"> </w:t>
      </w:r>
      <w:r w:rsidRPr="008516D1">
        <w:t>migration</w:t>
      </w:r>
      <w:r>
        <w:t xml:space="preserve"> </w:t>
      </w:r>
      <w:r w:rsidRPr="008516D1">
        <w:t>ou</w:t>
      </w:r>
      <w:r>
        <w:t xml:space="preserve"> </w:t>
      </w:r>
      <w:r w:rsidRPr="008516D1">
        <w:t>des</w:t>
      </w:r>
      <w:r>
        <w:t xml:space="preserve"> </w:t>
      </w:r>
      <w:r w:rsidRPr="008516D1">
        <w:t>migrants</w:t>
      </w:r>
      <w:r>
        <w:t xml:space="preserve"> </w:t>
      </w:r>
      <w:r w:rsidRPr="008516D1">
        <w:t>résidant</w:t>
      </w:r>
      <w:r>
        <w:t xml:space="preserve"> </w:t>
      </w:r>
      <w:r w:rsidRPr="008516D1">
        <w:t>aux</w:t>
      </w:r>
      <w:r>
        <w:t xml:space="preserve"> </w:t>
      </w:r>
      <w:r w:rsidRPr="008516D1">
        <w:t>États-Unis</w:t>
      </w:r>
      <w:r>
        <w:t xml:space="preserve"> </w:t>
      </w:r>
      <w:r w:rsidRPr="008516D1">
        <w:t>d</w:t>
      </w:r>
      <w:r>
        <w:t>’</w:t>
      </w:r>
      <w:r w:rsidRPr="008516D1">
        <w:t>Amérique</w:t>
      </w:r>
      <w:r w:rsidRPr="008516D1">
        <w:rPr>
          <w:rStyle w:val="Appelnotedebasdep"/>
        </w:rPr>
        <w:footnoteReference w:id="99"/>
      </w:r>
      <w:r w:rsidRPr="008516D1">
        <w:t>.</w:t>
      </w:r>
    </w:p>
    <w:p w14:paraId="696CD3D3" w14:textId="1424CEBC" w:rsidR="00286956" w:rsidRPr="008516D1" w:rsidRDefault="00286956" w:rsidP="00286956">
      <w:pPr>
        <w:pStyle w:val="SingleTxtG"/>
      </w:pPr>
      <w:r w:rsidRPr="008516D1">
        <w:t>158.</w:t>
      </w:r>
      <w:r w:rsidRPr="008516D1">
        <w:tab/>
        <w:t>En</w:t>
      </w:r>
      <w:r>
        <w:t xml:space="preserve"> </w:t>
      </w:r>
      <w:r w:rsidRPr="008516D1">
        <w:t>2017,</w:t>
      </w:r>
      <w:r>
        <w:t xml:space="preserve"> </w:t>
      </w:r>
      <w:r w:rsidRPr="008516D1">
        <w:t>la</w:t>
      </w:r>
      <w:r>
        <w:t xml:space="preserve"> </w:t>
      </w:r>
      <w:r w:rsidR="00C74031" w:rsidRPr="008516D1">
        <w:t>Commission</w:t>
      </w:r>
      <w:r w:rsidR="00C74031">
        <w:t xml:space="preserve"> </w:t>
      </w:r>
      <w:r w:rsidRPr="008516D1">
        <w:t>précitée</w:t>
      </w:r>
      <w:r>
        <w:t xml:space="preserve"> </w:t>
      </w:r>
      <w:r w:rsidRPr="008516D1">
        <w:t>a</w:t>
      </w:r>
      <w:r>
        <w:t xml:space="preserve"> </w:t>
      </w:r>
      <w:r w:rsidRPr="008516D1">
        <w:t>également</w:t>
      </w:r>
      <w:r>
        <w:t xml:space="preserve"> </w:t>
      </w:r>
      <w:r w:rsidRPr="008516D1">
        <w:t>organisé</w:t>
      </w:r>
      <w:r>
        <w:t xml:space="preserve"> </w:t>
      </w:r>
      <w:r w:rsidRPr="008516D1">
        <w:t>un</w:t>
      </w:r>
      <w:r>
        <w:t xml:space="preserve"> </w:t>
      </w:r>
      <w:r w:rsidRPr="008516D1">
        <w:t>atelier</w:t>
      </w:r>
      <w:r>
        <w:t xml:space="preserve"> </w:t>
      </w:r>
      <w:r w:rsidRPr="008516D1">
        <w:t>de</w:t>
      </w:r>
      <w:r>
        <w:t xml:space="preserve"> </w:t>
      </w:r>
      <w:r w:rsidRPr="008516D1">
        <w:t>sensibilisation</w:t>
      </w:r>
      <w:r>
        <w:t xml:space="preserve"> </w:t>
      </w:r>
      <w:r w:rsidRPr="008516D1">
        <w:t>sur</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et</w:t>
      </w:r>
      <w:r>
        <w:t xml:space="preserve"> </w:t>
      </w:r>
      <w:r w:rsidRPr="008516D1">
        <w:t>la</w:t>
      </w:r>
      <w:r>
        <w:t xml:space="preserve"> </w:t>
      </w:r>
      <w:r w:rsidRPr="008516D1">
        <w:t>réglementation</w:t>
      </w:r>
      <w:r>
        <w:t xml:space="preserve"> </w:t>
      </w:r>
      <w:r w:rsidRPr="008516D1">
        <w:t>en</w:t>
      </w:r>
      <w:r>
        <w:t xml:space="preserve"> </w:t>
      </w:r>
      <w:r w:rsidRPr="008516D1">
        <w:t>vigueur</w:t>
      </w:r>
      <w:r>
        <w:t xml:space="preserve"> </w:t>
      </w:r>
      <w:r w:rsidRPr="008516D1">
        <w:t>dans</w:t>
      </w:r>
      <w:r>
        <w:t xml:space="preserve"> </w:t>
      </w:r>
      <w:r w:rsidRPr="008516D1">
        <w:t>ce</w:t>
      </w:r>
      <w:r>
        <w:t xml:space="preserve"> </w:t>
      </w:r>
      <w:r w:rsidRPr="008516D1">
        <w:t>domaine.</w:t>
      </w:r>
      <w:r>
        <w:t xml:space="preserve"> </w:t>
      </w:r>
      <w:r w:rsidRPr="008516D1">
        <w:t>Financé</w:t>
      </w:r>
      <w:r>
        <w:t xml:space="preserve"> </w:t>
      </w:r>
      <w:r w:rsidRPr="008516D1">
        <w:t>par</w:t>
      </w:r>
      <w:r>
        <w:t xml:space="preserve"> </w:t>
      </w:r>
      <w:r w:rsidRPr="008516D1">
        <w:t>le</w:t>
      </w:r>
      <w:r>
        <w:t xml:space="preserve"> </w:t>
      </w:r>
      <w:r w:rsidRPr="008516D1">
        <w:t>Forum</w:t>
      </w:r>
      <w:r>
        <w:t xml:space="preserve"> </w:t>
      </w:r>
      <w:r w:rsidRPr="008516D1">
        <w:t>national</w:t>
      </w:r>
      <w:r>
        <w:t xml:space="preserve"> </w:t>
      </w:r>
      <w:r w:rsidRPr="008516D1">
        <w:t>sur</w:t>
      </w:r>
      <w:r>
        <w:t xml:space="preserve"> </w:t>
      </w:r>
      <w:r w:rsidRPr="008516D1">
        <w:t>les</w:t>
      </w:r>
      <w:r>
        <w:t xml:space="preserve"> </w:t>
      </w:r>
      <w:r w:rsidRPr="008516D1">
        <w:t>migrations</w:t>
      </w:r>
      <w:r>
        <w:t xml:space="preserve"> </w:t>
      </w:r>
      <w:r w:rsidRPr="008516D1">
        <w:t>au</w:t>
      </w:r>
      <w:r>
        <w:t xml:space="preserve"> </w:t>
      </w:r>
      <w:r w:rsidRPr="008516D1">
        <w:t>Honduras,</w:t>
      </w:r>
      <w:r>
        <w:t xml:space="preserve"> </w:t>
      </w:r>
      <w:r w:rsidRPr="008516D1">
        <w:t>cet</w:t>
      </w:r>
      <w:r>
        <w:t xml:space="preserve"> </w:t>
      </w:r>
      <w:r w:rsidRPr="008516D1">
        <w:t>atelier</w:t>
      </w:r>
      <w:r>
        <w:t xml:space="preserve"> </w:t>
      </w:r>
      <w:r w:rsidRPr="008516D1">
        <w:t>a</w:t>
      </w:r>
      <w:r>
        <w:t xml:space="preserve"> </w:t>
      </w:r>
      <w:r w:rsidRPr="008516D1">
        <w:t>permis</w:t>
      </w:r>
      <w:r>
        <w:t xml:space="preserve"> </w:t>
      </w:r>
      <w:r w:rsidRPr="008516D1">
        <w:t>de</w:t>
      </w:r>
      <w:r>
        <w:t xml:space="preserve"> </w:t>
      </w:r>
      <w:r w:rsidRPr="008516D1">
        <w:t>former</w:t>
      </w:r>
      <w:r>
        <w:t xml:space="preserve"> </w:t>
      </w:r>
      <w:r w:rsidRPr="008516D1">
        <w:t>21</w:t>
      </w:r>
      <w:r w:rsidR="00C74031">
        <w:t> </w:t>
      </w:r>
      <w:r w:rsidRPr="008516D1">
        <w:t>membres</w:t>
      </w:r>
      <w:r>
        <w:t xml:space="preserve"> </w:t>
      </w:r>
      <w:r w:rsidRPr="008516D1">
        <w:t>de</w:t>
      </w:r>
      <w:r>
        <w:t xml:space="preserve"> </w:t>
      </w:r>
      <w:r w:rsidRPr="008516D1">
        <w:t>la</w:t>
      </w:r>
      <w:r>
        <w:t xml:space="preserve"> </w:t>
      </w:r>
      <w:r w:rsidRPr="008516D1">
        <w:t>pastorale</w:t>
      </w:r>
      <w:r>
        <w:t xml:space="preserve"> </w:t>
      </w:r>
      <w:r w:rsidRPr="008516D1">
        <w:t>de</w:t>
      </w:r>
      <w:r>
        <w:t xml:space="preserve"> </w:t>
      </w:r>
      <w:r w:rsidRPr="008516D1">
        <w:t>la</w:t>
      </w:r>
      <w:r>
        <w:t xml:space="preserve"> </w:t>
      </w:r>
      <w:r w:rsidRPr="008516D1">
        <w:t>mobilité</w:t>
      </w:r>
      <w:r>
        <w:t xml:space="preserve"> </w:t>
      </w:r>
      <w:r w:rsidRPr="008516D1">
        <w:t>humaine,</w:t>
      </w:r>
      <w:r>
        <w:t xml:space="preserve"> </w:t>
      </w:r>
      <w:r w:rsidRPr="008516D1">
        <w:t>du</w:t>
      </w:r>
      <w:r>
        <w:t xml:space="preserve"> </w:t>
      </w:r>
      <w:r w:rsidRPr="008516D1">
        <w:t>Comité</w:t>
      </w:r>
      <w:r>
        <w:t xml:space="preserve"> </w:t>
      </w:r>
      <w:r w:rsidRPr="008516D1">
        <w:t>des</w:t>
      </w:r>
      <w:r>
        <w:t xml:space="preserve"> </w:t>
      </w:r>
      <w:r w:rsidRPr="008516D1">
        <w:t>familles</w:t>
      </w:r>
      <w:r>
        <w:t xml:space="preserve"> </w:t>
      </w:r>
      <w:r w:rsidRPr="008516D1">
        <w:t>des</w:t>
      </w:r>
      <w:r>
        <w:t xml:space="preserve"> </w:t>
      </w:r>
      <w:r w:rsidRPr="008516D1">
        <w:t>migrants</w:t>
      </w:r>
      <w:r>
        <w:t xml:space="preserve"> </w:t>
      </w:r>
      <w:r w:rsidRPr="008516D1">
        <w:t>de</w:t>
      </w:r>
      <w:r>
        <w:t xml:space="preserve"> </w:t>
      </w:r>
      <w:r w:rsidRPr="008516D1">
        <w:t>Guadalupe</w:t>
      </w:r>
      <w:r>
        <w:t xml:space="preserve"> </w:t>
      </w:r>
      <w:proofErr w:type="spellStart"/>
      <w:r w:rsidRPr="008516D1">
        <w:t>Cedros</w:t>
      </w:r>
      <w:proofErr w:type="spellEnd"/>
      <w:r w:rsidRPr="008516D1">
        <w:t>,</w:t>
      </w:r>
      <w:r>
        <w:t xml:space="preserve"> </w:t>
      </w:r>
      <w:r w:rsidRPr="008516D1">
        <w:t>du</w:t>
      </w:r>
      <w:r>
        <w:t xml:space="preserve"> </w:t>
      </w:r>
      <w:r w:rsidRPr="008516D1">
        <w:t>Comité</w:t>
      </w:r>
      <w:r>
        <w:t xml:space="preserve"> </w:t>
      </w:r>
      <w:r w:rsidRPr="008516D1">
        <w:t>local</w:t>
      </w:r>
      <w:r>
        <w:t xml:space="preserve"> </w:t>
      </w:r>
      <w:r w:rsidRPr="008516D1">
        <w:t>de</w:t>
      </w:r>
      <w:r>
        <w:t xml:space="preserve"> </w:t>
      </w:r>
      <w:proofErr w:type="spellStart"/>
      <w:r w:rsidRPr="008516D1">
        <w:t>Goascorán</w:t>
      </w:r>
      <w:proofErr w:type="spellEnd"/>
      <w:r w:rsidRPr="008516D1">
        <w:t>,</w:t>
      </w:r>
      <w:r>
        <w:t xml:space="preserve"> </w:t>
      </w:r>
      <w:r w:rsidRPr="008516D1">
        <w:t>du</w:t>
      </w:r>
      <w:r>
        <w:t xml:space="preserve"> </w:t>
      </w:r>
      <w:r w:rsidRPr="008516D1">
        <w:t>Comité</w:t>
      </w:r>
      <w:r>
        <w:t xml:space="preserve"> </w:t>
      </w:r>
      <w:r w:rsidRPr="008516D1">
        <w:t>des</w:t>
      </w:r>
      <w:r>
        <w:t xml:space="preserve"> </w:t>
      </w:r>
      <w:r w:rsidRPr="008516D1">
        <w:t>familles</w:t>
      </w:r>
      <w:r>
        <w:t xml:space="preserve"> </w:t>
      </w:r>
      <w:r w:rsidRPr="008516D1">
        <w:t>des</w:t>
      </w:r>
      <w:r>
        <w:t xml:space="preserve"> </w:t>
      </w:r>
      <w:r w:rsidRPr="008516D1">
        <w:t>migrants</w:t>
      </w:r>
      <w:r>
        <w:t xml:space="preserve"> </w:t>
      </w:r>
      <w:r w:rsidRPr="008516D1">
        <w:t>disparus</w:t>
      </w:r>
      <w:r>
        <w:t xml:space="preserve"> </w:t>
      </w:r>
      <w:r w:rsidRPr="008516D1">
        <w:t>d</w:t>
      </w:r>
      <w:r>
        <w:t>’</w:t>
      </w:r>
      <w:r w:rsidRPr="008516D1">
        <w:t>El</w:t>
      </w:r>
      <w:r w:rsidR="00C240B4">
        <w:t> </w:t>
      </w:r>
      <w:proofErr w:type="spellStart"/>
      <w:r w:rsidRPr="008516D1">
        <w:t>Progreso</w:t>
      </w:r>
      <w:proofErr w:type="spellEnd"/>
      <w:r w:rsidRPr="008516D1">
        <w:t>,</w:t>
      </w:r>
      <w:r>
        <w:t xml:space="preserve"> </w:t>
      </w:r>
      <w:r w:rsidRPr="008516D1">
        <w:t>de</w:t>
      </w:r>
      <w:r>
        <w:t xml:space="preserve"> </w:t>
      </w:r>
      <w:r w:rsidRPr="008516D1">
        <w:t>l</w:t>
      </w:r>
      <w:r>
        <w:t>’</w:t>
      </w:r>
      <w:r w:rsidRPr="008516D1">
        <w:t>Organisme</w:t>
      </w:r>
      <w:r>
        <w:t xml:space="preserve"> </w:t>
      </w:r>
      <w:r w:rsidRPr="008516D1">
        <w:t>chrétien</w:t>
      </w:r>
      <w:r>
        <w:t xml:space="preserve"> </w:t>
      </w:r>
      <w:r w:rsidRPr="008516D1">
        <w:t>pour</w:t>
      </w:r>
      <w:r>
        <w:t xml:space="preserve"> </w:t>
      </w:r>
      <w:r w:rsidRPr="008516D1">
        <w:t>le</w:t>
      </w:r>
      <w:r>
        <w:t xml:space="preserve"> </w:t>
      </w:r>
      <w:r w:rsidRPr="008516D1">
        <w:t>développement</w:t>
      </w:r>
      <w:r>
        <w:t xml:space="preserve"> </w:t>
      </w:r>
      <w:r w:rsidRPr="008516D1">
        <w:t>du</w:t>
      </w:r>
      <w:r>
        <w:t xml:space="preserve"> </w:t>
      </w:r>
      <w:r w:rsidRPr="008516D1">
        <w:t>Honduras,</w:t>
      </w:r>
      <w:r>
        <w:t xml:space="preserve"> </w:t>
      </w:r>
      <w:r w:rsidRPr="008516D1">
        <w:t>de</w:t>
      </w:r>
      <w:r>
        <w:t xml:space="preserve"> </w:t>
      </w:r>
      <w:r w:rsidRPr="008516D1">
        <w:t>l</w:t>
      </w:r>
      <w:r>
        <w:t>’</w:t>
      </w:r>
      <w:r w:rsidRPr="008516D1">
        <w:t>Union</w:t>
      </w:r>
      <w:r>
        <w:t xml:space="preserve"> </w:t>
      </w:r>
      <w:r w:rsidRPr="008516D1">
        <w:t>des</w:t>
      </w:r>
      <w:r>
        <w:t xml:space="preserve"> </w:t>
      </w:r>
      <w:r w:rsidRPr="008516D1">
        <w:t>comités</w:t>
      </w:r>
      <w:r>
        <w:t xml:space="preserve"> </w:t>
      </w:r>
      <w:r w:rsidRPr="008516D1">
        <w:t>des</w:t>
      </w:r>
      <w:r>
        <w:t xml:space="preserve"> </w:t>
      </w:r>
      <w:r w:rsidRPr="008516D1">
        <w:t>familles</w:t>
      </w:r>
      <w:r>
        <w:t xml:space="preserve"> </w:t>
      </w:r>
      <w:r w:rsidRPr="008516D1">
        <w:t>de</w:t>
      </w:r>
      <w:r>
        <w:t xml:space="preserve"> </w:t>
      </w:r>
      <w:r w:rsidRPr="008516D1">
        <w:t>migrants</w:t>
      </w:r>
      <w:r>
        <w:t xml:space="preserve"> </w:t>
      </w:r>
      <w:r w:rsidRPr="008516D1">
        <w:t>disparus</w:t>
      </w:r>
      <w:r>
        <w:t xml:space="preserve"> </w:t>
      </w:r>
      <w:r w:rsidRPr="008516D1">
        <w:t>au</w:t>
      </w:r>
      <w:r>
        <w:t xml:space="preserve"> </w:t>
      </w:r>
      <w:r w:rsidRPr="008516D1">
        <w:t>Honduras</w:t>
      </w:r>
      <w:r>
        <w:t xml:space="preserve"> </w:t>
      </w:r>
      <w:r w:rsidRPr="008516D1">
        <w:t>et</w:t>
      </w:r>
      <w:r>
        <w:t xml:space="preserve"> </w:t>
      </w:r>
      <w:r w:rsidRPr="008516D1">
        <w:t>du</w:t>
      </w:r>
      <w:r>
        <w:t xml:space="preserve"> </w:t>
      </w:r>
      <w:r w:rsidRPr="008516D1">
        <w:t>Ministère</w:t>
      </w:r>
      <w:r>
        <w:t xml:space="preserve"> </w:t>
      </w:r>
      <w:r w:rsidRPr="008516D1">
        <w:t>de</w:t>
      </w:r>
      <w:r>
        <w:t xml:space="preserve"> </w:t>
      </w:r>
      <w:r w:rsidRPr="008516D1">
        <w:t>l</w:t>
      </w:r>
      <w:r>
        <w:t>’</w:t>
      </w:r>
      <w:r w:rsidRPr="008516D1">
        <w:t>éducation</w:t>
      </w:r>
      <w:r w:rsidRPr="008516D1">
        <w:rPr>
          <w:rStyle w:val="Appelnotedebasdep"/>
        </w:rPr>
        <w:footnoteReference w:id="100"/>
      </w:r>
      <w:r w:rsidRPr="008516D1">
        <w:t>.</w:t>
      </w:r>
    </w:p>
    <w:p w14:paraId="0F074063" w14:textId="77777777" w:rsidR="00286956" w:rsidRPr="008516D1" w:rsidRDefault="00286956" w:rsidP="00286956">
      <w:pPr>
        <w:pStyle w:val="SingleTxtG"/>
      </w:pPr>
      <w:r w:rsidRPr="008516D1">
        <w:lastRenderedPageBreak/>
        <w:t>159.</w:t>
      </w:r>
      <w:r w:rsidRPr="008516D1">
        <w:tab/>
        <w:t>En</w:t>
      </w:r>
      <w:r>
        <w:t xml:space="preserve"> </w:t>
      </w:r>
      <w:r w:rsidRPr="008516D1">
        <w:t>ce</w:t>
      </w:r>
      <w:r>
        <w:t xml:space="preserve"> </w:t>
      </w:r>
      <w:r w:rsidRPr="008516D1">
        <w:t>qui</w:t>
      </w:r>
      <w:r>
        <w:t xml:space="preserve"> </w:t>
      </w:r>
      <w:r w:rsidRPr="008516D1">
        <w:t>concerne</w:t>
      </w:r>
      <w:r>
        <w:t xml:space="preserve"> </w:t>
      </w:r>
      <w:r w:rsidRPr="008516D1">
        <w:t>la</w:t>
      </w:r>
      <w:r>
        <w:t xml:space="preserve"> </w:t>
      </w:r>
      <w:r w:rsidRPr="008516D1">
        <w:t>révision</w:t>
      </w:r>
      <w:r>
        <w:t xml:space="preserve"> </w:t>
      </w:r>
      <w:r w:rsidRPr="008516D1">
        <w:t>ou</w:t>
      </w:r>
      <w:r>
        <w:t xml:space="preserve"> </w:t>
      </w:r>
      <w:r w:rsidRPr="008516D1">
        <w:t>l</w:t>
      </w:r>
      <w:r>
        <w:t>’</w:t>
      </w:r>
      <w:r w:rsidRPr="008516D1">
        <w:t>annulation</w:t>
      </w:r>
      <w:r>
        <w:t xml:space="preserve"> </w:t>
      </w:r>
      <w:r w:rsidRPr="008516D1">
        <w:t>des</w:t>
      </w:r>
      <w:r>
        <w:t xml:space="preserve"> </w:t>
      </w:r>
      <w:r w:rsidRPr="008516D1">
        <w:t>procédures</w:t>
      </w:r>
      <w:r>
        <w:t xml:space="preserve"> </w:t>
      </w:r>
      <w:r w:rsidRPr="008516D1">
        <w:t>d</w:t>
      </w:r>
      <w:r>
        <w:t>’</w:t>
      </w:r>
      <w:r w:rsidRPr="008516D1">
        <w:t>adoption,</w:t>
      </w:r>
      <w:r>
        <w:t xml:space="preserve"> </w:t>
      </w:r>
      <w:r w:rsidRPr="008516D1">
        <w:t>de</w:t>
      </w:r>
      <w:r>
        <w:t xml:space="preserve"> </w:t>
      </w:r>
      <w:r w:rsidRPr="008516D1">
        <w:t>placement</w:t>
      </w:r>
      <w:r>
        <w:t xml:space="preserve"> </w:t>
      </w:r>
      <w:r w:rsidRPr="008516D1">
        <w:t>ou</w:t>
      </w:r>
      <w:r>
        <w:t xml:space="preserve"> </w:t>
      </w:r>
      <w:r w:rsidRPr="008516D1">
        <w:t>de</w:t>
      </w:r>
      <w:r>
        <w:t xml:space="preserve"> </w:t>
      </w:r>
      <w:r w:rsidRPr="008516D1">
        <w:t>garde</w:t>
      </w:r>
      <w:r>
        <w:t xml:space="preserve"> </w:t>
      </w:r>
      <w:r w:rsidRPr="008516D1">
        <w:t>d</w:t>
      </w:r>
      <w:r>
        <w:t>’</w:t>
      </w:r>
      <w:r w:rsidRPr="008516D1">
        <w:t>enfants</w:t>
      </w:r>
      <w:r>
        <w:t xml:space="preserve"> </w:t>
      </w:r>
      <w:r w:rsidRPr="008516D1">
        <w:t>en</w:t>
      </w:r>
      <w:r>
        <w:t xml:space="preserve"> </w:t>
      </w:r>
      <w:r w:rsidRPr="008516D1">
        <w:t>raison</w:t>
      </w:r>
      <w:r>
        <w:t xml:space="preserve"> </w:t>
      </w:r>
      <w:r w:rsidRPr="008516D1">
        <w:t>d</w:t>
      </w:r>
      <w:r>
        <w:t>’</w:t>
      </w:r>
      <w:r w:rsidRPr="008516D1">
        <w:t>une</w:t>
      </w:r>
      <w:r>
        <w:t xml:space="preserve"> </w:t>
      </w:r>
      <w:r w:rsidRPr="008516D1">
        <w:t>disparition</w:t>
      </w:r>
      <w:r>
        <w:t xml:space="preserve"> </w:t>
      </w:r>
      <w:r w:rsidRPr="008516D1">
        <w:t>forcée,</w:t>
      </w:r>
      <w:r>
        <w:t xml:space="preserve"> </w:t>
      </w:r>
      <w:r w:rsidRPr="008516D1">
        <w:t>la</w:t>
      </w:r>
      <w:r>
        <w:t xml:space="preserve"> </w:t>
      </w:r>
      <w:r w:rsidRPr="008516D1">
        <w:t>loi</w:t>
      </w:r>
      <w:r>
        <w:t xml:space="preserve"> </w:t>
      </w:r>
      <w:r w:rsidRPr="008516D1">
        <w:t>spéciale</w:t>
      </w:r>
      <w:r>
        <w:t xml:space="preserve"> </w:t>
      </w:r>
      <w:r w:rsidRPr="008516D1">
        <w:t>relative</w:t>
      </w:r>
      <w:r>
        <w:t xml:space="preserve"> </w:t>
      </w:r>
      <w:r w:rsidRPr="008516D1">
        <w:t>à</w:t>
      </w:r>
      <w:r>
        <w:t xml:space="preserve"> </w:t>
      </w:r>
      <w:r w:rsidRPr="008516D1">
        <w:t>l</w:t>
      </w:r>
      <w:r>
        <w:t>’</w:t>
      </w:r>
      <w:r w:rsidRPr="008516D1">
        <w:t>adoption</w:t>
      </w:r>
      <w:r>
        <w:t xml:space="preserve"> </w:t>
      </w:r>
      <w:r w:rsidRPr="008516D1">
        <w:t>dispose</w:t>
      </w:r>
      <w:r>
        <w:t xml:space="preserve"> </w:t>
      </w:r>
      <w:r w:rsidRPr="008516D1">
        <w:t>que</w:t>
      </w:r>
      <w:r>
        <w:t xml:space="preserve"> </w:t>
      </w:r>
      <w:r w:rsidRPr="008516D1">
        <w:t>toutes</w:t>
      </w:r>
      <w:r>
        <w:t xml:space="preserve"> </w:t>
      </w:r>
      <w:r w:rsidRPr="008516D1">
        <w:t>les</w:t>
      </w:r>
      <w:r>
        <w:t xml:space="preserve"> </w:t>
      </w:r>
      <w:r w:rsidRPr="008516D1">
        <w:t>démarches</w:t>
      </w:r>
      <w:r>
        <w:t xml:space="preserve"> </w:t>
      </w:r>
      <w:r w:rsidRPr="008516D1">
        <w:t>sont</w:t>
      </w:r>
      <w:r>
        <w:t xml:space="preserve"> </w:t>
      </w:r>
      <w:r w:rsidRPr="008516D1">
        <w:t>nulles</w:t>
      </w:r>
      <w:r>
        <w:t xml:space="preserve"> </w:t>
      </w:r>
      <w:r w:rsidRPr="008516D1">
        <w:t>et</w:t>
      </w:r>
      <w:r>
        <w:t xml:space="preserve"> </w:t>
      </w:r>
      <w:r w:rsidRPr="008516D1">
        <w:t>non</w:t>
      </w:r>
      <w:r>
        <w:t xml:space="preserve"> </w:t>
      </w:r>
      <w:r w:rsidRPr="008516D1">
        <w:t>avenues</w:t>
      </w:r>
      <w:r>
        <w:t xml:space="preserve"> </w:t>
      </w:r>
      <w:r w:rsidRPr="008516D1">
        <w:t>si</w:t>
      </w:r>
      <w:r>
        <w:t xml:space="preserve"> </w:t>
      </w:r>
      <w:r w:rsidRPr="008516D1">
        <w:t>l</w:t>
      </w:r>
      <w:r>
        <w:t>’</w:t>
      </w:r>
      <w:r w:rsidRPr="008516D1">
        <w:t>adoption</w:t>
      </w:r>
      <w:r>
        <w:t xml:space="preserve"> </w:t>
      </w:r>
      <w:r w:rsidRPr="008516D1">
        <w:t>ne</w:t>
      </w:r>
      <w:r>
        <w:t xml:space="preserve"> </w:t>
      </w:r>
      <w:r w:rsidRPr="008516D1">
        <w:t>respecte</w:t>
      </w:r>
      <w:r>
        <w:t xml:space="preserve"> </w:t>
      </w:r>
      <w:r w:rsidRPr="008516D1">
        <w:t>pas</w:t>
      </w:r>
      <w:r>
        <w:t xml:space="preserve"> </w:t>
      </w:r>
      <w:r w:rsidRPr="008516D1">
        <w:t>les</w:t>
      </w:r>
      <w:r>
        <w:t xml:space="preserve"> </w:t>
      </w:r>
      <w:r w:rsidRPr="008516D1">
        <w:t>conditions</w:t>
      </w:r>
      <w:r>
        <w:t xml:space="preserve"> </w:t>
      </w:r>
      <w:r w:rsidRPr="008516D1">
        <w:t>établies</w:t>
      </w:r>
      <w:r>
        <w:t xml:space="preserve"> </w:t>
      </w:r>
      <w:r w:rsidRPr="008516D1">
        <w:t>par</w:t>
      </w:r>
      <w:r>
        <w:t xml:space="preserve"> </w:t>
      </w:r>
      <w:r w:rsidRPr="008516D1">
        <w:t>la</w:t>
      </w:r>
      <w:r>
        <w:t xml:space="preserve"> </w:t>
      </w:r>
      <w:r w:rsidRPr="008516D1">
        <w:t>loi,</w:t>
      </w:r>
      <w:r>
        <w:t xml:space="preserve"> </w:t>
      </w:r>
      <w:r w:rsidRPr="008516D1">
        <w:t>est</w:t>
      </w:r>
      <w:r>
        <w:t xml:space="preserve"> </w:t>
      </w:r>
      <w:r w:rsidRPr="008516D1">
        <w:t>entachée</w:t>
      </w:r>
      <w:r>
        <w:t xml:space="preserve"> </w:t>
      </w:r>
      <w:r w:rsidRPr="008516D1">
        <w:t>d</w:t>
      </w:r>
      <w:r>
        <w:t>’</w:t>
      </w:r>
      <w:r w:rsidRPr="008516D1">
        <w:t>erreur,</w:t>
      </w:r>
      <w:r>
        <w:t xml:space="preserve"> </w:t>
      </w:r>
      <w:r w:rsidRPr="008516D1">
        <w:t>obtenue</w:t>
      </w:r>
      <w:r>
        <w:t xml:space="preserve"> </w:t>
      </w:r>
      <w:r w:rsidRPr="008516D1">
        <w:t>sous</w:t>
      </w:r>
      <w:r>
        <w:t xml:space="preserve"> </w:t>
      </w:r>
      <w:r w:rsidRPr="008516D1">
        <w:t>la</w:t>
      </w:r>
      <w:r>
        <w:t xml:space="preserve"> </w:t>
      </w:r>
      <w:r w:rsidRPr="008516D1">
        <w:t>contrainte,</w:t>
      </w:r>
      <w:r>
        <w:t xml:space="preserve"> </w:t>
      </w:r>
      <w:r w:rsidRPr="008516D1">
        <w:t>basée</w:t>
      </w:r>
      <w:r>
        <w:t xml:space="preserve"> </w:t>
      </w:r>
      <w:r w:rsidRPr="008516D1">
        <w:t>sur</w:t>
      </w:r>
      <w:r>
        <w:t xml:space="preserve"> </w:t>
      </w:r>
      <w:r w:rsidRPr="008516D1">
        <w:t>le</w:t>
      </w:r>
      <w:r>
        <w:t xml:space="preserve"> </w:t>
      </w:r>
      <w:r w:rsidRPr="008516D1">
        <w:t>dol</w:t>
      </w:r>
      <w:r>
        <w:t xml:space="preserve"> </w:t>
      </w:r>
      <w:r w:rsidRPr="008516D1">
        <w:t>ou</w:t>
      </w:r>
      <w:r>
        <w:t xml:space="preserve"> </w:t>
      </w:r>
      <w:r w:rsidRPr="008516D1">
        <w:t>si</w:t>
      </w:r>
      <w:r>
        <w:t xml:space="preserve"> </w:t>
      </w:r>
      <w:r w:rsidRPr="008516D1">
        <w:t>elle</w:t>
      </w:r>
      <w:r>
        <w:t xml:space="preserve"> </w:t>
      </w:r>
      <w:r w:rsidRPr="008516D1">
        <w:t>découle</w:t>
      </w:r>
      <w:r>
        <w:t xml:space="preserve"> </w:t>
      </w:r>
      <w:r w:rsidRPr="008516D1">
        <w:t>d</w:t>
      </w:r>
      <w:r>
        <w:t>’</w:t>
      </w:r>
      <w:r w:rsidRPr="008516D1">
        <w:t>un</w:t>
      </w:r>
      <w:r>
        <w:t xml:space="preserve"> </w:t>
      </w:r>
      <w:r w:rsidRPr="008516D1">
        <w:t>acte</w:t>
      </w:r>
      <w:r>
        <w:t xml:space="preserve"> </w:t>
      </w:r>
      <w:r w:rsidRPr="008516D1">
        <w:t>illicite</w:t>
      </w:r>
      <w:r w:rsidRPr="008516D1">
        <w:rPr>
          <w:rStyle w:val="Appelnotedebasdep"/>
        </w:rPr>
        <w:footnoteReference w:id="101"/>
      </w:r>
      <w:r w:rsidRPr="008516D1">
        <w:t>.</w:t>
      </w:r>
    </w:p>
    <w:p w14:paraId="243DDDAC" w14:textId="77777777" w:rsidR="00286956" w:rsidRPr="008516D1" w:rsidRDefault="00286956" w:rsidP="00286956">
      <w:pPr>
        <w:pStyle w:val="SingleTxtG"/>
      </w:pPr>
      <w:r w:rsidRPr="008516D1">
        <w:t>160.</w:t>
      </w:r>
      <w:r w:rsidRPr="008516D1">
        <w:tab/>
        <w:t>Le</w:t>
      </w:r>
      <w:r>
        <w:t xml:space="preserve"> </w:t>
      </w:r>
      <w:r w:rsidRPr="008516D1">
        <w:t>règlement</w:t>
      </w:r>
      <w:r>
        <w:t xml:space="preserve"> </w:t>
      </w:r>
      <w:r w:rsidRPr="008516D1">
        <w:t>d</w:t>
      </w:r>
      <w:r>
        <w:t>’</w:t>
      </w:r>
      <w:r w:rsidRPr="008516D1">
        <w:t>application</w:t>
      </w:r>
      <w:r>
        <w:t xml:space="preserve"> </w:t>
      </w:r>
      <w:r w:rsidRPr="008516D1">
        <w:t>de</w:t>
      </w:r>
      <w:r>
        <w:t xml:space="preserve"> </w:t>
      </w:r>
      <w:r w:rsidRPr="008516D1">
        <w:t>la</w:t>
      </w:r>
      <w:r>
        <w:t xml:space="preserve"> </w:t>
      </w:r>
      <w:r w:rsidRPr="008516D1">
        <w:t>loi</w:t>
      </w:r>
      <w:r>
        <w:t xml:space="preserve"> </w:t>
      </w:r>
      <w:r w:rsidRPr="008516D1">
        <w:t>spéciale</w:t>
      </w:r>
      <w:r>
        <w:t xml:space="preserve"> </w:t>
      </w:r>
      <w:r w:rsidRPr="008516D1">
        <w:t>relative</w:t>
      </w:r>
      <w:r>
        <w:t xml:space="preserve"> </w:t>
      </w:r>
      <w:r w:rsidRPr="008516D1">
        <w:t>à</w:t>
      </w:r>
      <w:r>
        <w:t xml:space="preserve"> </w:t>
      </w:r>
      <w:r w:rsidRPr="008516D1">
        <w:t>l</w:t>
      </w:r>
      <w:r>
        <w:t>’</w:t>
      </w:r>
      <w:r w:rsidRPr="008516D1">
        <w:t>adoption,</w:t>
      </w:r>
      <w:r>
        <w:t xml:space="preserve"> </w:t>
      </w:r>
      <w:r w:rsidRPr="008516D1">
        <w:t>entré</w:t>
      </w:r>
      <w:r>
        <w:t xml:space="preserve"> </w:t>
      </w:r>
      <w:r w:rsidRPr="008516D1">
        <w:t>en</w:t>
      </w:r>
      <w:r>
        <w:t xml:space="preserve"> </w:t>
      </w:r>
      <w:r w:rsidRPr="008516D1">
        <w:t>vigueur</w:t>
      </w:r>
      <w:r>
        <w:t xml:space="preserve"> </w:t>
      </w:r>
      <w:r w:rsidRPr="008516D1">
        <w:t>en</w:t>
      </w:r>
      <w:r>
        <w:t xml:space="preserve"> </w:t>
      </w:r>
      <w:r w:rsidRPr="008516D1">
        <w:t>2021,</w:t>
      </w:r>
      <w:r>
        <w:t xml:space="preserve"> </w:t>
      </w:r>
      <w:r w:rsidRPr="008516D1">
        <w:t>comprend</w:t>
      </w:r>
      <w:r>
        <w:t xml:space="preserve"> </w:t>
      </w:r>
      <w:r w:rsidRPr="008516D1">
        <w:t>des</w:t>
      </w:r>
      <w:r>
        <w:t xml:space="preserve"> </w:t>
      </w:r>
      <w:r w:rsidRPr="008516D1">
        <w:t>dispositions</w:t>
      </w:r>
      <w:r>
        <w:t xml:space="preserve"> </w:t>
      </w:r>
      <w:r w:rsidRPr="008516D1">
        <w:t>concernant</w:t>
      </w:r>
      <w:r>
        <w:t xml:space="preserve"> </w:t>
      </w:r>
      <w:r w:rsidRPr="008516D1">
        <w:t>la</w:t>
      </w:r>
      <w:r>
        <w:t xml:space="preserve"> </w:t>
      </w:r>
      <w:r w:rsidRPr="008516D1">
        <w:t>recherche</w:t>
      </w:r>
      <w:r>
        <w:t xml:space="preserve"> </w:t>
      </w:r>
      <w:r w:rsidRPr="008516D1">
        <w:t>des</w:t>
      </w:r>
      <w:r>
        <w:t xml:space="preserve"> </w:t>
      </w:r>
      <w:r w:rsidRPr="008516D1">
        <w:t>origines,</w:t>
      </w:r>
      <w:r>
        <w:t xml:space="preserve"> </w:t>
      </w:r>
      <w:r w:rsidRPr="008516D1">
        <w:t>les</w:t>
      </w:r>
      <w:r>
        <w:t xml:space="preserve"> </w:t>
      </w:r>
      <w:r w:rsidRPr="008516D1">
        <w:t>enlèvements</w:t>
      </w:r>
      <w:r>
        <w:t xml:space="preserve"> </w:t>
      </w:r>
      <w:r w:rsidRPr="008516D1">
        <w:t>d</w:t>
      </w:r>
      <w:r>
        <w:t>’</w:t>
      </w:r>
      <w:r w:rsidRPr="008516D1">
        <w:t>enfants</w:t>
      </w:r>
      <w:r>
        <w:t xml:space="preserve"> </w:t>
      </w:r>
      <w:r w:rsidRPr="008516D1">
        <w:t>et</w:t>
      </w:r>
      <w:r>
        <w:t xml:space="preserve"> </w:t>
      </w:r>
      <w:r w:rsidRPr="008516D1">
        <w:t>la</w:t>
      </w:r>
      <w:r>
        <w:t xml:space="preserve"> </w:t>
      </w:r>
      <w:r w:rsidRPr="008516D1">
        <w:t>pratique</w:t>
      </w:r>
      <w:r>
        <w:t xml:space="preserve"> </w:t>
      </w:r>
      <w:r w:rsidRPr="008516D1">
        <w:t>de</w:t>
      </w:r>
      <w:r>
        <w:t xml:space="preserve"> </w:t>
      </w:r>
      <w:r w:rsidRPr="008516D1">
        <w:t>tests</w:t>
      </w:r>
      <w:r>
        <w:t xml:space="preserve"> </w:t>
      </w:r>
      <w:r w:rsidRPr="008516D1">
        <w:t>ADN</w:t>
      </w:r>
      <w:r>
        <w:t xml:space="preserve"> </w:t>
      </w:r>
      <w:r w:rsidRPr="008516D1">
        <w:t>en</w:t>
      </w:r>
      <w:r>
        <w:t xml:space="preserve"> </w:t>
      </w:r>
      <w:r w:rsidRPr="008516D1">
        <w:t>cas</w:t>
      </w:r>
      <w:r>
        <w:t xml:space="preserve"> </w:t>
      </w:r>
      <w:r w:rsidRPr="008516D1">
        <w:t>de</w:t>
      </w:r>
      <w:r>
        <w:t xml:space="preserve"> </w:t>
      </w:r>
      <w:r w:rsidRPr="008516D1">
        <w:t>suspicion</w:t>
      </w:r>
      <w:r>
        <w:t xml:space="preserve"> </w:t>
      </w:r>
      <w:r w:rsidRPr="008516D1">
        <w:t>de</w:t>
      </w:r>
      <w:r>
        <w:t xml:space="preserve"> </w:t>
      </w:r>
      <w:r w:rsidRPr="008516D1">
        <w:t>disparition</w:t>
      </w:r>
      <w:r>
        <w:t xml:space="preserve"> </w:t>
      </w:r>
      <w:r w:rsidRPr="008516D1">
        <w:t>forcée</w:t>
      </w:r>
      <w:r>
        <w:t xml:space="preserve"> </w:t>
      </w:r>
      <w:r w:rsidRPr="008516D1">
        <w:t>d</w:t>
      </w:r>
      <w:r>
        <w:t>’</w:t>
      </w:r>
      <w:r w:rsidRPr="008516D1">
        <w:t>un</w:t>
      </w:r>
      <w:r>
        <w:t xml:space="preserve"> </w:t>
      </w:r>
      <w:r w:rsidRPr="008516D1">
        <w:t>enfant</w:t>
      </w:r>
      <w:r w:rsidRPr="008516D1">
        <w:rPr>
          <w:rStyle w:val="Appelnotedebasdep"/>
        </w:rPr>
        <w:footnoteReference w:id="102"/>
      </w:r>
      <w:r w:rsidRPr="008516D1">
        <w:t>.</w:t>
      </w:r>
    </w:p>
    <w:p w14:paraId="746DE2CD" w14:textId="77777777" w:rsidR="00286956" w:rsidRPr="008516D1" w:rsidRDefault="00286956" w:rsidP="00286956">
      <w:pPr>
        <w:pStyle w:val="SingleTxtG"/>
      </w:pPr>
      <w:r w:rsidRPr="008516D1">
        <w:t>161.</w:t>
      </w:r>
      <w:r w:rsidRPr="008516D1">
        <w:tab/>
      </w:r>
      <w:r w:rsidRPr="006B3441">
        <w:rPr>
          <w:spacing w:val="-2"/>
        </w:rPr>
        <w:t>En outre, le Code pénal dispose que quiconque remet un enfant, y compris dans un autre pays, en vue de son adoption, de son accueil ou de sa garde en échange d’une compensation</w:t>
      </w:r>
      <w:r>
        <w:t xml:space="preserve"> </w:t>
      </w:r>
      <w:r w:rsidRPr="008516D1">
        <w:t>financière,</w:t>
      </w:r>
      <w:r>
        <w:t xml:space="preserve"> </w:t>
      </w:r>
      <w:r w:rsidRPr="008516D1">
        <w:t>sans</w:t>
      </w:r>
      <w:r>
        <w:t xml:space="preserve"> </w:t>
      </w:r>
      <w:r w:rsidRPr="008516D1">
        <w:t>respecter</w:t>
      </w:r>
      <w:r>
        <w:t xml:space="preserve"> </w:t>
      </w:r>
      <w:r w:rsidRPr="008516D1">
        <w:t>les</w:t>
      </w:r>
      <w:r>
        <w:t xml:space="preserve"> </w:t>
      </w:r>
      <w:r w:rsidRPr="008516D1">
        <w:t>prescriptions</w:t>
      </w:r>
      <w:r>
        <w:t xml:space="preserve"> </w:t>
      </w:r>
      <w:r w:rsidRPr="008516D1">
        <w:t>légales,</w:t>
      </w:r>
      <w:r>
        <w:t xml:space="preserve"> </w:t>
      </w:r>
      <w:r w:rsidRPr="008516D1">
        <w:t>commet</w:t>
      </w:r>
      <w:r>
        <w:t xml:space="preserve"> </w:t>
      </w:r>
      <w:r w:rsidRPr="008516D1">
        <w:t>une</w:t>
      </w:r>
      <w:r>
        <w:t xml:space="preserve"> </w:t>
      </w:r>
      <w:r w:rsidRPr="008516D1">
        <w:t>infraction.</w:t>
      </w:r>
      <w:r>
        <w:t xml:space="preserve"> </w:t>
      </w:r>
      <w:r w:rsidRPr="008516D1">
        <w:t>Il</w:t>
      </w:r>
      <w:r>
        <w:t xml:space="preserve"> </w:t>
      </w:r>
      <w:r w:rsidRPr="008516D1">
        <w:t>prévoit</w:t>
      </w:r>
      <w:r>
        <w:t xml:space="preserve"> </w:t>
      </w:r>
      <w:r w:rsidRPr="008516D1">
        <w:t>des</w:t>
      </w:r>
      <w:r>
        <w:t xml:space="preserve"> </w:t>
      </w:r>
      <w:r w:rsidRPr="008516D1">
        <w:t>peines</w:t>
      </w:r>
      <w:r>
        <w:t xml:space="preserve"> </w:t>
      </w:r>
      <w:r w:rsidRPr="008516D1">
        <w:t>plus</w:t>
      </w:r>
      <w:r>
        <w:t xml:space="preserve"> </w:t>
      </w:r>
      <w:r w:rsidRPr="008516D1">
        <w:t>lourdes</w:t>
      </w:r>
      <w:r>
        <w:t xml:space="preserve"> </w:t>
      </w:r>
      <w:r w:rsidRPr="008516D1">
        <w:t>pour</w:t>
      </w:r>
      <w:r>
        <w:t xml:space="preserve"> </w:t>
      </w:r>
      <w:r w:rsidRPr="008516D1">
        <w:t>les</w:t>
      </w:r>
      <w:r>
        <w:t xml:space="preserve"> </w:t>
      </w:r>
      <w:r w:rsidRPr="008516D1">
        <w:t>personnes</w:t>
      </w:r>
      <w:r>
        <w:t xml:space="preserve"> </w:t>
      </w:r>
      <w:r w:rsidRPr="008516D1">
        <w:t>qui</w:t>
      </w:r>
      <w:r>
        <w:t xml:space="preserve"> </w:t>
      </w:r>
      <w:r w:rsidRPr="008516D1">
        <w:t>accueillent</w:t>
      </w:r>
      <w:r>
        <w:t xml:space="preserve"> </w:t>
      </w:r>
      <w:r w:rsidRPr="008516D1">
        <w:t>l</w:t>
      </w:r>
      <w:r>
        <w:t>’</w:t>
      </w:r>
      <w:r w:rsidRPr="008516D1">
        <w:t>enfant</w:t>
      </w:r>
      <w:r>
        <w:t xml:space="preserve"> </w:t>
      </w:r>
      <w:r w:rsidRPr="008516D1">
        <w:t>et</w:t>
      </w:r>
      <w:r>
        <w:t xml:space="preserve"> </w:t>
      </w:r>
      <w:r w:rsidRPr="008516D1">
        <w:t>les</w:t>
      </w:r>
      <w:r>
        <w:t xml:space="preserve"> </w:t>
      </w:r>
      <w:r w:rsidRPr="008516D1">
        <w:t>intermédiaires</w:t>
      </w:r>
      <w:r w:rsidRPr="008516D1">
        <w:rPr>
          <w:rStyle w:val="Appelnotedebasdep"/>
        </w:rPr>
        <w:footnoteReference w:id="103"/>
      </w:r>
      <w:r w:rsidRPr="008516D1">
        <w:t>.</w:t>
      </w:r>
      <w:r>
        <w:t xml:space="preserve"> </w:t>
      </w:r>
      <w:r w:rsidRPr="008516D1">
        <w:t>En</w:t>
      </w:r>
      <w:r>
        <w:t xml:space="preserve"> </w:t>
      </w:r>
      <w:r w:rsidRPr="008516D1">
        <w:t>2020,</w:t>
      </w:r>
      <w:r>
        <w:t xml:space="preserve"> </w:t>
      </w:r>
      <w:r w:rsidRPr="008516D1">
        <w:t>la</w:t>
      </w:r>
      <w:r>
        <w:t xml:space="preserve"> </w:t>
      </w:r>
      <w:r w:rsidRPr="008516D1">
        <w:t>Commission</w:t>
      </w:r>
      <w:r>
        <w:t xml:space="preserve"> </w:t>
      </w:r>
      <w:r w:rsidRPr="008516D1">
        <w:t>interinstitutionnelle</w:t>
      </w:r>
      <w:r>
        <w:t xml:space="preserve"> </w:t>
      </w:r>
      <w:r w:rsidRPr="008516D1">
        <w:t>de</w:t>
      </w:r>
      <w:r>
        <w:t xml:space="preserve"> </w:t>
      </w:r>
      <w:r w:rsidRPr="008516D1">
        <w:t>lutte</w:t>
      </w:r>
      <w:r>
        <w:t xml:space="preserve"> </w:t>
      </w:r>
      <w:r w:rsidRPr="008516D1">
        <w:t>contre</w:t>
      </w:r>
      <w:r>
        <w:t xml:space="preserve"> </w:t>
      </w:r>
      <w:r w:rsidRPr="008516D1">
        <w:t>l</w:t>
      </w:r>
      <w:r>
        <w:t>’</w:t>
      </w:r>
      <w:r w:rsidRPr="008516D1">
        <w:t>exploitation</w:t>
      </w:r>
      <w:r>
        <w:t xml:space="preserve"> </w:t>
      </w:r>
      <w:r w:rsidRPr="008516D1">
        <w:t>sexuelle</w:t>
      </w:r>
      <w:r>
        <w:t xml:space="preserve"> </w:t>
      </w:r>
      <w:r w:rsidRPr="008516D1">
        <w:t>à</w:t>
      </w:r>
      <w:r>
        <w:t xml:space="preserve"> </w:t>
      </w:r>
      <w:r w:rsidRPr="008516D1">
        <w:t>des</w:t>
      </w:r>
      <w:r>
        <w:t xml:space="preserve"> </w:t>
      </w:r>
      <w:r w:rsidRPr="008516D1">
        <w:t>fins</w:t>
      </w:r>
      <w:r>
        <w:t xml:space="preserve"> </w:t>
      </w:r>
      <w:r w:rsidRPr="008516D1">
        <w:t>commerciales</w:t>
      </w:r>
      <w:r>
        <w:t xml:space="preserve"> </w:t>
      </w:r>
      <w:r w:rsidRPr="008516D1">
        <w:t>et</w:t>
      </w:r>
      <w:r>
        <w:t xml:space="preserve"> </w:t>
      </w:r>
      <w:r w:rsidRPr="008516D1">
        <w:t>la</w:t>
      </w:r>
      <w:r>
        <w:t xml:space="preserve"> </w:t>
      </w:r>
      <w:r w:rsidRPr="008516D1">
        <w:t>traite</w:t>
      </w:r>
      <w:r>
        <w:t xml:space="preserve"> </w:t>
      </w:r>
      <w:r w:rsidRPr="008516D1">
        <w:t>des</w:t>
      </w:r>
      <w:r>
        <w:t xml:space="preserve"> </w:t>
      </w:r>
      <w:r w:rsidRPr="008516D1">
        <w:t>personnes</w:t>
      </w:r>
      <w:r>
        <w:t xml:space="preserve"> </w:t>
      </w:r>
      <w:r w:rsidRPr="008516D1">
        <w:t>a</w:t>
      </w:r>
      <w:r>
        <w:t xml:space="preserve"> </w:t>
      </w:r>
      <w:r w:rsidRPr="008516D1">
        <w:t>fait</w:t>
      </w:r>
      <w:r>
        <w:t xml:space="preserve"> </w:t>
      </w:r>
      <w:r w:rsidRPr="008516D1">
        <w:t>état</w:t>
      </w:r>
      <w:r>
        <w:t xml:space="preserve"> </w:t>
      </w:r>
      <w:r w:rsidRPr="008516D1">
        <w:t>d</w:t>
      </w:r>
      <w:r>
        <w:t>’</w:t>
      </w:r>
      <w:r w:rsidRPr="008516D1">
        <w:t>un</w:t>
      </w:r>
      <w:r>
        <w:t xml:space="preserve"> </w:t>
      </w:r>
      <w:r w:rsidRPr="008516D1">
        <w:t>cas</w:t>
      </w:r>
      <w:r>
        <w:t xml:space="preserve"> </w:t>
      </w:r>
      <w:r w:rsidRPr="008516D1">
        <w:t>d</w:t>
      </w:r>
      <w:r>
        <w:t>’</w:t>
      </w:r>
      <w:r w:rsidRPr="008516D1">
        <w:t>adoption</w:t>
      </w:r>
      <w:r>
        <w:t xml:space="preserve"> </w:t>
      </w:r>
      <w:r w:rsidRPr="008516D1">
        <w:t>frauduleuse</w:t>
      </w:r>
      <w:r w:rsidRPr="008516D1">
        <w:rPr>
          <w:rStyle w:val="Appelnotedebasdep"/>
        </w:rPr>
        <w:footnoteReference w:id="104"/>
      </w:r>
      <w:r w:rsidRPr="008516D1">
        <w:t>.</w:t>
      </w:r>
    </w:p>
    <w:p w14:paraId="36A2D214" w14:textId="0BE19A49" w:rsidR="00286956" w:rsidRPr="008516D1" w:rsidRDefault="00286956" w:rsidP="00286956">
      <w:pPr>
        <w:pStyle w:val="SingleTxtG"/>
      </w:pPr>
      <w:r w:rsidRPr="008516D1">
        <w:t>162.</w:t>
      </w:r>
      <w:r w:rsidRPr="008516D1">
        <w:tab/>
        <w:t>Il</w:t>
      </w:r>
      <w:r>
        <w:t xml:space="preserve"> </w:t>
      </w:r>
      <w:r w:rsidRPr="008516D1">
        <w:t>est</w:t>
      </w:r>
      <w:r>
        <w:t xml:space="preserve"> </w:t>
      </w:r>
      <w:r w:rsidRPr="008516D1">
        <w:t>important</w:t>
      </w:r>
      <w:r>
        <w:t xml:space="preserve"> </w:t>
      </w:r>
      <w:r w:rsidRPr="008516D1">
        <w:t>de</w:t>
      </w:r>
      <w:r>
        <w:t xml:space="preserve"> </w:t>
      </w:r>
      <w:r w:rsidRPr="008516D1">
        <w:t>mentionner</w:t>
      </w:r>
      <w:r>
        <w:t xml:space="preserve"> </w:t>
      </w:r>
      <w:r w:rsidRPr="008516D1">
        <w:t>que</w:t>
      </w:r>
      <w:r>
        <w:t xml:space="preserve"> </w:t>
      </w:r>
      <w:r w:rsidRPr="008516D1">
        <w:t>la</w:t>
      </w:r>
      <w:r>
        <w:t xml:space="preserve"> </w:t>
      </w:r>
      <w:r w:rsidRPr="008516D1">
        <w:t>Convention</w:t>
      </w:r>
      <w:r>
        <w:t xml:space="preserve"> </w:t>
      </w:r>
      <w:r w:rsidRPr="008516D1">
        <w:t>sur</w:t>
      </w:r>
      <w:r>
        <w:t xml:space="preserve"> </w:t>
      </w:r>
      <w:r w:rsidRPr="008516D1">
        <w:t>la</w:t>
      </w:r>
      <w:r>
        <w:t xml:space="preserve"> </w:t>
      </w:r>
      <w:r w:rsidRPr="008516D1">
        <w:t>protection</w:t>
      </w:r>
      <w:r>
        <w:t xml:space="preserve"> </w:t>
      </w:r>
      <w:r w:rsidRPr="008516D1">
        <w:t>des</w:t>
      </w:r>
      <w:r>
        <w:t xml:space="preserve"> </w:t>
      </w:r>
      <w:r w:rsidRPr="008516D1">
        <w:t>enfants</w:t>
      </w:r>
      <w:r>
        <w:t xml:space="preserve"> </w:t>
      </w:r>
      <w:r w:rsidRPr="008516D1">
        <w:t>et</w:t>
      </w:r>
      <w:r>
        <w:t xml:space="preserve"> </w:t>
      </w:r>
      <w:r w:rsidRPr="008516D1">
        <w:t>la</w:t>
      </w:r>
      <w:r>
        <w:t xml:space="preserve"> </w:t>
      </w:r>
      <w:r w:rsidRPr="008516D1">
        <w:t>coopération</w:t>
      </w:r>
      <w:r>
        <w:t xml:space="preserve"> </w:t>
      </w:r>
      <w:r w:rsidRPr="008516D1">
        <w:t>en</w:t>
      </w:r>
      <w:r>
        <w:t xml:space="preserve"> </w:t>
      </w:r>
      <w:r w:rsidRPr="008516D1">
        <w:t>matière</w:t>
      </w:r>
      <w:r>
        <w:t xml:space="preserve"> </w:t>
      </w:r>
      <w:r w:rsidRPr="008516D1">
        <w:t>d</w:t>
      </w:r>
      <w:r>
        <w:t>’</w:t>
      </w:r>
      <w:r w:rsidRPr="008516D1">
        <w:t>adoption</w:t>
      </w:r>
      <w:r>
        <w:t xml:space="preserve"> </w:t>
      </w:r>
      <w:r w:rsidRPr="008516D1">
        <w:t>internationale,</w:t>
      </w:r>
      <w:r>
        <w:t xml:space="preserve"> </w:t>
      </w:r>
      <w:r w:rsidRPr="008516D1">
        <w:t>adoptée</w:t>
      </w:r>
      <w:r>
        <w:t xml:space="preserve"> </w:t>
      </w:r>
      <w:r w:rsidRPr="008516D1">
        <w:t>par</w:t>
      </w:r>
      <w:r>
        <w:t xml:space="preserve"> </w:t>
      </w:r>
      <w:r w:rsidRPr="008516D1">
        <w:t>la</w:t>
      </w:r>
      <w:r>
        <w:t xml:space="preserve"> </w:t>
      </w:r>
      <w:r w:rsidRPr="008516D1">
        <w:t>Conférence</w:t>
      </w:r>
      <w:r>
        <w:t xml:space="preserve"> </w:t>
      </w:r>
      <w:r w:rsidRPr="008516D1">
        <w:t>de</w:t>
      </w:r>
      <w:r>
        <w:t xml:space="preserve"> </w:t>
      </w:r>
      <w:r w:rsidRPr="008516D1">
        <w:t>La</w:t>
      </w:r>
      <w:r>
        <w:t xml:space="preserve"> </w:t>
      </w:r>
      <w:r w:rsidRPr="008516D1">
        <w:t>Haye</w:t>
      </w:r>
      <w:r>
        <w:t xml:space="preserve"> </w:t>
      </w:r>
      <w:r w:rsidRPr="008516D1">
        <w:t>de</w:t>
      </w:r>
      <w:r>
        <w:t xml:space="preserve"> </w:t>
      </w:r>
      <w:r w:rsidRPr="008516D1">
        <w:t>droit</w:t>
      </w:r>
      <w:r>
        <w:t xml:space="preserve"> </w:t>
      </w:r>
      <w:r w:rsidRPr="008516D1">
        <w:t>international</w:t>
      </w:r>
      <w:r>
        <w:t xml:space="preserve"> </w:t>
      </w:r>
      <w:r w:rsidRPr="008516D1">
        <w:t>privé</w:t>
      </w:r>
      <w:r>
        <w:t xml:space="preserve"> </w:t>
      </w:r>
      <w:r w:rsidRPr="008516D1">
        <w:t>le</w:t>
      </w:r>
      <w:r>
        <w:t xml:space="preserve"> </w:t>
      </w:r>
      <w:r w:rsidRPr="008516D1">
        <w:t>29</w:t>
      </w:r>
      <w:r w:rsidR="006B3441">
        <w:t> </w:t>
      </w:r>
      <w:r w:rsidRPr="008516D1">
        <w:t>mai</w:t>
      </w:r>
      <w:r>
        <w:t xml:space="preserve"> </w:t>
      </w:r>
      <w:r w:rsidRPr="008516D1">
        <w:t>1993,</w:t>
      </w:r>
      <w:r>
        <w:t xml:space="preserve"> </w:t>
      </w:r>
      <w:r w:rsidRPr="008516D1">
        <w:t>est</w:t>
      </w:r>
      <w:r>
        <w:t xml:space="preserve"> </w:t>
      </w:r>
      <w:r w:rsidRPr="008516D1">
        <w:t>entrée</w:t>
      </w:r>
      <w:r>
        <w:t xml:space="preserve"> </w:t>
      </w:r>
      <w:r w:rsidRPr="008516D1">
        <w:t>en</w:t>
      </w:r>
      <w:r>
        <w:t xml:space="preserve"> </w:t>
      </w:r>
      <w:r w:rsidRPr="008516D1">
        <w:t>vigueur</w:t>
      </w:r>
      <w:r>
        <w:t xml:space="preserve"> </w:t>
      </w:r>
      <w:r w:rsidRPr="008516D1">
        <w:t>le</w:t>
      </w:r>
      <w:r>
        <w:t xml:space="preserve"> </w:t>
      </w:r>
      <w:r w:rsidRPr="008516D1">
        <w:t>1</w:t>
      </w:r>
      <w:r w:rsidRPr="008516D1">
        <w:rPr>
          <w:vertAlign w:val="superscript"/>
        </w:rPr>
        <w:t>er</w:t>
      </w:r>
      <w:r w:rsidR="006B3441">
        <w:t> </w:t>
      </w:r>
      <w:r w:rsidRPr="008516D1">
        <w:t>juillet</w:t>
      </w:r>
      <w:r>
        <w:t xml:space="preserve"> </w:t>
      </w:r>
      <w:r w:rsidRPr="008516D1">
        <w:t>2019.</w:t>
      </w:r>
      <w:r>
        <w:t xml:space="preserve"> </w:t>
      </w:r>
      <w:r w:rsidRPr="008516D1">
        <w:t>Le</w:t>
      </w:r>
      <w:r>
        <w:t xml:space="preserve"> </w:t>
      </w:r>
      <w:r w:rsidRPr="008516D1">
        <w:t>Honduras</w:t>
      </w:r>
      <w:r>
        <w:t xml:space="preserve"> </w:t>
      </w:r>
      <w:r w:rsidRPr="008516D1">
        <w:t>est</w:t>
      </w:r>
      <w:r>
        <w:t xml:space="preserve"> </w:t>
      </w:r>
      <w:r w:rsidRPr="008516D1">
        <w:t>également</w:t>
      </w:r>
      <w:r>
        <w:t xml:space="preserve"> </w:t>
      </w:r>
      <w:r w:rsidRPr="008516D1">
        <w:t>partie</w:t>
      </w:r>
      <w:r>
        <w:t xml:space="preserve"> </w:t>
      </w:r>
      <w:r w:rsidRPr="008516D1">
        <w:t>à</w:t>
      </w:r>
      <w:r>
        <w:t xml:space="preserve"> </w:t>
      </w:r>
      <w:r w:rsidRPr="008516D1">
        <w:t>quatre</w:t>
      </w:r>
      <w:r>
        <w:t xml:space="preserve"> </w:t>
      </w:r>
      <w:r w:rsidRPr="008516D1">
        <w:t>conventions</w:t>
      </w:r>
      <w:r>
        <w:t xml:space="preserve"> </w:t>
      </w:r>
      <w:r w:rsidRPr="008516D1">
        <w:t>de</w:t>
      </w:r>
      <w:r>
        <w:t xml:space="preserve"> </w:t>
      </w:r>
      <w:r w:rsidRPr="008516D1">
        <w:t>la</w:t>
      </w:r>
      <w:r>
        <w:t xml:space="preserve"> </w:t>
      </w:r>
      <w:r w:rsidRPr="008516D1">
        <w:t>Conférence</w:t>
      </w:r>
      <w:r>
        <w:t xml:space="preserve"> </w:t>
      </w:r>
      <w:r w:rsidRPr="008516D1">
        <w:t>de</w:t>
      </w:r>
      <w:r>
        <w:t xml:space="preserve"> </w:t>
      </w:r>
      <w:r w:rsidRPr="008516D1">
        <w:t>La</w:t>
      </w:r>
      <w:r>
        <w:t xml:space="preserve"> </w:t>
      </w:r>
      <w:r w:rsidRPr="008516D1">
        <w:t>Haye</w:t>
      </w:r>
      <w:r>
        <w:t xml:space="preserve"> </w:t>
      </w:r>
      <w:r w:rsidRPr="008516D1">
        <w:t>de</w:t>
      </w:r>
      <w:r>
        <w:t xml:space="preserve"> </w:t>
      </w:r>
      <w:r w:rsidRPr="008516D1">
        <w:t>droit</w:t>
      </w:r>
      <w:r>
        <w:t xml:space="preserve"> </w:t>
      </w:r>
      <w:r w:rsidRPr="008516D1">
        <w:t>international</w:t>
      </w:r>
      <w:r>
        <w:t xml:space="preserve"> </w:t>
      </w:r>
      <w:r w:rsidRPr="008516D1">
        <w:t>privé</w:t>
      </w:r>
      <w:r>
        <w:t xml:space="preserve"> </w:t>
      </w:r>
      <w:r w:rsidRPr="008516D1">
        <w:t>sur</w:t>
      </w:r>
      <w:r>
        <w:t xml:space="preserve"> </w:t>
      </w:r>
      <w:r w:rsidRPr="008516D1">
        <w:t>la</w:t>
      </w:r>
      <w:r>
        <w:t xml:space="preserve"> </w:t>
      </w:r>
      <w:r w:rsidRPr="008516D1">
        <w:t>délivrance</w:t>
      </w:r>
      <w:r>
        <w:t xml:space="preserve"> </w:t>
      </w:r>
      <w:r w:rsidRPr="008516D1">
        <w:t>de</w:t>
      </w:r>
      <w:r>
        <w:t xml:space="preserve"> </w:t>
      </w:r>
      <w:r w:rsidRPr="008516D1">
        <w:t>l</w:t>
      </w:r>
      <w:r>
        <w:t>’</w:t>
      </w:r>
      <w:r w:rsidRPr="008516D1">
        <w:t>apostille,</w:t>
      </w:r>
      <w:r>
        <w:t xml:space="preserve"> </w:t>
      </w:r>
      <w:r w:rsidRPr="008516D1">
        <w:t>l</w:t>
      </w:r>
      <w:r>
        <w:t>’</w:t>
      </w:r>
      <w:r w:rsidRPr="008516D1">
        <w:t>enlèvement</w:t>
      </w:r>
      <w:r>
        <w:t xml:space="preserve"> </w:t>
      </w:r>
      <w:r w:rsidRPr="008516D1">
        <w:t>d</w:t>
      </w:r>
      <w:r>
        <w:t>’</w:t>
      </w:r>
      <w:r w:rsidRPr="008516D1">
        <w:t>enfants,</w:t>
      </w:r>
      <w:r>
        <w:t xml:space="preserve"> </w:t>
      </w:r>
      <w:r w:rsidRPr="008516D1">
        <w:t>la</w:t>
      </w:r>
      <w:r>
        <w:t xml:space="preserve"> </w:t>
      </w:r>
      <w:r w:rsidRPr="008516D1">
        <w:t>protection</w:t>
      </w:r>
      <w:r>
        <w:t xml:space="preserve"> </w:t>
      </w:r>
      <w:r w:rsidRPr="008516D1">
        <w:t>des</w:t>
      </w:r>
      <w:r>
        <w:t xml:space="preserve"> </w:t>
      </w:r>
      <w:r w:rsidRPr="008516D1">
        <w:t>mineurs</w:t>
      </w:r>
      <w:r>
        <w:t xml:space="preserve"> </w:t>
      </w:r>
      <w:r w:rsidRPr="008516D1">
        <w:t>et</w:t>
      </w:r>
      <w:r>
        <w:t xml:space="preserve"> </w:t>
      </w:r>
      <w:r w:rsidRPr="008516D1">
        <w:t>les</w:t>
      </w:r>
      <w:r>
        <w:t xml:space="preserve"> </w:t>
      </w:r>
      <w:r w:rsidRPr="008516D1">
        <w:t>obligations</w:t>
      </w:r>
      <w:r>
        <w:t xml:space="preserve"> </w:t>
      </w:r>
      <w:r w:rsidRPr="008516D1">
        <w:t>alimentaires</w:t>
      </w:r>
      <w:r>
        <w:t xml:space="preserve"> </w:t>
      </w:r>
      <w:r w:rsidRPr="008516D1">
        <w:t>envers</w:t>
      </w:r>
      <w:r>
        <w:t xml:space="preserve"> </w:t>
      </w:r>
      <w:r w:rsidRPr="008516D1">
        <w:t>les</w:t>
      </w:r>
      <w:r>
        <w:t xml:space="preserve"> </w:t>
      </w:r>
      <w:r w:rsidRPr="008516D1">
        <w:t>enfants.</w:t>
      </w:r>
    </w:p>
    <w:p w14:paraId="1F6209A2" w14:textId="6C1F0406" w:rsidR="00286956" w:rsidRPr="008516D1" w:rsidRDefault="00286956" w:rsidP="00286956">
      <w:pPr>
        <w:pStyle w:val="H1G"/>
      </w:pPr>
      <w:bookmarkStart w:id="27" w:name="_Toc76740433"/>
      <w:r w:rsidRPr="008516D1">
        <w:tab/>
        <w:t>M.</w:t>
      </w:r>
      <w:r w:rsidRPr="008516D1">
        <w:tab/>
        <w:t>Formation</w:t>
      </w:r>
      <w:r>
        <w:t xml:space="preserve"> </w:t>
      </w:r>
      <w:r w:rsidRPr="008516D1">
        <w:t>des</w:t>
      </w:r>
      <w:r>
        <w:t xml:space="preserve"> </w:t>
      </w:r>
      <w:r w:rsidRPr="008516D1">
        <w:t>agents</w:t>
      </w:r>
      <w:r>
        <w:t xml:space="preserve"> </w:t>
      </w:r>
      <w:r w:rsidRPr="008516D1">
        <w:t>de</w:t>
      </w:r>
      <w:r>
        <w:t xml:space="preserve"> </w:t>
      </w:r>
      <w:r w:rsidRPr="008516D1">
        <w:t>la</w:t>
      </w:r>
      <w:r>
        <w:t xml:space="preserve"> </w:t>
      </w:r>
      <w:r w:rsidRPr="008516D1">
        <w:t>fonction</w:t>
      </w:r>
      <w:r>
        <w:t xml:space="preserve"> </w:t>
      </w:r>
      <w:r w:rsidRPr="008516D1">
        <w:t>publique,</w:t>
      </w:r>
      <w:r>
        <w:t xml:space="preserve"> </w:t>
      </w:r>
      <w:r w:rsidRPr="008516D1">
        <w:t>du</w:t>
      </w:r>
      <w:r>
        <w:t xml:space="preserve"> </w:t>
      </w:r>
      <w:r w:rsidRPr="008516D1">
        <w:t>personnel</w:t>
      </w:r>
      <w:r>
        <w:t xml:space="preserve"> </w:t>
      </w:r>
      <w:r w:rsidRPr="008516D1">
        <w:t>des</w:t>
      </w:r>
      <w:r>
        <w:t xml:space="preserve"> </w:t>
      </w:r>
      <w:r w:rsidRPr="008516D1">
        <w:t>services</w:t>
      </w:r>
      <w:r>
        <w:t xml:space="preserve"> </w:t>
      </w:r>
      <w:r w:rsidRPr="008516D1">
        <w:t>judiciaires</w:t>
      </w:r>
      <w:r>
        <w:t xml:space="preserve"> </w:t>
      </w:r>
      <w:r w:rsidRPr="008516D1">
        <w:t>et</w:t>
      </w:r>
      <w:r>
        <w:t xml:space="preserve"> </w:t>
      </w:r>
      <w:r w:rsidRPr="008516D1">
        <w:t>du</w:t>
      </w:r>
      <w:r>
        <w:t xml:space="preserve"> </w:t>
      </w:r>
      <w:r w:rsidRPr="008516D1">
        <w:t>personnel</w:t>
      </w:r>
      <w:r>
        <w:t xml:space="preserve"> </w:t>
      </w:r>
      <w:r w:rsidRPr="008516D1">
        <w:t>chargé</w:t>
      </w:r>
      <w:r>
        <w:t xml:space="preserve"> </w:t>
      </w:r>
      <w:r w:rsidRPr="008516D1">
        <w:t>de</w:t>
      </w:r>
      <w:r>
        <w:t xml:space="preserve"> </w:t>
      </w:r>
      <w:r w:rsidRPr="008516D1">
        <w:t>l</w:t>
      </w:r>
      <w:r>
        <w:t>’</w:t>
      </w:r>
      <w:r w:rsidRPr="008516D1">
        <w:t>application</w:t>
      </w:r>
      <w:r>
        <w:t xml:space="preserve"> </w:t>
      </w:r>
      <w:r w:rsidRPr="008516D1">
        <w:t>des</w:t>
      </w:r>
      <w:r>
        <w:t xml:space="preserve"> </w:t>
      </w:r>
      <w:r w:rsidRPr="008516D1">
        <w:t>lois</w:t>
      </w:r>
      <w:r>
        <w:t xml:space="preserve"> </w:t>
      </w:r>
      <w:r w:rsidRPr="008516D1">
        <w:t>(</w:t>
      </w:r>
      <w:r w:rsidR="003A61DD">
        <w:t>art. </w:t>
      </w:r>
      <w:r w:rsidRPr="008516D1">
        <w:t>23)</w:t>
      </w:r>
      <w:bookmarkEnd w:id="27"/>
    </w:p>
    <w:p w14:paraId="0F184074" w14:textId="3BB5A17E" w:rsidR="00286956" w:rsidRPr="008516D1" w:rsidRDefault="00286956" w:rsidP="00286956">
      <w:pPr>
        <w:pStyle w:val="SingleTxtG"/>
      </w:pPr>
      <w:r w:rsidRPr="008516D1">
        <w:t>163.</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35</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poursuivre</w:t>
      </w:r>
      <w:r>
        <w:t xml:space="preserve"> </w:t>
      </w:r>
      <w:r w:rsidRPr="008516D1">
        <w:t>ses</w:t>
      </w:r>
      <w:r>
        <w:t xml:space="preserve"> </w:t>
      </w:r>
      <w:r w:rsidRPr="008516D1">
        <w:t>efforts</w:t>
      </w:r>
      <w:r>
        <w:t xml:space="preserve"> </w:t>
      </w:r>
      <w:r w:rsidRPr="008516D1">
        <w:t>pour</w:t>
      </w:r>
      <w:r>
        <w:t xml:space="preserve"> </w:t>
      </w:r>
      <w:r w:rsidRPr="008516D1">
        <w:t>dispenser</w:t>
      </w:r>
      <w:r>
        <w:t xml:space="preserve"> </w:t>
      </w:r>
      <w:r w:rsidRPr="008516D1">
        <w:t>une</w:t>
      </w:r>
      <w:r>
        <w:t xml:space="preserve"> </w:t>
      </w:r>
      <w:r w:rsidRPr="008516D1">
        <w:t>formation</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les</w:t>
      </w:r>
      <w:r>
        <w:t xml:space="preserve"> </w:t>
      </w:r>
      <w:r w:rsidRPr="008516D1">
        <w:t>normes</w:t>
      </w:r>
      <w:r>
        <w:t xml:space="preserve"> </w:t>
      </w:r>
      <w:r w:rsidRPr="008516D1">
        <w:t>internationales</w:t>
      </w:r>
      <w:r>
        <w:t xml:space="preserve"> </w:t>
      </w:r>
      <w:r w:rsidRPr="008516D1">
        <w:t>et</w:t>
      </w:r>
      <w:r>
        <w:t xml:space="preserve"> </w:t>
      </w:r>
      <w:r w:rsidRPr="008516D1">
        <w:t>les</w:t>
      </w:r>
      <w:r>
        <w:t xml:space="preserve"> </w:t>
      </w:r>
      <w:r w:rsidRPr="008516D1">
        <w:t>dispositions</w:t>
      </w:r>
      <w:r>
        <w:t xml:space="preserve"> </w:t>
      </w:r>
      <w:r w:rsidRPr="008516D1">
        <w:t>de</w:t>
      </w:r>
      <w:r>
        <w:t xml:space="preserve"> </w:t>
      </w:r>
      <w:r w:rsidRPr="008516D1">
        <w:t>la</w:t>
      </w:r>
      <w:r>
        <w:t xml:space="preserve"> </w:t>
      </w:r>
      <w:r w:rsidRPr="008516D1">
        <w:t>Convention</w:t>
      </w:r>
      <w:r>
        <w:t xml:space="preserve"> </w:t>
      </w:r>
      <w:r w:rsidRPr="008516D1">
        <w:t>aux</w:t>
      </w:r>
      <w:r>
        <w:t xml:space="preserve"> </w:t>
      </w:r>
      <w:r w:rsidRPr="008516D1">
        <w:t>agents</w:t>
      </w:r>
      <w:r>
        <w:t xml:space="preserve"> </w:t>
      </w:r>
      <w:r w:rsidRPr="008516D1">
        <w:t>de</w:t>
      </w:r>
      <w:r>
        <w:t xml:space="preserve"> </w:t>
      </w:r>
      <w:r w:rsidRPr="008516D1">
        <w:t>l</w:t>
      </w:r>
      <w:r>
        <w:t>’</w:t>
      </w:r>
      <w:r w:rsidRPr="008516D1">
        <w:t>État</w:t>
      </w:r>
      <w:r>
        <w:t xml:space="preserve"> </w:t>
      </w:r>
      <w:r w:rsidRPr="008516D1">
        <w:t>et</w:t>
      </w:r>
      <w:r>
        <w:t xml:space="preserve"> </w:t>
      </w:r>
      <w:r w:rsidRPr="008516D1">
        <w:t>aux</w:t>
      </w:r>
      <w:r>
        <w:t xml:space="preserve"> </w:t>
      </w:r>
      <w:r w:rsidRPr="008516D1">
        <w:t>membres</w:t>
      </w:r>
      <w:r>
        <w:t xml:space="preserve"> </w:t>
      </w:r>
      <w:r w:rsidRPr="008516D1">
        <w:t>des</w:t>
      </w:r>
      <w:r>
        <w:t xml:space="preserve"> </w:t>
      </w:r>
      <w:r w:rsidRPr="008516D1">
        <w:t>forces</w:t>
      </w:r>
      <w:r>
        <w:t xml:space="preserve"> </w:t>
      </w:r>
      <w:r w:rsidRPr="008516D1">
        <w:t>de</w:t>
      </w:r>
      <w:r>
        <w:t xml:space="preserve"> </w:t>
      </w:r>
      <w:r w:rsidRPr="008516D1">
        <w:t>l</w:t>
      </w:r>
      <w:r>
        <w:t>’</w:t>
      </w:r>
      <w:r w:rsidRPr="008516D1">
        <w:t>ordre,</w:t>
      </w:r>
      <w:r>
        <w:t xml:space="preserve"> </w:t>
      </w:r>
      <w:r w:rsidRPr="008516D1">
        <w:t>aux</w:t>
      </w:r>
      <w:r>
        <w:t xml:space="preserve"> </w:t>
      </w:r>
      <w:r w:rsidRPr="008516D1">
        <w:t>fonctionnaires</w:t>
      </w:r>
      <w:r>
        <w:t xml:space="preserve"> </w:t>
      </w:r>
      <w:r w:rsidRPr="008516D1">
        <w:t>qui</w:t>
      </w:r>
      <w:r>
        <w:t xml:space="preserve"> </w:t>
      </w:r>
      <w:r w:rsidRPr="008516D1">
        <w:t>interviennent</w:t>
      </w:r>
      <w:r>
        <w:t xml:space="preserve"> </w:t>
      </w:r>
      <w:r w:rsidRPr="008516D1">
        <w:t>dans</w:t>
      </w:r>
      <w:r>
        <w:t xml:space="preserve"> </w:t>
      </w:r>
      <w:r w:rsidRPr="008516D1">
        <w:t>la</w:t>
      </w:r>
      <w:r>
        <w:t xml:space="preserve"> </w:t>
      </w:r>
      <w:r w:rsidRPr="008516D1">
        <w:t>garde</w:t>
      </w:r>
      <w:r>
        <w:t xml:space="preserve"> </w:t>
      </w:r>
      <w:r w:rsidRPr="008516D1">
        <w:t>des</w:t>
      </w:r>
      <w:r>
        <w:t xml:space="preserve"> </w:t>
      </w:r>
      <w:r w:rsidRPr="008516D1">
        <w:t>personnes</w:t>
      </w:r>
      <w:r>
        <w:t xml:space="preserve"> </w:t>
      </w:r>
      <w:r w:rsidRPr="008516D1">
        <w:t>privées</w:t>
      </w:r>
      <w:r>
        <w:t xml:space="preserve"> </w:t>
      </w:r>
      <w:r w:rsidRPr="008516D1">
        <w:t>de</w:t>
      </w:r>
      <w:r>
        <w:t xml:space="preserve"> </w:t>
      </w:r>
      <w:r w:rsidRPr="008516D1">
        <w:t>liberté,</w:t>
      </w:r>
      <w:r>
        <w:t xml:space="preserve"> </w:t>
      </w:r>
      <w:r w:rsidRPr="008516D1">
        <w:t>aux</w:t>
      </w:r>
      <w:r>
        <w:t xml:space="preserve"> </w:t>
      </w:r>
      <w:r w:rsidRPr="008516D1">
        <w:t>juges,</w:t>
      </w:r>
      <w:r>
        <w:t xml:space="preserve"> </w:t>
      </w:r>
      <w:r w:rsidRPr="008516D1">
        <w:t>aux</w:t>
      </w:r>
      <w:r>
        <w:t xml:space="preserve"> </w:t>
      </w:r>
      <w:r w:rsidRPr="008516D1">
        <w:t>procureurs</w:t>
      </w:r>
      <w:r>
        <w:t xml:space="preserve"> </w:t>
      </w:r>
      <w:r w:rsidRPr="008516D1">
        <w:t>et</w:t>
      </w:r>
      <w:r>
        <w:t xml:space="preserve"> </w:t>
      </w:r>
      <w:r w:rsidRPr="008516D1">
        <w:t>autres</w:t>
      </w:r>
      <w:r>
        <w:t xml:space="preserve"> </w:t>
      </w:r>
      <w:r w:rsidRPr="008516D1">
        <w:t>fonctionnaires</w:t>
      </w:r>
      <w:r>
        <w:t xml:space="preserve"> </w:t>
      </w:r>
      <w:r w:rsidRPr="008516D1">
        <w:t>chargés</w:t>
      </w:r>
      <w:r>
        <w:t xml:space="preserve"> </w:t>
      </w:r>
      <w:r w:rsidRPr="008516D1">
        <w:t>de</w:t>
      </w:r>
      <w:r>
        <w:t xml:space="preserve"> </w:t>
      </w:r>
      <w:r w:rsidRPr="008516D1">
        <w:t>l</w:t>
      </w:r>
      <w:r>
        <w:t>’</w:t>
      </w:r>
      <w:r w:rsidRPr="008516D1">
        <w:t>administration</w:t>
      </w:r>
      <w:r>
        <w:t xml:space="preserve"> </w:t>
      </w:r>
      <w:r w:rsidRPr="008516D1">
        <w:t>de</w:t>
      </w:r>
      <w:r>
        <w:t xml:space="preserve"> </w:t>
      </w:r>
      <w:r w:rsidRPr="008516D1">
        <w:t>la</w:t>
      </w:r>
      <w:r>
        <w:t xml:space="preserve"> </w:t>
      </w:r>
      <w:r w:rsidRPr="008516D1">
        <w:t>justice,</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w:t>
      </w:r>
      <w:r>
        <w:t>’</w:t>
      </w:r>
      <w:r w:rsidRPr="008516D1">
        <w:t>en</w:t>
      </w:r>
      <w:r>
        <w:t xml:space="preserve"> </w:t>
      </w:r>
      <w:r w:rsidRPr="008516D1">
        <w:t>2017,</w:t>
      </w:r>
      <w:r>
        <w:t xml:space="preserve"> </w:t>
      </w:r>
      <w:r w:rsidRPr="008516D1">
        <w:t>avec</w:t>
      </w:r>
      <w:r>
        <w:t xml:space="preserve"> </w:t>
      </w:r>
      <w:r w:rsidRPr="008516D1">
        <w:t>l</w:t>
      </w:r>
      <w:r>
        <w:t>’</w:t>
      </w:r>
      <w:r w:rsidRPr="008516D1">
        <w:t>appui</w:t>
      </w:r>
      <w:r>
        <w:t xml:space="preserve"> </w:t>
      </w:r>
      <w:r w:rsidRPr="008516D1">
        <w:t>du</w:t>
      </w:r>
      <w:r>
        <w:t xml:space="preserve"> </w:t>
      </w:r>
      <w:r w:rsidRPr="008516D1">
        <w:t>CICR,</w:t>
      </w:r>
      <w:r>
        <w:t xml:space="preserve"> </w:t>
      </w:r>
      <w:r w:rsidRPr="008516D1">
        <w:t>le</w:t>
      </w:r>
      <w:r>
        <w:t xml:space="preserve"> </w:t>
      </w:r>
      <w:r w:rsidRPr="008516D1">
        <w:t>ministère</w:t>
      </w:r>
      <w:r>
        <w:t xml:space="preserve"> </w:t>
      </w:r>
      <w:r w:rsidRPr="008516D1">
        <w:t>public</w:t>
      </w:r>
      <w:r>
        <w:t xml:space="preserve"> </w:t>
      </w:r>
      <w:r w:rsidRPr="008516D1">
        <w:t>a</w:t>
      </w:r>
      <w:r>
        <w:t xml:space="preserve"> </w:t>
      </w:r>
      <w:r w:rsidRPr="008516D1">
        <w:t>organisé</w:t>
      </w:r>
      <w:r>
        <w:t xml:space="preserve"> </w:t>
      </w:r>
      <w:r w:rsidRPr="008516D1">
        <w:t>un</w:t>
      </w:r>
      <w:r>
        <w:t xml:space="preserve"> </w:t>
      </w:r>
      <w:r w:rsidRPr="008516D1">
        <w:t>atelier</w:t>
      </w:r>
      <w:r>
        <w:t xml:space="preserve"> </w:t>
      </w:r>
      <w:r w:rsidRPr="008516D1">
        <w:t>de</w:t>
      </w:r>
      <w:r>
        <w:t xml:space="preserve"> </w:t>
      </w:r>
      <w:r w:rsidRPr="008516D1">
        <w:t>formation</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les</w:t>
      </w:r>
      <w:r>
        <w:t xml:space="preserve"> </w:t>
      </w:r>
      <w:r w:rsidRPr="008516D1">
        <w:t>disparitions</w:t>
      </w:r>
      <w:r>
        <w:t xml:space="preserve"> </w:t>
      </w:r>
      <w:r w:rsidRPr="008516D1">
        <w:t>forcées</w:t>
      </w:r>
      <w:r>
        <w:t xml:space="preserve"> </w:t>
      </w:r>
      <w:r w:rsidRPr="008516D1">
        <w:t>à</w:t>
      </w:r>
      <w:r>
        <w:t xml:space="preserve"> </w:t>
      </w:r>
      <w:r w:rsidRPr="008516D1">
        <w:t>l</w:t>
      </w:r>
      <w:r>
        <w:t>’</w:t>
      </w:r>
      <w:r w:rsidRPr="008516D1">
        <w:t>intention</w:t>
      </w:r>
      <w:r>
        <w:t xml:space="preserve"> </w:t>
      </w:r>
      <w:r w:rsidRPr="008516D1">
        <w:t>de</w:t>
      </w:r>
      <w:r>
        <w:t xml:space="preserve"> </w:t>
      </w:r>
      <w:r w:rsidRPr="008516D1">
        <w:t>20</w:t>
      </w:r>
      <w:r w:rsidR="006B3441">
        <w:t> </w:t>
      </w:r>
      <w:r w:rsidRPr="008516D1">
        <w:t>procureurs</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atteintes</w:t>
      </w:r>
      <w:r>
        <w:t xml:space="preserve"> </w:t>
      </w:r>
      <w:r w:rsidRPr="008516D1">
        <w:t>à</w:t>
      </w:r>
      <w:r>
        <w:t xml:space="preserve"> </w:t>
      </w:r>
      <w:r w:rsidRPr="008516D1">
        <w:t>la</w:t>
      </w:r>
      <w:r>
        <w:t xml:space="preserve"> </w:t>
      </w:r>
      <w:r w:rsidRPr="008516D1">
        <w:t>vie,</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chargé</w:t>
      </w:r>
      <w:r>
        <w:t xml:space="preserve"> </w:t>
      </w:r>
      <w:r w:rsidRPr="008516D1">
        <w:t>de</w:t>
      </w:r>
      <w:r>
        <w:t xml:space="preserve"> </w:t>
      </w:r>
      <w:r w:rsidRPr="008516D1">
        <w:t>la</w:t>
      </w:r>
      <w:r>
        <w:t xml:space="preserve"> </w:t>
      </w:r>
      <w:r w:rsidRPr="008516D1">
        <w:t>lutte</w:t>
      </w:r>
      <w:r>
        <w:t xml:space="preserve"> </w:t>
      </w:r>
      <w:r w:rsidRPr="008516D1">
        <w:t>contre</w:t>
      </w:r>
      <w:r>
        <w:t xml:space="preserve"> </w:t>
      </w:r>
      <w:r w:rsidRPr="008516D1">
        <w:t>le</w:t>
      </w:r>
      <w:r>
        <w:t xml:space="preserve"> </w:t>
      </w:r>
      <w:r w:rsidRPr="008516D1">
        <w:t>crime</w:t>
      </w:r>
      <w:r>
        <w:t xml:space="preserve"> </w:t>
      </w:r>
      <w:r w:rsidRPr="008516D1">
        <w:t>organisé</w:t>
      </w:r>
      <w:r>
        <w:t xml:space="preserve"> </w:t>
      </w:r>
      <w:r w:rsidRPr="008516D1">
        <w:t>et</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enfant.</w:t>
      </w:r>
      <w:r>
        <w:t xml:space="preserve"> </w:t>
      </w:r>
      <w:r w:rsidRPr="008516D1">
        <w:t>L</w:t>
      </w:r>
      <w:r>
        <w:t>’</w:t>
      </w:r>
      <w:r w:rsidRPr="008516D1">
        <w:t>objectif</w:t>
      </w:r>
      <w:r>
        <w:t xml:space="preserve"> </w:t>
      </w:r>
      <w:r w:rsidRPr="008516D1">
        <w:t>était</w:t>
      </w:r>
      <w:r>
        <w:t xml:space="preserve"> </w:t>
      </w:r>
      <w:r w:rsidRPr="008516D1">
        <w:t>de</w:t>
      </w:r>
      <w:r>
        <w:t xml:space="preserve"> </w:t>
      </w:r>
      <w:r w:rsidRPr="008516D1">
        <w:t>les</w:t>
      </w:r>
      <w:r>
        <w:t xml:space="preserve"> </w:t>
      </w:r>
      <w:r w:rsidRPr="008516D1">
        <w:t>sensibiliser</w:t>
      </w:r>
      <w:r>
        <w:t xml:space="preserve"> </w:t>
      </w:r>
      <w:r w:rsidRPr="008516D1">
        <w:t>et</w:t>
      </w:r>
      <w:r>
        <w:t xml:space="preserve"> </w:t>
      </w:r>
      <w:r w:rsidRPr="008516D1">
        <w:t>de</w:t>
      </w:r>
      <w:r>
        <w:t xml:space="preserve"> </w:t>
      </w:r>
      <w:r w:rsidRPr="008516D1">
        <w:t>renforcer</w:t>
      </w:r>
      <w:r>
        <w:t xml:space="preserve"> </w:t>
      </w:r>
      <w:r w:rsidRPr="008516D1">
        <w:t>leurs</w:t>
      </w:r>
      <w:r>
        <w:t xml:space="preserve"> </w:t>
      </w:r>
      <w:r w:rsidRPr="008516D1">
        <w:t>connaissances</w:t>
      </w:r>
      <w:r>
        <w:t xml:space="preserve"> </w:t>
      </w:r>
      <w:r w:rsidRPr="008516D1">
        <w:t>sur</w:t>
      </w:r>
      <w:r>
        <w:t xml:space="preserve"> </w:t>
      </w:r>
      <w:r w:rsidRPr="008516D1">
        <w:t>la</w:t>
      </w:r>
      <w:r>
        <w:t xml:space="preserve"> </w:t>
      </w:r>
      <w:r w:rsidRPr="008516D1">
        <w:t>manière</w:t>
      </w:r>
      <w:r>
        <w:t xml:space="preserve"> </w:t>
      </w:r>
      <w:r w:rsidRPr="008516D1">
        <w:t>d</w:t>
      </w:r>
      <w:r>
        <w:t>’</w:t>
      </w:r>
      <w:r w:rsidRPr="008516D1">
        <w:t>aborder</w:t>
      </w:r>
      <w:r>
        <w:t xml:space="preserve"> </w:t>
      </w:r>
      <w:r w:rsidRPr="008516D1">
        <w:t>cette</w:t>
      </w:r>
      <w:r>
        <w:t xml:space="preserve"> </w:t>
      </w:r>
      <w:r w:rsidRPr="008516D1">
        <w:t>question</w:t>
      </w:r>
      <w:r>
        <w:t xml:space="preserve"> </w:t>
      </w:r>
      <w:r w:rsidRPr="008516D1">
        <w:t>en</w:t>
      </w:r>
      <w:r>
        <w:t xml:space="preserve"> </w:t>
      </w:r>
      <w:r w:rsidRPr="008516D1">
        <w:t>prenant</w:t>
      </w:r>
      <w:r>
        <w:t xml:space="preserve"> </w:t>
      </w:r>
      <w:r w:rsidRPr="008516D1">
        <w:t>appui</w:t>
      </w:r>
      <w:r>
        <w:t xml:space="preserve"> </w:t>
      </w:r>
      <w:r w:rsidRPr="008516D1">
        <w:t>sur</w:t>
      </w:r>
      <w:r>
        <w:t xml:space="preserve"> </w:t>
      </w:r>
      <w:r w:rsidRPr="008516D1">
        <w:t>les</w:t>
      </w:r>
      <w:r>
        <w:t xml:space="preserve"> </w:t>
      </w:r>
      <w:r w:rsidRPr="008516D1">
        <w:t>méthodes</w:t>
      </w:r>
      <w:r>
        <w:t xml:space="preserve"> </w:t>
      </w:r>
      <w:r w:rsidRPr="008516D1">
        <w:t>utilisées</w:t>
      </w:r>
      <w:r>
        <w:t xml:space="preserve"> </w:t>
      </w:r>
      <w:r w:rsidRPr="008516D1">
        <w:t>par</w:t>
      </w:r>
      <w:r>
        <w:t xml:space="preserve"> </w:t>
      </w:r>
      <w:r w:rsidRPr="008516D1">
        <w:t>les</w:t>
      </w:r>
      <w:r>
        <w:t xml:space="preserve"> </w:t>
      </w:r>
      <w:r w:rsidRPr="008516D1">
        <w:t>services</w:t>
      </w:r>
      <w:r>
        <w:t xml:space="preserve"> </w:t>
      </w:r>
      <w:r w:rsidRPr="008516D1">
        <w:t>publics</w:t>
      </w:r>
      <w:r>
        <w:t xml:space="preserve"> </w:t>
      </w:r>
      <w:r w:rsidRPr="008516D1">
        <w:t>pour</w:t>
      </w:r>
      <w:r>
        <w:t xml:space="preserve"> </w:t>
      </w:r>
      <w:r w:rsidRPr="008516D1">
        <w:t>analyser</w:t>
      </w:r>
      <w:r>
        <w:t xml:space="preserve"> </w:t>
      </w:r>
      <w:r w:rsidRPr="008516D1">
        <w:t>les</w:t>
      </w:r>
      <w:r>
        <w:t xml:space="preserve"> </w:t>
      </w:r>
      <w:r w:rsidRPr="008516D1">
        <w:t>situations</w:t>
      </w:r>
      <w:r>
        <w:t xml:space="preserve"> </w:t>
      </w:r>
      <w:r w:rsidRPr="008516D1">
        <w:t>de</w:t>
      </w:r>
      <w:r>
        <w:t xml:space="preserve"> </w:t>
      </w:r>
      <w:r w:rsidRPr="008516D1">
        <w:t>disparitions</w:t>
      </w:r>
      <w:r>
        <w:t xml:space="preserve"> </w:t>
      </w:r>
      <w:r w:rsidRPr="008516D1">
        <w:t>forcées,</w:t>
      </w:r>
      <w:r>
        <w:t xml:space="preserve"> </w:t>
      </w:r>
      <w:r w:rsidRPr="008516D1">
        <w:t>les</w:t>
      </w:r>
      <w:r>
        <w:t xml:space="preserve"> </w:t>
      </w:r>
      <w:r w:rsidRPr="008516D1">
        <w:t>comprendre</w:t>
      </w:r>
      <w:r>
        <w:t xml:space="preserve"> </w:t>
      </w:r>
      <w:r w:rsidRPr="008516D1">
        <w:t>et</w:t>
      </w:r>
      <w:r>
        <w:t xml:space="preserve"> </w:t>
      </w:r>
      <w:r w:rsidRPr="008516D1">
        <w:t>les</w:t>
      </w:r>
      <w:r>
        <w:t xml:space="preserve"> </w:t>
      </w:r>
      <w:r w:rsidRPr="008516D1">
        <w:t>évaluer</w:t>
      </w:r>
      <w:r w:rsidRPr="008516D1">
        <w:rPr>
          <w:rStyle w:val="Appelnotedebasdep"/>
        </w:rPr>
        <w:footnoteReference w:id="105"/>
      </w:r>
      <w:r w:rsidRPr="008516D1">
        <w:t>.</w:t>
      </w:r>
    </w:p>
    <w:p w14:paraId="306D6940" w14:textId="77777777" w:rsidR="00286956" w:rsidRPr="008516D1" w:rsidRDefault="00286956" w:rsidP="00286956">
      <w:pPr>
        <w:pStyle w:val="SingleTxtG"/>
      </w:pPr>
      <w:r w:rsidRPr="008516D1">
        <w:t>164.</w:t>
      </w:r>
      <w:r w:rsidRPr="008516D1">
        <w:tab/>
        <w:t>Au</w:t>
      </w:r>
      <w:r>
        <w:t xml:space="preserve"> </w:t>
      </w:r>
      <w:r w:rsidRPr="008516D1">
        <w:t>cours</w:t>
      </w:r>
      <w:r>
        <w:t xml:space="preserve"> </w:t>
      </w:r>
      <w:r w:rsidRPr="008516D1">
        <w:t>de</w:t>
      </w:r>
      <w:r>
        <w:t xml:space="preserve"> </w:t>
      </w:r>
      <w:r w:rsidRPr="008516D1">
        <w:t>cet</w:t>
      </w:r>
      <w:r>
        <w:t xml:space="preserve"> </w:t>
      </w:r>
      <w:r w:rsidRPr="008516D1">
        <w:t>atelier,</w:t>
      </w:r>
      <w:r>
        <w:t xml:space="preserve"> </w:t>
      </w:r>
      <w:r w:rsidRPr="008516D1">
        <w:t>le</w:t>
      </w:r>
      <w:r>
        <w:t xml:space="preserve"> </w:t>
      </w:r>
      <w:r w:rsidRPr="008516D1">
        <w:t>cadre</w:t>
      </w:r>
      <w:r>
        <w:t xml:space="preserve"> </w:t>
      </w:r>
      <w:r w:rsidRPr="008516D1">
        <w:t>juridique</w:t>
      </w:r>
      <w:r>
        <w:t xml:space="preserve"> </w:t>
      </w:r>
      <w:r w:rsidRPr="008516D1">
        <w:t>international</w:t>
      </w:r>
      <w:r>
        <w:t xml:space="preserve"> </w:t>
      </w:r>
      <w:r w:rsidRPr="008516D1">
        <w:t>a</w:t>
      </w:r>
      <w:r>
        <w:t xml:space="preserve"> </w:t>
      </w:r>
      <w:r w:rsidRPr="008516D1">
        <w:t>été</w:t>
      </w:r>
      <w:r>
        <w:t xml:space="preserve"> </w:t>
      </w:r>
      <w:r w:rsidRPr="008516D1">
        <w:t>analysé</w:t>
      </w:r>
      <w:r>
        <w:t xml:space="preserve"> </w:t>
      </w:r>
      <w:r w:rsidRPr="008516D1">
        <w:t>en</w:t>
      </w:r>
      <w:r>
        <w:t xml:space="preserve"> </w:t>
      </w:r>
      <w:r w:rsidRPr="008516D1">
        <w:t>soulignant</w:t>
      </w:r>
      <w:r>
        <w:t xml:space="preserve"> </w:t>
      </w:r>
      <w:r w:rsidRPr="008516D1">
        <w:t>qu</w:t>
      </w:r>
      <w:r>
        <w:t>’</w:t>
      </w:r>
      <w:r w:rsidRPr="008516D1">
        <w:t>il</w:t>
      </w:r>
      <w:r>
        <w:t xml:space="preserve"> </w:t>
      </w:r>
      <w:r w:rsidRPr="008516D1">
        <w:t>était</w:t>
      </w:r>
      <w:r>
        <w:t xml:space="preserve"> </w:t>
      </w:r>
      <w:r w:rsidRPr="008516D1">
        <w:t>très</w:t>
      </w:r>
      <w:r>
        <w:t xml:space="preserve"> </w:t>
      </w:r>
      <w:r w:rsidRPr="008516D1">
        <w:t>important</w:t>
      </w:r>
      <w:r>
        <w:t xml:space="preserve"> </w:t>
      </w:r>
      <w:r w:rsidRPr="008516D1">
        <w:t>d</w:t>
      </w:r>
      <w:r>
        <w:t>’</w:t>
      </w:r>
      <w:r w:rsidRPr="008516D1">
        <w:t>appliquer</w:t>
      </w:r>
      <w:r>
        <w:t xml:space="preserve"> </w:t>
      </w:r>
      <w:r w:rsidRPr="008516D1">
        <w:t>ses</w:t>
      </w:r>
      <w:r>
        <w:t xml:space="preserve"> </w:t>
      </w:r>
      <w:r w:rsidRPr="008516D1">
        <w:t>dispositions</w:t>
      </w:r>
      <w:r>
        <w:t xml:space="preserve"> </w:t>
      </w:r>
      <w:r w:rsidRPr="008516D1">
        <w:t>au</w:t>
      </w:r>
      <w:r>
        <w:t xml:space="preserve"> </w:t>
      </w:r>
      <w:r w:rsidRPr="008516D1">
        <w:t>Honduras,</w:t>
      </w:r>
      <w:r>
        <w:t xml:space="preserve"> </w:t>
      </w:r>
      <w:r w:rsidRPr="008516D1">
        <w:t>notamment</w:t>
      </w:r>
      <w:r>
        <w:t xml:space="preserve"> </w:t>
      </w:r>
      <w:r w:rsidRPr="008516D1">
        <w:t>en</w:t>
      </w:r>
      <w:r>
        <w:t xml:space="preserve"> </w:t>
      </w:r>
      <w:r w:rsidRPr="008516D1">
        <w:t>ce</w:t>
      </w:r>
      <w:r>
        <w:t xml:space="preserve"> </w:t>
      </w:r>
      <w:r w:rsidRPr="008516D1">
        <w:t>qui</w:t>
      </w:r>
      <w:r>
        <w:t xml:space="preserve"> </w:t>
      </w:r>
      <w:r w:rsidRPr="008516D1">
        <w:t>concerne</w:t>
      </w:r>
      <w:r>
        <w:t xml:space="preserve"> </w:t>
      </w:r>
      <w:r w:rsidRPr="008516D1">
        <w:t>les</w:t>
      </w:r>
      <w:r>
        <w:t xml:space="preserve"> </w:t>
      </w:r>
      <w:r w:rsidRPr="008516D1">
        <w:t>circonstances</w:t>
      </w:r>
      <w:r>
        <w:t xml:space="preserve"> </w:t>
      </w:r>
      <w:r w:rsidRPr="008516D1">
        <w:t>des</w:t>
      </w:r>
      <w:r>
        <w:t xml:space="preserve"> </w:t>
      </w:r>
      <w:r w:rsidRPr="008516D1">
        <w:t>disparitions</w:t>
      </w:r>
      <w:r>
        <w:t xml:space="preserve"> </w:t>
      </w:r>
      <w:r w:rsidRPr="008516D1">
        <w:t>forcées</w:t>
      </w:r>
      <w:r>
        <w:t xml:space="preserve"> </w:t>
      </w:r>
      <w:r w:rsidRPr="008516D1">
        <w:t>de</w:t>
      </w:r>
      <w:r>
        <w:t xml:space="preserve"> </w:t>
      </w:r>
      <w:r w:rsidRPr="008516D1">
        <w:t>personnes,</w:t>
      </w:r>
      <w:r>
        <w:t xml:space="preserve"> </w:t>
      </w:r>
      <w:r w:rsidRPr="008516D1">
        <w:t>l</w:t>
      </w:r>
      <w:r>
        <w:t>’</w:t>
      </w:r>
      <w:r w:rsidRPr="008516D1">
        <w:t>enquête</w:t>
      </w:r>
      <w:r>
        <w:t xml:space="preserve"> </w:t>
      </w:r>
      <w:r w:rsidRPr="008516D1">
        <w:t>et</w:t>
      </w:r>
      <w:r>
        <w:t xml:space="preserve"> </w:t>
      </w:r>
      <w:r w:rsidRPr="008516D1">
        <w:t>l</w:t>
      </w:r>
      <w:r>
        <w:t>’</w:t>
      </w:r>
      <w:r w:rsidRPr="008516D1">
        <w:t>identification</w:t>
      </w:r>
      <w:r>
        <w:t xml:space="preserve"> </w:t>
      </w:r>
      <w:r w:rsidRPr="008516D1">
        <w:t>des</w:t>
      </w:r>
      <w:r>
        <w:t xml:space="preserve"> </w:t>
      </w:r>
      <w:r w:rsidRPr="008516D1">
        <w:t>responsables,</w:t>
      </w:r>
      <w:r>
        <w:t xml:space="preserve"> </w:t>
      </w:r>
      <w:r w:rsidRPr="008516D1">
        <w:t>la</w:t>
      </w:r>
      <w:r>
        <w:t xml:space="preserve"> </w:t>
      </w:r>
      <w:r w:rsidRPr="008516D1">
        <w:t>gestion</w:t>
      </w:r>
      <w:r>
        <w:t xml:space="preserve"> </w:t>
      </w:r>
      <w:r w:rsidRPr="008516D1">
        <w:t>des</w:t>
      </w:r>
      <w:r>
        <w:t xml:space="preserve"> </w:t>
      </w:r>
      <w:r w:rsidRPr="008516D1">
        <w:t>informations</w:t>
      </w:r>
      <w:r>
        <w:t xml:space="preserve"> </w:t>
      </w:r>
      <w:r w:rsidRPr="008516D1">
        <w:t>et</w:t>
      </w:r>
      <w:r>
        <w:t xml:space="preserve"> </w:t>
      </w:r>
      <w:r w:rsidRPr="008516D1">
        <w:t>l</w:t>
      </w:r>
      <w:r>
        <w:t>’</w:t>
      </w:r>
      <w:r w:rsidRPr="008516D1">
        <w:t>ouverture</w:t>
      </w:r>
      <w:r>
        <w:t xml:space="preserve"> </w:t>
      </w:r>
      <w:r w:rsidRPr="008516D1">
        <w:t>des</w:t>
      </w:r>
      <w:r>
        <w:t xml:space="preserve"> </w:t>
      </w:r>
      <w:r w:rsidRPr="008516D1">
        <w:t>dossiers,</w:t>
      </w:r>
      <w:r>
        <w:t xml:space="preserve"> </w:t>
      </w:r>
      <w:r w:rsidRPr="008516D1">
        <w:t>le</w:t>
      </w:r>
      <w:r>
        <w:t xml:space="preserve"> </w:t>
      </w:r>
      <w:r w:rsidRPr="008516D1">
        <w:t>traitement</w:t>
      </w:r>
      <w:r>
        <w:t xml:space="preserve"> </w:t>
      </w:r>
      <w:r w:rsidRPr="008516D1">
        <w:t>des</w:t>
      </w:r>
      <w:r>
        <w:t xml:space="preserve"> </w:t>
      </w:r>
      <w:r w:rsidRPr="008516D1">
        <w:t>restes</w:t>
      </w:r>
      <w:r>
        <w:t xml:space="preserve"> </w:t>
      </w:r>
      <w:r w:rsidRPr="008516D1">
        <w:t>humains</w:t>
      </w:r>
      <w:r>
        <w:t xml:space="preserve"> </w:t>
      </w:r>
      <w:r w:rsidRPr="008516D1">
        <w:t>et</w:t>
      </w:r>
      <w:r>
        <w:t xml:space="preserve"> </w:t>
      </w:r>
      <w:r w:rsidRPr="008516D1">
        <w:t>le</w:t>
      </w:r>
      <w:r>
        <w:t xml:space="preserve"> </w:t>
      </w:r>
      <w:r w:rsidRPr="008516D1">
        <w:t>soutien</w:t>
      </w:r>
      <w:r>
        <w:t xml:space="preserve"> </w:t>
      </w:r>
      <w:r w:rsidRPr="008516D1">
        <w:t>apporté</w:t>
      </w:r>
      <w:r>
        <w:t xml:space="preserve"> </w:t>
      </w:r>
      <w:r w:rsidRPr="008516D1">
        <w:t>aux</w:t>
      </w:r>
      <w:r>
        <w:t xml:space="preserve"> </w:t>
      </w:r>
      <w:r w:rsidRPr="008516D1">
        <w:t>familles</w:t>
      </w:r>
      <w:r>
        <w:t xml:space="preserve"> </w:t>
      </w:r>
      <w:r w:rsidRPr="008516D1">
        <w:t>des</w:t>
      </w:r>
      <w:r>
        <w:t xml:space="preserve"> </w:t>
      </w:r>
      <w:r w:rsidRPr="008516D1">
        <w:t>personnes</w:t>
      </w:r>
      <w:r>
        <w:t xml:space="preserve"> </w:t>
      </w:r>
      <w:r w:rsidRPr="008516D1">
        <w:t>disparues.</w:t>
      </w:r>
    </w:p>
    <w:p w14:paraId="706B7E2F" w14:textId="77777777" w:rsidR="00286956" w:rsidRPr="008516D1" w:rsidRDefault="00286956" w:rsidP="00286956">
      <w:pPr>
        <w:pStyle w:val="SingleTxtG"/>
      </w:pPr>
      <w:r w:rsidRPr="008516D1">
        <w:t>165.</w:t>
      </w:r>
      <w:r w:rsidRPr="008516D1">
        <w:tab/>
        <w:t>L</w:t>
      </w:r>
      <w:r>
        <w:t>’</w:t>
      </w:r>
      <w:r w:rsidRPr="008516D1">
        <w:t>accent</w:t>
      </w:r>
      <w:r>
        <w:t xml:space="preserve"> </w:t>
      </w:r>
      <w:r w:rsidRPr="008516D1">
        <w:t>a</w:t>
      </w:r>
      <w:r>
        <w:t xml:space="preserve"> </w:t>
      </w:r>
      <w:r w:rsidRPr="008516D1">
        <w:t>été</w:t>
      </w:r>
      <w:r>
        <w:t xml:space="preserve"> </w:t>
      </w:r>
      <w:r w:rsidRPr="008516D1">
        <w:t>également</w:t>
      </w:r>
      <w:r>
        <w:t xml:space="preserve"> </w:t>
      </w:r>
      <w:r w:rsidRPr="008516D1">
        <w:t>mis</w:t>
      </w:r>
      <w:r>
        <w:t xml:space="preserve"> </w:t>
      </w:r>
      <w:r w:rsidRPr="008516D1">
        <w:t>sur</w:t>
      </w:r>
      <w:r>
        <w:t xml:space="preserve"> </w:t>
      </w:r>
      <w:r w:rsidRPr="008516D1">
        <w:t>l</w:t>
      </w:r>
      <w:r>
        <w:t>’</w:t>
      </w:r>
      <w:r w:rsidRPr="008516D1">
        <w:t>utilisation</w:t>
      </w:r>
      <w:r>
        <w:t xml:space="preserve"> </w:t>
      </w:r>
      <w:r w:rsidRPr="008516D1">
        <w:t>des</w:t>
      </w:r>
      <w:r>
        <w:t xml:space="preserve"> </w:t>
      </w:r>
      <w:r w:rsidRPr="008516D1">
        <w:t>disciplines</w:t>
      </w:r>
      <w:r>
        <w:t xml:space="preserve"> </w:t>
      </w:r>
      <w:r w:rsidRPr="008516D1">
        <w:t>de</w:t>
      </w:r>
      <w:r>
        <w:t xml:space="preserve"> </w:t>
      </w:r>
      <w:r w:rsidRPr="008516D1">
        <w:t>la</w:t>
      </w:r>
      <w:r>
        <w:t xml:space="preserve"> </w:t>
      </w:r>
      <w:r w:rsidRPr="008516D1">
        <w:t>médecine</w:t>
      </w:r>
      <w:r>
        <w:t xml:space="preserve"> </w:t>
      </w:r>
      <w:r w:rsidRPr="008516D1">
        <w:t>légale</w:t>
      </w:r>
      <w:r>
        <w:t xml:space="preserve"> </w:t>
      </w:r>
      <w:r w:rsidRPr="008516D1">
        <w:t>dans</w:t>
      </w:r>
      <w:r>
        <w:t xml:space="preserve"> </w:t>
      </w:r>
      <w:r w:rsidRPr="008516D1">
        <w:t>les</w:t>
      </w:r>
      <w:r>
        <w:t xml:space="preserve"> </w:t>
      </w:r>
      <w:r w:rsidRPr="008516D1">
        <w:t>procédures</w:t>
      </w:r>
      <w:r>
        <w:t xml:space="preserve"> </w:t>
      </w:r>
      <w:r w:rsidRPr="008516D1">
        <w:t>de</w:t>
      </w:r>
      <w:r>
        <w:t xml:space="preserve"> </w:t>
      </w:r>
      <w:r w:rsidRPr="008516D1">
        <w:t>recherche,</w:t>
      </w:r>
      <w:r>
        <w:t xml:space="preserve"> </w:t>
      </w:r>
      <w:r w:rsidRPr="008516D1">
        <w:t>ainsi</w:t>
      </w:r>
      <w:r>
        <w:t xml:space="preserve"> </w:t>
      </w:r>
      <w:r w:rsidRPr="008516D1">
        <w:t>que</w:t>
      </w:r>
      <w:r>
        <w:t xml:space="preserve"> </w:t>
      </w:r>
      <w:r w:rsidRPr="008516D1">
        <w:t>sur</w:t>
      </w:r>
      <w:r>
        <w:t xml:space="preserve"> </w:t>
      </w:r>
      <w:r w:rsidRPr="008516D1">
        <w:t>la</w:t>
      </w:r>
      <w:r>
        <w:t xml:space="preserve"> </w:t>
      </w:r>
      <w:r w:rsidRPr="008516D1">
        <w:t>gestion</w:t>
      </w:r>
      <w:r>
        <w:t xml:space="preserve"> </w:t>
      </w:r>
      <w:r w:rsidRPr="008516D1">
        <w:t>des</w:t>
      </w:r>
      <w:r>
        <w:t xml:space="preserve"> </w:t>
      </w:r>
      <w:r w:rsidRPr="008516D1">
        <w:t>informations,</w:t>
      </w:r>
      <w:r>
        <w:t xml:space="preserve"> </w:t>
      </w:r>
      <w:r w:rsidRPr="008516D1">
        <w:t>l</w:t>
      </w:r>
      <w:r>
        <w:t>’</w:t>
      </w:r>
      <w:r w:rsidRPr="008516D1">
        <w:t>échange</w:t>
      </w:r>
      <w:r>
        <w:t xml:space="preserve"> </w:t>
      </w:r>
      <w:r w:rsidRPr="008516D1">
        <w:t>de</w:t>
      </w:r>
      <w:r>
        <w:t xml:space="preserve"> </w:t>
      </w:r>
      <w:r w:rsidRPr="008516D1">
        <w:t>renseignements</w:t>
      </w:r>
      <w:r>
        <w:t xml:space="preserve"> </w:t>
      </w:r>
      <w:r w:rsidRPr="008516D1">
        <w:t>entre</w:t>
      </w:r>
      <w:r>
        <w:t xml:space="preserve"> </w:t>
      </w:r>
      <w:r w:rsidRPr="008516D1">
        <w:t>le</w:t>
      </w:r>
      <w:r>
        <w:t xml:space="preserve"> </w:t>
      </w:r>
      <w:r w:rsidRPr="008516D1">
        <w:t>ministère</w:t>
      </w:r>
      <w:r>
        <w:t xml:space="preserve"> </w:t>
      </w:r>
      <w:r w:rsidRPr="008516D1">
        <w:t>public</w:t>
      </w:r>
      <w:r>
        <w:t xml:space="preserve"> </w:t>
      </w:r>
      <w:r w:rsidRPr="008516D1">
        <w:t>et</w:t>
      </w:r>
      <w:r>
        <w:t xml:space="preserve"> </w:t>
      </w:r>
      <w:r w:rsidRPr="008516D1">
        <w:t>la</w:t>
      </w:r>
      <w:r>
        <w:t xml:space="preserve"> </w:t>
      </w:r>
      <w:r w:rsidRPr="008516D1">
        <w:t>Direction</w:t>
      </w:r>
      <w:r>
        <w:t xml:space="preserve"> </w:t>
      </w:r>
      <w:r w:rsidRPr="008516D1">
        <w:t>générale</w:t>
      </w:r>
      <w:r>
        <w:t xml:space="preserve"> </w:t>
      </w:r>
      <w:r w:rsidRPr="008516D1">
        <w:t>de</w:t>
      </w:r>
      <w:r>
        <w:t xml:space="preserve"> </w:t>
      </w:r>
      <w:r w:rsidRPr="008516D1">
        <w:t>médecine</w:t>
      </w:r>
      <w:r>
        <w:t xml:space="preserve"> </w:t>
      </w:r>
      <w:r w:rsidRPr="008516D1">
        <w:t>légale,</w:t>
      </w:r>
      <w:r>
        <w:t xml:space="preserve"> </w:t>
      </w:r>
      <w:r w:rsidRPr="008516D1">
        <w:t>la</w:t>
      </w:r>
      <w:r>
        <w:t xml:space="preserve"> </w:t>
      </w:r>
      <w:r w:rsidRPr="008516D1">
        <w:t>prise</w:t>
      </w:r>
      <w:r>
        <w:t xml:space="preserve"> </w:t>
      </w:r>
      <w:r w:rsidRPr="008516D1">
        <w:t>en</w:t>
      </w:r>
      <w:r>
        <w:t xml:space="preserve"> </w:t>
      </w:r>
      <w:r w:rsidRPr="008516D1">
        <w:t>charge</w:t>
      </w:r>
      <w:r>
        <w:t xml:space="preserve"> </w:t>
      </w:r>
      <w:r w:rsidRPr="008516D1">
        <w:t>des</w:t>
      </w:r>
      <w:r>
        <w:t xml:space="preserve"> </w:t>
      </w:r>
      <w:r w:rsidRPr="008516D1">
        <w:t>familles,</w:t>
      </w:r>
      <w:r>
        <w:t xml:space="preserve"> </w:t>
      </w:r>
      <w:r w:rsidRPr="008516D1">
        <w:t>les</w:t>
      </w:r>
      <w:r>
        <w:t xml:space="preserve"> </w:t>
      </w:r>
      <w:r w:rsidRPr="008516D1">
        <w:t>protocoles</w:t>
      </w:r>
      <w:r>
        <w:t xml:space="preserve"> </w:t>
      </w:r>
      <w:r w:rsidRPr="008516D1">
        <w:t>et</w:t>
      </w:r>
      <w:r>
        <w:t xml:space="preserve"> </w:t>
      </w:r>
      <w:r w:rsidRPr="008516D1">
        <w:t>le</w:t>
      </w:r>
      <w:r>
        <w:t xml:space="preserve"> </w:t>
      </w:r>
      <w:r w:rsidRPr="008516D1">
        <w:t>rôle</w:t>
      </w:r>
      <w:r>
        <w:t xml:space="preserve"> </w:t>
      </w:r>
      <w:r w:rsidRPr="008516D1">
        <w:t>des</w:t>
      </w:r>
      <w:r>
        <w:t xml:space="preserve"> </w:t>
      </w:r>
      <w:r w:rsidRPr="008516D1">
        <w:t>procureurs</w:t>
      </w:r>
      <w:r>
        <w:t xml:space="preserve"> </w:t>
      </w:r>
      <w:r w:rsidRPr="008516D1">
        <w:t>dans</w:t>
      </w:r>
      <w:r>
        <w:t xml:space="preserve"> </w:t>
      </w:r>
      <w:r w:rsidRPr="008516D1">
        <w:t>la</w:t>
      </w:r>
      <w:r>
        <w:t xml:space="preserve"> </w:t>
      </w:r>
      <w:r w:rsidRPr="008516D1">
        <w:t>recherche.</w:t>
      </w:r>
      <w:r>
        <w:t xml:space="preserve"> </w:t>
      </w:r>
      <w:r w:rsidRPr="008516D1">
        <w:t>Sur</w:t>
      </w:r>
      <w:r>
        <w:t xml:space="preserve"> </w:t>
      </w:r>
      <w:r w:rsidRPr="008516D1">
        <w:t>le</w:t>
      </w:r>
      <w:r>
        <w:t xml:space="preserve"> </w:t>
      </w:r>
      <w:r w:rsidRPr="008516D1">
        <w:t>plan</w:t>
      </w:r>
      <w:r>
        <w:t xml:space="preserve"> </w:t>
      </w:r>
      <w:r w:rsidRPr="008516D1">
        <w:lastRenderedPageBreak/>
        <w:t>psychologique,</w:t>
      </w:r>
      <w:r>
        <w:t xml:space="preserve"> </w:t>
      </w:r>
      <w:r w:rsidRPr="008516D1">
        <w:t>des</w:t>
      </w:r>
      <w:r>
        <w:t xml:space="preserve"> </w:t>
      </w:r>
      <w:r w:rsidRPr="008516D1">
        <w:t>thèmes</w:t>
      </w:r>
      <w:r>
        <w:t xml:space="preserve"> </w:t>
      </w:r>
      <w:r w:rsidRPr="008516D1">
        <w:t>tels</w:t>
      </w:r>
      <w:r>
        <w:t xml:space="preserve"> </w:t>
      </w:r>
      <w:r w:rsidRPr="008516D1">
        <w:t>que</w:t>
      </w:r>
      <w:r>
        <w:t xml:space="preserve"> </w:t>
      </w:r>
      <w:r w:rsidRPr="008516D1">
        <w:t>le</w:t>
      </w:r>
      <w:r>
        <w:t xml:space="preserve"> </w:t>
      </w:r>
      <w:r w:rsidRPr="008516D1">
        <w:t>soutien</w:t>
      </w:r>
      <w:r>
        <w:t xml:space="preserve"> </w:t>
      </w:r>
      <w:r w:rsidRPr="008516D1">
        <w:t>psychosocial,</w:t>
      </w:r>
      <w:r>
        <w:t xml:space="preserve"> </w:t>
      </w:r>
      <w:r w:rsidRPr="008516D1">
        <w:t>les</w:t>
      </w:r>
      <w:r>
        <w:t xml:space="preserve"> </w:t>
      </w:r>
      <w:r w:rsidRPr="008516D1">
        <w:t>besoins</w:t>
      </w:r>
      <w:r>
        <w:t xml:space="preserve"> </w:t>
      </w:r>
      <w:r w:rsidRPr="008516D1">
        <w:t>des</w:t>
      </w:r>
      <w:r>
        <w:t xml:space="preserve"> </w:t>
      </w:r>
      <w:r w:rsidRPr="008516D1">
        <w:t>familles</w:t>
      </w:r>
      <w:r>
        <w:t xml:space="preserve"> </w:t>
      </w:r>
      <w:r w:rsidRPr="008516D1">
        <w:t>des</w:t>
      </w:r>
      <w:r>
        <w:t xml:space="preserve"> </w:t>
      </w:r>
      <w:r w:rsidRPr="008516D1">
        <w:t>personnes</w:t>
      </w:r>
      <w:r>
        <w:t xml:space="preserve"> </w:t>
      </w:r>
      <w:r w:rsidRPr="008516D1">
        <w:t>disparues,</w:t>
      </w:r>
      <w:r>
        <w:t xml:space="preserve"> </w:t>
      </w:r>
      <w:r w:rsidRPr="008516D1">
        <w:t>les</w:t>
      </w:r>
      <w:r>
        <w:t xml:space="preserve"> </w:t>
      </w:r>
      <w:r w:rsidRPr="008516D1">
        <w:t>conséquences</w:t>
      </w:r>
      <w:r>
        <w:t xml:space="preserve"> </w:t>
      </w:r>
      <w:r w:rsidRPr="008516D1">
        <w:t>psychologiques</w:t>
      </w:r>
      <w:r>
        <w:t xml:space="preserve"> </w:t>
      </w:r>
      <w:r w:rsidRPr="008516D1">
        <w:t>et</w:t>
      </w:r>
      <w:r>
        <w:t xml:space="preserve"> </w:t>
      </w:r>
      <w:proofErr w:type="spellStart"/>
      <w:r w:rsidRPr="008516D1">
        <w:t>psychosociales</w:t>
      </w:r>
      <w:proofErr w:type="spellEnd"/>
      <w:r>
        <w:t xml:space="preserve"> </w:t>
      </w:r>
      <w:r w:rsidRPr="008516D1">
        <w:t>de</w:t>
      </w:r>
      <w:r>
        <w:t xml:space="preserve"> </w:t>
      </w:r>
      <w:r w:rsidRPr="008516D1">
        <w:t>la</w:t>
      </w:r>
      <w:r>
        <w:t xml:space="preserve"> </w:t>
      </w:r>
      <w:r w:rsidRPr="008516D1">
        <w:t>disparition,</w:t>
      </w:r>
      <w:r>
        <w:t xml:space="preserve"> </w:t>
      </w:r>
      <w:r w:rsidRPr="008516D1">
        <w:t>la</w:t>
      </w:r>
      <w:r>
        <w:t xml:space="preserve"> </w:t>
      </w:r>
      <w:r w:rsidRPr="008516D1">
        <w:t>lutte</w:t>
      </w:r>
      <w:r>
        <w:t xml:space="preserve"> </w:t>
      </w:r>
      <w:r w:rsidRPr="008516D1">
        <w:t>contre</w:t>
      </w:r>
      <w:r>
        <w:t xml:space="preserve"> </w:t>
      </w:r>
      <w:r w:rsidRPr="008516D1">
        <w:t>l</w:t>
      </w:r>
      <w:r>
        <w:t>’</w:t>
      </w:r>
      <w:r w:rsidRPr="008516D1">
        <w:t>oubli,</w:t>
      </w:r>
      <w:r>
        <w:t xml:space="preserve"> </w:t>
      </w:r>
      <w:r w:rsidRPr="008516D1">
        <w:t>ont</w:t>
      </w:r>
      <w:r>
        <w:t xml:space="preserve"> </w:t>
      </w:r>
      <w:r w:rsidRPr="008516D1">
        <w:t>été</w:t>
      </w:r>
      <w:r>
        <w:t xml:space="preserve"> </w:t>
      </w:r>
      <w:r w:rsidRPr="008516D1">
        <w:t>abordés.</w:t>
      </w:r>
    </w:p>
    <w:p w14:paraId="66D4CB48" w14:textId="41E8B478" w:rsidR="00286956" w:rsidRPr="008516D1" w:rsidRDefault="00286956" w:rsidP="00286956">
      <w:pPr>
        <w:pStyle w:val="SingleTxtG"/>
      </w:pPr>
      <w:r w:rsidRPr="008516D1">
        <w:t>166.</w:t>
      </w:r>
      <w:r w:rsidRPr="008516D1">
        <w:tab/>
        <w:t>En</w:t>
      </w:r>
      <w:r>
        <w:t xml:space="preserve"> </w:t>
      </w:r>
      <w:r w:rsidRPr="008516D1">
        <w:t>2019</w:t>
      </w:r>
      <w:r>
        <w:t xml:space="preserve"> </w:t>
      </w:r>
      <w:r w:rsidRPr="008516D1">
        <w:t>et</w:t>
      </w:r>
      <w:r>
        <w:t xml:space="preserve"> </w:t>
      </w:r>
      <w:r w:rsidRPr="008516D1">
        <w:t>2020,</w:t>
      </w:r>
      <w:r>
        <w:t xml:space="preserve"> </w:t>
      </w:r>
      <w:r w:rsidRPr="008516D1">
        <w:t>l</w:t>
      </w:r>
      <w:r>
        <w:t>’</w:t>
      </w:r>
      <w:r w:rsidRPr="008516D1">
        <w:t>École</w:t>
      </w:r>
      <w:r>
        <w:t xml:space="preserve"> </w:t>
      </w:r>
      <w:r w:rsidRPr="008516D1">
        <w:t>Orlan</w:t>
      </w:r>
      <w:r>
        <w:t xml:space="preserve"> </w:t>
      </w:r>
      <w:r w:rsidRPr="008516D1">
        <w:t>Arturo</w:t>
      </w:r>
      <w:r>
        <w:t xml:space="preserve"> </w:t>
      </w:r>
      <w:proofErr w:type="spellStart"/>
      <w:r w:rsidRPr="008516D1">
        <w:t>Chávez</w:t>
      </w:r>
      <w:proofErr w:type="spellEnd"/>
      <w:r w:rsidRPr="008516D1">
        <w:t>,</w:t>
      </w:r>
      <w:r>
        <w:t xml:space="preserve"> </w:t>
      </w:r>
      <w:r w:rsidRPr="008516D1">
        <w:t>qui</w:t>
      </w:r>
      <w:r>
        <w:t xml:space="preserve"> </w:t>
      </w:r>
      <w:r w:rsidRPr="008516D1">
        <w:t>assure</w:t>
      </w:r>
      <w:r>
        <w:t xml:space="preserve"> </w:t>
      </w:r>
      <w:r w:rsidRPr="008516D1">
        <w:t>la</w:t>
      </w:r>
      <w:r>
        <w:t xml:space="preserve"> </w:t>
      </w:r>
      <w:r w:rsidRPr="008516D1">
        <w:t>formation</w:t>
      </w:r>
      <w:r>
        <w:t xml:space="preserve"> </w:t>
      </w:r>
      <w:r w:rsidRPr="008516D1">
        <w:t>du</w:t>
      </w:r>
      <w:r>
        <w:t xml:space="preserve"> </w:t>
      </w:r>
      <w:r w:rsidRPr="008516D1">
        <w:t>ministère</w:t>
      </w:r>
      <w:r>
        <w:t xml:space="preserve"> </w:t>
      </w:r>
      <w:r w:rsidRPr="008516D1">
        <w:t>public,</w:t>
      </w:r>
      <w:r>
        <w:t xml:space="preserve"> </w:t>
      </w:r>
      <w:r w:rsidRPr="008516D1">
        <w:t>a</w:t>
      </w:r>
      <w:r>
        <w:t xml:space="preserve"> </w:t>
      </w:r>
      <w:r w:rsidRPr="008516D1">
        <w:t>formé</w:t>
      </w:r>
      <w:r>
        <w:t xml:space="preserve"> </w:t>
      </w:r>
      <w:r w:rsidRPr="008516D1">
        <w:t>237</w:t>
      </w:r>
      <w:r w:rsidR="006B3441">
        <w:t> </w:t>
      </w:r>
      <w:r w:rsidRPr="008516D1">
        <w:t>procureurs</w:t>
      </w:r>
      <w:r>
        <w:t xml:space="preserve"> </w:t>
      </w:r>
      <w:r w:rsidRPr="008516D1">
        <w:t>aux</w:t>
      </w:r>
      <w:r>
        <w:t xml:space="preserve"> </w:t>
      </w:r>
      <w:r w:rsidRPr="008516D1">
        <w:t>questions</w:t>
      </w:r>
      <w:r>
        <w:t xml:space="preserve"> </w:t>
      </w:r>
      <w:r w:rsidRPr="008516D1">
        <w:t>relatives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2019,</w:t>
      </w:r>
      <w:r>
        <w:t xml:space="preserve"> </w:t>
      </w:r>
      <w:r w:rsidRPr="008516D1">
        <w:t>avec</w:t>
      </w:r>
      <w:r>
        <w:t xml:space="preserve"> </w:t>
      </w:r>
      <w:r w:rsidRPr="008516D1">
        <w:t>le</w:t>
      </w:r>
      <w:r>
        <w:t xml:space="preserve"> </w:t>
      </w:r>
      <w:r w:rsidRPr="008516D1">
        <w:t>soutien</w:t>
      </w:r>
      <w:r>
        <w:t xml:space="preserve"> </w:t>
      </w:r>
      <w:r w:rsidRPr="008516D1">
        <w:t>de</w:t>
      </w:r>
      <w:r>
        <w:t xml:space="preserve"> </w:t>
      </w:r>
      <w:r w:rsidRPr="008516D1">
        <w:t>la</w:t>
      </w:r>
      <w:r>
        <w:t xml:space="preserve"> </w:t>
      </w:r>
      <w:r w:rsidRPr="008516D1">
        <w:t>Fondation</w:t>
      </w:r>
      <w:r>
        <w:t xml:space="preserve"> </w:t>
      </w:r>
      <w:r w:rsidRPr="008516D1">
        <w:t>Konrad</w:t>
      </w:r>
      <w:r>
        <w:t xml:space="preserve"> </w:t>
      </w:r>
      <w:r w:rsidRPr="008516D1">
        <w:t>Adenauer,</w:t>
      </w:r>
      <w:r>
        <w:t xml:space="preserve"> </w:t>
      </w:r>
      <w:r w:rsidRPr="008516D1">
        <w:t>elle</w:t>
      </w:r>
      <w:r>
        <w:t xml:space="preserve"> </w:t>
      </w:r>
      <w:r w:rsidRPr="008516D1">
        <w:t>a</w:t>
      </w:r>
      <w:r>
        <w:t xml:space="preserve"> </w:t>
      </w:r>
      <w:r w:rsidRPr="008516D1">
        <w:t>organisé</w:t>
      </w:r>
      <w:r>
        <w:t xml:space="preserve"> </w:t>
      </w:r>
      <w:r w:rsidRPr="008516D1">
        <w:t>à</w:t>
      </w:r>
      <w:r>
        <w:t xml:space="preserve"> </w:t>
      </w:r>
      <w:r w:rsidRPr="008516D1">
        <w:t>l</w:t>
      </w:r>
      <w:r>
        <w:t>’</w:t>
      </w:r>
      <w:r w:rsidRPr="008516D1">
        <w:t>intention</w:t>
      </w:r>
      <w:r>
        <w:t xml:space="preserve"> </w:t>
      </w:r>
      <w:r w:rsidRPr="008516D1">
        <w:t>de</w:t>
      </w:r>
      <w:r>
        <w:t xml:space="preserve"> </w:t>
      </w:r>
      <w:r w:rsidRPr="008516D1">
        <w:t>100</w:t>
      </w:r>
      <w:r w:rsidR="006B3441">
        <w:t> </w:t>
      </w:r>
      <w:r w:rsidRPr="008516D1">
        <w:t>procureurs</w:t>
      </w:r>
      <w:r>
        <w:t xml:space="preserve"> </w:t>
      </w:r>
      <w:r w:rsidRPr="008516D1">
        <w:t>une</w:t>
      </w:r>
      <w:r>
        <w:t xml:space="preserve"> </w:t>
      </w:r>
      <w:r w:rsidRPr="008516D1">
        <w:t>formation</w:t>
      </w:r>
      <w:r>
        <w:t xml:space="preserve"> </w:t>
      </w:r>
      <w:r w:rsidRPr="008516D1">
        <w:t>sur</w:t>
      </w:r>
      <w:r>
        <w:t xml:space="preserve"> </w:t>
      </w:r>
      <w:r w:rsidRPr="008516D1">
        <w:t>les</w:t>
      </w:r>
      <w:r>
        <w:t xml:space="preserve"> </w:t>
      </w:r>
      <w:r w:rsidRPr="008516D1">
        <w:t>dispositions</w:t>
      </w:r>
      <w:r>
        <w:t xml:space="preserve"> </w:t>
      </w:r>
      <w:r w:rsidRPr="008516D1">
        <w:t>constitutionnelles</w:t>
      </w:r>
      <w:r>
        <w:t xml:space="preserve"> </w:t>
      </w:r>
      <w:r w:rsidRPr="008516D1">
        <w:t>en</w:t>
      </w:r>
      <w:r>
        <w:t xml:space="preserve"> </w:t>
      </w:r>
      <w:r w:rsidRPr="008516D1">
        <w:t>matière</w:t>
      </w:r>
      <w:r>
        <w:t xml:space="preserve"> </w:t>
      </w:r>
      <w:r w:rsidRPr="008516D1">
        <w:t>de</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concernant</w:t>
      </w:r>
      <w:r>
        <w:t xml:space="preserve"> </w:t>
      </w:r>
      <w:r w:rsidRPr="008516D1">
        <w:t>les</w:t>
      </w:r>
      <w:r>
        <w:t xml:space="preserve"> </w:t>
      </w:r>
      <w:r w:rsidRPr="008516D1">
        <w:t>personnes</w:t>
      </w:r>
      <w:r>
        <w:t xml:space="preserve"> </w:t>
      </w:r>
      <w:r w:rsidRPr="008516D1">
        <w:t>vulnérables</w:t>
      </w:r>
      <w:r>
        <w:t xml:space="preserve"> </w:t>
      </w:r>
      <w:r w:rsidRPr="008516D1">
        <w:t>pour</w:t>
      </w:r>
      <w:r>
        <w:t xml:space="preserve"> </w:t>
      </w:r>
      <w:r w:rsidRPr="008516D1">
        <w:t>des</w:t>
      </w:r>
      <w:r>
        <w:t xml:space="preserve"> </w:t>
      </w:r>
      <w:r w:rsidRPr="008516D1">
        <w:t>raisons</w:t>
      </w:r>
      <w:r>
        <w:t xml:space="preserve"> </w:t>
      </w:r>
      <w:r w:rsidRPr="008516D1">
        <w:t>de</w:t>
      </w:r>
      <w:r>
        <w:t xml:space="preserve"> </w:t>
      </w:r>
      <w:r w:rsidRPr="008516D1">
        <w:t>genre.</w:t>
      </w:r>
    </w:p>
    <w:p w14:paraId="0C876CE4" w14:textId="77777777" w:rsidR="00286956" w:rsidRPr="008516D1" w:rsidRDefault="00286956" w:rsidP="00286956">
      <w:pPr>
        <w:pStyle w:val="SingleTxtG"/>
      </w:pPr>
      <w:bookmarkStart w:id="28" w:name="_Hlk92653541"/>
      <w:r w:rsidRPr="008516D1">
        <w:t>167.</w:t>
      </w:r>
      <w:r w:rsidRPr="008516D1">
        <w:tab/>
        <w:t>Afin</w:t>
      </w:r>
      <w:r>
        <w:t xml:space="preserve"> </w:t>
      </w:r>
      <w:r w:rsidRPr="008516D1">
        <w:t>de</w:t>
      </w:r>
      <w:r>
        <w:t xml:space="preserve"> </w:t>
      </w:r>
      <w:r w:rsidRPr="008516D1">
        <w:t>mettre</w:t>
      </w:r>
      <w:r>
        <w:t xml:space="preserve"> </w:t>
      </w:r>
      <w:r w:rsidRPr="008516D1">
        <w:t>en</w:t>
      </w:r>
      <w:r>
        <w:t xml:space="preserve"> </w:t>
      </w:r>
      <w:r w:rsidRPr="008516D1">
        <w:t>œuvre</w:t>
      </w:r>
      <w:r>
        <w:t xml:space="preserve"> </w:t>
      </w:r>
      <w:r w:rsidRPr="008516D1">
        <w:t>le</w:t>
      </w:r>
      <w:r>
        <w:t xml:space="preserve"> </w:t>
      </w:r>
      <w:r w:rsidRPr="008516D1">
        <w:t>plan</w:t>
      </w:r>
      <w:r>
        <w:t xml:space="preserve"> </w:t>
      </w:r>
      <w:r w:rsidRPr="008516D1">
        <w:t>de</w:t>
      </w:r>
      <w:r>
        <w:t xml:space="preserve"> </w:t>
      </w:r>
      <w:r w:rsidRPr="008516D1">
        <w:t>renforcement</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w:t>
      </w:r>
      <w:r>
        <w:t>’</w:t>
      </w:r>
      <w:r w:rsidRPr="008516D1">
        <w:t>École</w:t>
      </w:r>
      <w:r>
        <w:t xml:space="preserve"> </w:t>
      </w:r>
      <w:r w:rsidRPr="008516D1">
        <w:t>Orlan</w:t>
      </w:r>
      <w:r>
        <w:t xml:space="preserve"> </w:t>
      </w:r>
      <w:r w:rsidRPr="008516D1">
        <w:t>Arturo</w:t>
      </w:r>
      <w:r>
        <w:t xml:space="preserve"> </w:t>
      </w:r>
      <w:proofErr w:type="spellStart"/>
      <w:r w:rsidRPr="008516D1">
        <w:t>Chávez</w:t>
      </w:r>
      <w:proofErr w:type="spellEnd"/>
      <w:r>
        <w:t xml:space="preserve"> </w:t>
      </w:r>
      <w:r w:rsidRPr="008516D1">
        <w:t>et</w:t>
      </w:r>
      <w:r>
        <w:t xml:space="preserve"> </w:t>
      </w:r>
      <w:r w:rsidRPr="008516D1">
        <w:t>l</w:t>
      </w:r>
      <w:r>
        <w:t>’</w:t>
      </w:r>
      <w:r w:rsidRPr="008516D1">
        <w:t>Université</w:t>
      </w:r>
      <w:r>
        <w:t xml:space="preserve"> </w:t>
      </w:r>
      <w:r w:rsidRPr="008516D1">
        <w:t>pour</w:t>
      </w:r>
      <w:r>
        <w:t xml:space="preserve"> </w:t>
      </w:r>
      <w:r w:rsidRPr="008516D1">
        <w:t>la</w:t>
      </w:r>
      <w:r>
        <w:t xml:space="preserve"> </w:t>
      </w:r>
      <w:r w:rsidRPr="008516D1">
        <w:t>paix</w:t>
      </w:r>
      <w:r>
        <w:t xml:space="preserve"> </w:t>
      </w:r>
      <w:r w:rsidRPr="008516D1">
        <w:t>ont</w:t>
      </w:r>
      <w:r>
        <w:t xml:space="preserve"> </w:t>
      </w:r>
      <w:r w:rsidRPr="008516D1">
        <w:t>conclu</w:t>
      </w:r>
      <w:r>
        <w:t xml:space="preserve"> </w:t>
      </w:r>
      <w:r w:rsidRPr="008516D1">
        <w:t>un</w:t>
      </w:r>
      <w:r>
        <w:t xml:space="preserve"> </w:t>
      </w:r>
      <w:r w:rsidRPr="008516D1">
        <w:t>accord</w:t>
      </w:r>
      <w:r>
        <w:t xml:space="preserve"> </w:t>
      </w:r>
      <w:r w:rsidRPr="008516D1">
        <w:t>de</w:t>
      </w:r>
      <w:r>
        <w:t xml:space="preserve"> </w:t>
      </w:r>
      <w:r w:rsidRPr="008516D1">
        <w:t>coopération</w:t>
      </w:r>
      <w:r>
        <w:t xml:space="preserve"> </w:t>
      </w:r>
      <w:r w:rsidRPr="008516D1">
        <w:t>visant</w:t>
      </w:r>
      <w:r>
        <w:t xml:space="preserve"> </w:t>
      </w:r>
      <w:r w:rsidRPr="008516D1">
        <w:t>à</w:t>
      </w:r>
      <w:r>
        <w:t xml:space="preserve"> </w:t>
      </w:r>
      <w:r w:rsidRPr="008516D1">
        <w:t>organiser</w:t>
      </w:r>
      <w:r>
        <w:t xml:space="preserve"> </w:t>
      </w:r>
      <w:r w:rsidRPr="008516D1">
        <w:t>des</w:t>
      </w:r>
      <w:r>
        <w:t xml:space="preserve"> </w:t>
      </w:r>
      <w:r w:rsidRPr="008516D1">
        <w:t>activités</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la</w:t>
      </w:r>
      <w:r>
        <w:t xml:space="preserve"> </w:t>
      </w:r>
      <w:r w:rsidRPr="008516D1">
        <w:t>formation</w:t>
      </w:r>
      <w:r>
        <w:t xml:space="preserve"> </w:t>
      </w:r>
      <w:r w:rsidRPr="008516D1">
        <w:t>diplômante</w:t>
      </w:r>
      <w:r>
        <w:t xml:space="preserve"> </w:t>
      </w:r>
      <w:r w:rsidRPr="008516D1">
        <w:t>sur</w:t>
      </w:r>
      <w:r>
        <w:t xml:space="preserve"> </w:t>
      </w:r>
      <w:r w:rsidRPr="008516D1">
        <w:t>l</w:t>
      </w:r>
      <w:r>
        <w:t>’</w:t>
      </w:r>
      <w:r w:rsidRPr="008516D1">
        <w:t>enquête</w:t>
      </w:r>
      <w:r>
        <w:t xml:space="preserve"> </w:t>
      </w:r>
      <w:r w:rsidRPr="008516D1">
        <w:t>criminelle,</w:t>
      </w:r>
      <w:r>
        <w:t xml:space="preserve"> </w:t>
      </w:r>
      <w:r w:rsidRPr="008516D1">
        <w:t>l</w:t>
      </w:r>
      <w:r>
        <w:t>’</w:t>
      </w:r>
      <w:r w:rsidRPr="008516D1">
        <w:t>analyse</w:t>
      </w:r>
      <w:r>
        <w:t xml:space="preserve"> </w:t>
      </w:r>
      <w:r w:rsidRPr="008516D1">
        <w:t>des</w:t>
      </w:r>
      <w:r>
        <w:t xml:space="preserve"> </w:t>
      </w:r>
      <w:r w:rsidRPr="008516D1">
        <w:t>preuves</w:t>
      </w:r>
      <w:r>
        <w:t xml:space="preserve"> </w:t>
      </w:r>
      <w:r w:rsidRPr="008516D1">
        <w:t>médico-légales</w:t>
      </w:r>
      <w:r>
        <w:t xml:space="preserve"> </w:t>
      </w:r>
      <w:r w:rsidRPr="008516D1">
        <w:t>et</w:t>
      </w:r>
      <w:r>
        <w:t xml:space="preserve"> </w:t>
      </w:r>
      <w:r w:rsidRPr="008516D1">
        <w:t>les</w:t>
      </w:r>
      <w:r>
        <w:t xml:space="preserve"> </w:t>
      </w:r>
      <w:r w:rsidRPr="008516D1">
        <w:t>violations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Ces</w:t>
      </w:r>
      <w:r>
        <w:t xml:space="preserve"> </w:t>
      </w:r>
      <w:r w:rsidRPr="008516D1">
        <w:t>activités</w:t>
      </w:r>
      <w:r>
        <w:t xml:space="preserve"> </w:t>
      </w:r>
      <w:r w:rsidRPr="008516D1">
        <w:t>ont</w:t>
      </w:r>
      <w:r>
        <w:t xml:space="preserve"> </w:t>
      </w:r>
      <w:r w:rsidRPr="008516D1">
        <w:t>pour</w:t>
      </w:r>
      <w:r>
        <w:t xml:space="preserve"> </w:t>
      </w:r>
      <w:r w:rsidRPr="008516D1">
        <w:t>but</w:t>
      </w:r>
      <w:r>
        <w:t xml:space="preserve"> </w:t>
      </w:r>
      <w:r w:rsidRPr="008516D1">
        <w:t>de</w:t>
      </w:r>
      <w:r>
        <w:t xml:space="preserve"> </w:t>
      </w:r>
      <w:r w:rsidRPr="008516D1">
        <w:t>sensibiliser,</w:t>
      </w:r>
      <w:r>
        <w:t xml:space="preserve"> </w:t>
      </w:r>
      <w:r w:rsidRPr="008516D1">
        <w:t>de</w:t>
      </w:r>
      <w:r>
        <w:t xml:space="preserve"> </w:t>
      </w:r>
      <w:r w:rsidRPr="008516D1">
        <w:t>former</w:t>
      </w:r>
      <w:r>
        <w:t xml:space="preserve"> </w:t>
      </w:r>
      <w:r w:rsidRPr="008516D1">
        <w:t>et</w:t>
      </w:r>
      <w:r>
        <w:t xml:space="preserve"> </w:t>
      </w:r>
      <w:r w:rsidRPr="008516D1">
        <w:t>d</w:t>
      </w:r>
      <w:r>
        <w:t>’</w:t>
      </w:r>
      <w:r w:rsidRPr="008516D1">
        <w:t>assurer</w:t>
      </w:r>
      <w:r>
        <w:t xml:space="preserve"> </w:t>
      </w:r>
      <w:r w:rsidRPr="008516D1">
        <w:t>la</w:t>
      </w:r>
      <w:r>
        <w:t xml:space="preserve"> </w:t>
      </w:r>
      <w:r w:rsidRPr="008516D1">
        <w:t>mise</w:t>
      </w:r>
      <w:r>
        <w:t xml:space="preserve"> </w:t>
      </w:r>
      <w:r w:rsidRPr="008516D1">
        <w:t>à</w:t>
      </w:r>
      <w:r>
        <w:t xml:space="preserve"> </w:t>
      </w:r>
      <w:r w:rsidRPr="008516D1">
        <w:t>niveau</w:t>
      </w:r>
      <w:r>
        <w:t xml:space="preserve"> </w:t>
      </w:r>
      <w:r w:rsidRPr="008516D1">
        <w:t>du</w:t>
      </w:r>
      <w:r>
        <w:t xml:space="preserve"> </w:t>
      </w:r>
      <w:r w:rsidRPr="008516D1">
        <w:t>personnel</w:t>
      </w:r>
      <w:r>
        <w:t xml:space="preserve"> </w:t>
      </w:r>
      <w:r w:rsidRPr="008516D1">
        <w:t>du</w:t>
      </w:r>
      <w:r>
        <w:t xml:space="preserve"> </w:t>
      </w:r>
      <w:r w:rsidRPr="008516D1">
        <w:t>ministère</w:t>
      </w:r>
      <w:r>
        <w:t xml:space="preserve"> </w:t>
      </w:r>
      <w:r w:rsidRPr="008516D1">
        <w:t>public,</w:t>
      </w:r>
      <w:r>
        <w:t xml:space="preserve"> </w:t>
      </w:r>
      <w:r w:rsidRPr="008516D1">
        <w:t>en</w:t>
      </w:r>
      <w:r>
        <w:t xml:space="preserve"> </w:t>
      </w:r>
      <w:r w:rsidRPr="008516D1">
        <w:t>ce</w:t>
      </w:r>
      <w:r>
        <w:t xml:space="preserve"> </w:t>
      </w:r>
      <w:r w:rsidRPr="008516D1">
        <w:t>qui</w:t>
      </w:r>
      <w:r>
        <w:t xml:space="preserve"> </w:t>
      </w:r>
      <w:r w:rsidRPr="008516D1">
        <w:t>concerne</w:t>
      </w:r>
      <w:r>
        <w:t xml:space="preserve"> </w:t>
      </w:r>
      <w:r w:rsidRPr="008516D1">
        <w:t>les</w:t>
      </w:r>
      <w:r>
        <w:t xml:space="preserve"> </w:t>
      </w:r>
      <w:r w:rsidRPr="008516D1">
        <w:t>fonctions</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spécial</w:t>
      </w:r>
      <w:r>
        <w:t xml:space="preserve"> </w:t>
      </w:r>
      <w:r w:rsidRPr="008516D1">
        <w:t>chargé</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rsidRPr="008516D1">
        <w:rPr>
          <w:rStyle w:val="Appelnotedebasdep"/>
        </w:rPr>
        <w:footnoteReference w:id="106"/>
      </w:r>
      <w:r w:rsidRPr="008516D1">
        <w:t>.</w:t>
      </w:r>
    </w:p>
    <w:bookmarkEnd w:id="28"/>
    <w:p w14:paraId="4269113D" w14:textId="0C029938" w:rsidR="00286956" w:rsidRPr="008516D1" w:rsidRDefault="00286956" w:rsidP="00286956">
      <w:pPr>
        <w:pStyle w:val="SingleTxtG"/>
      </w:pPr>
      <w:r w:rsidRPr="008516D1">
        <w:t>168.</w:t>
      </w:r>
      <w:r w:rsidRPr="008516D1">
        <w:tab/>
        <w:t>Par</w:t>
      </w:r>
      <w:r>
        <w:t xml:space="preserve"> </w:t>
      </w:r>
      <w:r w:rsidRPr="008516D1">
        <w:t>ailleurs,</w:t>
      </w:r>
      <w:r>
        <w:t xml:space="preserve"> </w:t>
      </w:r>
      <w:r w:rsidRPr="008516D1">
        <w:t>en</w:t>
      </w:r>
      <w:r>
        <w:t xml:space="preserve"> </w:t>
      </w:r>
      <w:r w:rsidRPr="008516D1">
        <w:t>octobre</w:t>
      </w:r>
      <w:r>
        <w:t xml:space="preserve"> </w:t>
      </w:r>
      <w:r w:rsidRPr="008516D1">
        <w:t>2018,</w:t>
      </w:r>
      <w:r>
        <w:t xml:space="preserve"> </w:t>
      </w:r>
      <w:r w:rsidRPr="008516D1">
        <w:t>le</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a</w:t>
      </w:r>
      <w:r>
        <w:t xml:space="preserve"> </w:t>
      </w:r>
      <w:r w:rsidRPr="008516D1">
        <w:t>organisé</w:t>
      </w:r>
      <w:r>
        <w:t xml:space="preserve"> </w:t>
      </w:r>
      <w:r w:rsidRPr="008516D1">
        <w:t>un</w:t>
      </w:r>
      <w:r>
        <w:t xml:space="preserve"> </w:t>
      </w:r>
      <w:r w:rsidRPr="008516D1">
        <w:t>séminaire</w:t>
      </w:r>
      <w:r>
        <w:t xml:space="preserve"> </w:t>
      </w:r>
      <w:r w:rsidRPr="008516D1">
        <w:t>de</w:t>
      </w:r>
      <w:r>
        <w:t xml:space="preserve"> </w:t>
      </w:r>
      <w:r w:rsidRPr="008516D1">
        <w:t>deux</w:t>
      </w:r>
      <w:r>
        <w:t xml:space="preserve"> </w:t>
      </w:r>
      <w:r w:rsidRPr="008516D1">
        <w:t>jours</w:t>
      </w:r>
      <w:r>
        <w:t xml:space="preserve"> </w:t>
      </w:r>
      <w:r w:rsidRPr="008516D1">
        <w:t>sur</w:t>
      </w:r>
      <w:r>
        <w:t xml:space="preserve"> </w:t>
      </w:r>
      <w:r w:rsidRPr="008516D1">
        <w:t>les</w:t>
      </w:r>
      <w:r>
        <w:t xml:space="preserve"> </w:t>
      </w:r>
      <w:r w:rsidRPr="008516D1">
        <w:t>moyens</w:t>
      </w:r>
      <w:r>
        <w:t xml:space="preserve"> </w:t>
      </w:r>
      <w:r w:rsidRPr="008516D1">
        <w:t>de</w:t>
      </w:r>
      <w:r>
        <w:t xml:space="preserve"> </w:t>
      </w:r>
      <w:r w:rsidRPr="008516D1">
        <w:t>prévention</w:t>
      </w:r>
      <w:r>
        <w:t xml:space="preserve"> </w:t>
      </w:r>
      <w:r w:rsidRPr="008516D1">
        <w:t>et</w:t>
      </w:r>
      <w:r>
        <w:t xml:space="preserve"> </w:t>
      </w:r>
      <w:r w:rsidRPr="008516D1">
        <w:t>d</w:t>
      </w:r>
      <w:r>
        <w:t>’</w:t>
      </w:r>
      <w:r w:rsidRPr="008516D1">
        <w:t>enquête</w:t>
      </w:r>
      <w:r>
        <w:t xml:space="preserve"> </w:t>
      </w:r>
      <w:r w:rsidRPr="008516D1">
        <w:t>concernant</w:t>
      </w:r>
      <w:r>
        <w:t xml:space="preserve"> </w:t>
      </w:r>
      <w:r w:rsidRPr="008516D1">
        <w:t>les</w:t>
      </w:r>
      <w:r>
        <w:t xml:space="preserve"> </w:t>
      </w:r>
      <w:r w:rsidRPr="008516D1">
        <w:t>personnes</w:t>
      </w:r>
      <w:r>
        <w:t xml:space="preserve"> </w:t>
      </w:r>
      <w:r w:rsidRPr="008516D1">
        <w:t>disparues</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de</w:t>
      </w:r>
      <w:r>
        <w:t xml:space="preserve"> </w:t>
      </w:r>
      <w:r w:rsidRPr="008516D1">
        <w:t>la</w:t>
      </w:r>
      <w:r>
        <w:t xml:space="preserve"> </w:t>
      </w:r>
      <w:r w:rsidRPr="008516D1">
        <w:t>migration</w:t>
      </w:r>
      <w:r>
        <w:t xml:space="preserve"> </w:t>
      </w:r>
      <w:r w:rsidRPr="008516D1">
        <w:t>irrégulière,</w:t>
      </w:r>
      <w:r>
        <w:t xml:space="preserve"> </w:t>
      </w:r>
      <w:r w:rsidRPr="008516D1">
        <w:t>de</w:t>
      </w:r>
      <w:r>
        <w:t xml:space="preserve"> </w:t>
      </w:r>
      <w:r w:rsidRPr="008516D1">
        <w:t>l</w:t>
      </w:r>
      <w:r>
        <w:t>’</w:t>
      </w:r>
      <w:r w:rsidRPr="008516D1">
        <w:t>enlèvement</w:t>
      </w:r>
      <w:r>
        <w:t xml:space="preserve"> </w:t>
      </w:r>
      <w:r w:rsidRPr="008516D1">
        <w:t>et</w:t>
      </w:r>
      <w:r>
        <w:t xml:space="preserve"> </w:t>
      </w:r>
      <w:r w:rsidRPr="008516D1">
        <w:t>autres</w:t>
      </w:r>
      <w:r>
        <w:t xml:space="preserve"> </w:t>
      </w:r>
      <w:r w:rsidRPr="008516D1">
        <w:t>infractions</w:t>
      </w:r>
      <w:r>
        <w:t xml:space="preserve"> </w:t>
      </w:r>
      <w:r w:rsidRPr="008516D1">
        <w:t>commises</w:t>
      </w:r>
      <w:r>
        <w:t xml:space="preserve"> </w:t>
      </w:r>
      <w:r w:rsidRPr="008516D1">
        <w:t>par</w:t>
      </w:r>
      <w:r>
        <w:t xml:space="preserve"> </w:t>
      </w:r>
      <w:r w:rsidRPr="008516D1">
        <w:t>le</w:t>
      </w:r>
      <w:r>
        <w:t xml:space="preserve"> </w:t>
      </w:r>
      <w:r w:rsidRPr="008516D1">
        <w:t>crime</w:t>
      </w:r>
      <w:r>
        <w:t xml:space="preserve"> </w:t>
      </w:r>
      <w:r w:rsidRPr="008516D1">
        <w:t>organisé</w:t>
      </w:r>
      <w:r>
        <w:t xml:space="preserve"> </w:t>
      </w:r>
      <w:r w:rsidRPr="008516D1">
        <w:t>et</w:t>
      </w:r>
      <w:r>
        <w:t xml:space="preserve"> </w:t>
      </w:r>
      <w:r w:rsidRPr="008516D1">
        <w:t>sur</w:t>
      </w:r>
      <w:r>
        <w:t xml:space="preserve"> </w:t>
      </w:r>
      <w:r w:rsidRPr="008516D1">
        <w:t>la</w:t>
      </w:r>
      <w:r>
        <w:t xml:space="preserve"> </w:t>
      </w:r>
      <w:r w:rsidRPr="008516D1">
        <w:t>disparition</w:t>
      </w:r>
      <w:r>
        <w:t xml:space="preserve"> </w:t>
      </w:r>
      <w:r w:rsidRPr="008516D1">
        <w:t>forcée</w:t>
      </w:r>
      <w:r>
        <w:t xml:space="preserve"> </w:t>
      </w:r>
      <w:r w:rsidRPr="008516D1">
        <w:t>et</w:t>
      </w:r>
      <w:r>
        <w:t xml:space="preserve"> </w:t>
      </w:r>
      <w:r w:rsidRPr="008516D1">
        <w:t>la</w:t>
      </w:r>
      <w:r>
        <w:t xml:space="preserve"> </w:t>
      </w:r>
      <w:r w:rsidRPr="008516D1">
        <w:t>Convention</w:t>
      </w:r>
      <w:r>
        <w:t xml:space="preserve"> </w:t>
      </w:r>
      <w:r w:rsidRPr="008516D1">
        <w:t>qui</w:t>
      </w:r>
      <w:r>
        <w:t xml:space="preserve"> </w:t>
      </w:r>
      <w:r w:rsidRPr="008516D1">
        <w:t>s</w:t>
      </w:r>
      <w:r>
        <w:t>’</w:t>
      </w:r>
      <w:r w:rsidRPr="008516D1">
        <w:t>y</w:t>
      </w:r>
      <w:r>
        <w:t xml:space="preserve"> </w:t>
      </w:r>
      <w:r w:rsidRPr="008516D1">
        <w:t>rapporte.</w:t>
      </w:r>
      <w:r>
        <w:t xml:space="preserve"> </w:t>
      </w:r>
      <w:r w:rsidRPr="008516D1">
        <w:t>Ce</w:t>
      </w:r>
      <w:r>
        <w:t xml:space="preserve"> </w:t>
      </w:r>
      <w:r w:rsidRPr="008516D1">
        <w:t>séminaire</w:t>
      </w:r>
      <w:r>
        <w:t xml:space="preserve"> </w:t>
      </w:r>
      <w:r w:rsidRPr="008516D1">
        <w:t>a</w:t>
      </w:r>
      <w:r>
        <w:t xml:space="preserve"> </w:t>
      </w:r>
      <w:r w:rsidRPr="008516D1">
        <w:t>réuni</w:t>
      </w:r>
      <w:r>
        <w:t xml:space="preserve"> </w:t>
      </w:r>
      <w:r w:rsidRPr="008516D1">
        <w:t>250</w:t>
      </w:r>
      <w:r w:rsidR="006B3441">
        <w:t> </w:t>
      </w:r>
      <w:r w:rsidRPr="008516D1">
        <w:t>fonctionnaires</w:t>
      </w:r>
      <w:r>
        <w:t xml:space="preserve"> </w:t>
      </w:r>
      <w:r w:rsidRPr="008516D1">
        <w:t>du</w:t>
      </w:r>
      <w:r>
        <w:t xml:space="preserve"> </w:t>
      </w:r>
      <w:r w:rsidRPr="008516D1">
        <w:t>Bureau</w:t>
      </w:r>
      <w:r>
        <w:t xml:space="preserve"> </w:t>
      </w:r>
      <w:r w:rsidRPr="008516D1">
        <w:t>du</w:t>
      </w:r>
      <w:r>
        <w:t xml:space="preserve"> </w:t>
      </w:r>
      <w:r w:rsidRPr="008516D1">
        <w:t>Procureur</w:t>
      </w:r>
      <w:r>
        <w:t xml:space="preserve"> </w:t>
      </w:r>
      <w:r w:rsidRPr="008516D1">
        <w:t>général</w:t>
      </w:r>
      <w:r>
        <w:t xml:space="preserve"> </w:t>
      </w:r>
      <w:r w:rsidRPr="008516D1">
        <w:t>de</w:t>
      </w:r>
      <w:r>
        <w:t xml:space="preserve"> </w:t>
      </w:r>
      <w:r w:rsidRPr="008516D1">
        <w:t>la</w:t>
      </w:r>
      <w:r>
        <w:t xml:space="preserve"> </w:t>
      </w:r>
      <w:r w:rsidRPr="008516D1">
        <w:t>République,</w:t>
      </w:r>
      <w:r>
        <w:t xml:space="preserve"> </w:t>
      </w:r>
      <w:r w:rsidRPr="008516D1">
        <w:t>du</w:t>
      </w:r>
      <w:r>
        <w:t xml:space="preserve"> </w:t>
      </w:r>
      <w:r w:rsidRPr="008516D1">
        <w:t>ministère</w:t>
      </w:r>
      <w:r>
        <w:t xml:space="preserve"> </w:t>
      </w:r>
      <w:r w:rsidRPr="008516D1">
        <w:t>public,</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la</w:t>
      </w:r>
      <w:r>
        <w:t xml:space="preserve"> </w:t>
      </w:r>
      <w:r w:rsidR="00AB2CD9">
        <w:t>Police nationale</w:t>
      </w:r>
      <w:r w:rsidRPr="008516D1">
        <w:t>,</w:t>
      </w:r>
      <w:r>
        <w:t xml:space="preserve"> </w:t>
      </w:r>
      <w:r w:rsidRPr="008516D1">
        <w:t>du</w:t>
      </w:r>
      <w:r>
        <w:t xml:space="preserve"> </w:t>
      </w:r>
      <w:r w:rsidRPr="008516D1">
        <w:t>Mécanisme</w:t>
      </w:r>
      <w:r>
        <w:t xml:space="preserve"> </w:t>
      </w:r>
      <w:r w:rsidRPr="008516D1">
        <w:t>national</w:t>
      </w:r>
      <w:r>
        <w:t xml:space="preserve"> </w:t>
      </w:r>
      <w:r w:rsidRPr="008516D1">
        <w:t>de</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006B3441">
        <w:t>−</w:t>
      </w:r>
      <w:r>
        <w:t xml:space="preserve"> </w:t>
      </w:r>
      <w:r w:rsidRPr="008516D1">
        <w:t>Comité</w:t>
      </w:r>
      <w:r>
        <w:t xml:space="preserve"> </w:t>
      </w:r>
      <w:r w:rsidRPr="008516D1">
        <w:t>national</w:t>
      </w:r>
      <w:r>
        <w:t xml:space="preserve"> </w:t>
      </w:r>
      <w:r w:rsidRPr="008516D1">
        <w:t>pour</w:t>
      </w:r>
      <w:r>
        <w:t xml:space="preserve"> </w:t>
      </w:r>
      <w:r w:rsidRPr="008516D1">
        <w:t>la</w:t>
      </w:r>
      <w:r>
        <w:t xml:space="preserve"> </w:t>
      </w:r>
      <w:r w:rsidRPr="008516D1">
        <w:t>prévention</w:t>
      </w:r>
      <w:r>
        <w:t xml:space="preserve"> </w:t>
      </w:r>
      <w:r w:rsidRPr="008516D1">
        <w:t>de</w:t>
      </w:r>
      <w:r>
        <w:t xml:space="preserve"> </w:t>
      </w:r>
      <w:r w:rsidRPr="008516D1">
        <w:t>la</w:t>
      </w:r>
      <w:r>
        <w:t xml:space="preserve"> </w:t>
      </w:r>
      <w:r w:rsidRPr="008516D1">
        <w:t>torture</w:t>
      </w:r>
      <w:r>
        <w:t xml:space="preserve"> </w:t>
      </w:r>
      <w:r w:rsidRPr="008516D1">
        <w:t>et</w:t>
      </w:r>
      <w:r>
        <w:t xml:space="preserve"> </w:t>
      </w:r>
      <w:r w:rsidRPr="008516D1">
        <w:t>autres</w:t>
      </w:r>
      <w:r>
        <w:t xml:space="preserve"> </w:t>
      </w:r>
      <w:r w:rsidRPr="008516D1">
        <w:t>peines</w:t>
      </w:r>
      <w:r>
        <w:t xml:space="preserve"> </w:t>
      </w:r>
      <w:r w:rsidRPr="008516D1">
        <w:t>ou</w:t>
      </w:r>
      <w:r>
        <w:t xml:space="preserve"> </w:t>
      </w:r>
      <w:r w:rsidRPr="008516D1">
        <w:t>traitements</w:t>
      </w:r>
      <w:r>
        <w:t xml:space="preserve"> </w:t>
      </w:r>
      <w:r w:rsidRPr="008516D1">
        <w:t>cruels,</w:t>
      </w:r>
      <w:r>
        <w:t xml:space="preserve"> </w:t>
      </w:r>
      <w:r w:rsidRPr="008516D1">
        <w:t>inhumains</w:t>
      </w:r>
      <w:r>
        <w:t xml:space="preserve"> </w:t>
      </w:r>
      <w:r w:rsidRPr="008516D1">
        <w:t>ou</w:t>
      </w:r>
      <w:r>
        <w:t xml:space="preserve"> </w:t>
      </w:r>
      <w:r w:rsidRPr="008516D1">
        <w:t>dégradants,</w:t>
      </w:r>
      <w:r>
        <w:t xml:space="preserve"> </w:t>
      </w:r>
      <w:r w:rsidRPr="008516D1">
        <w:t>ainsi</w:t>
      </w:r>
      <w:r>
        <w:t xml:space="preserve"> </w:t>
      </w:r>
      <w:r w:rsidRPr="008516D1">
        <w:t>que</w:t>
      </w:r>
      <w:r>
        <w:t xml:space="preserve"> </w:t>
      </w:r>
      <w:r w:rsidRPr="008516D1">
        <w:t>des</w:t>
      </w:r>
      <w:r>
        <w:t xml:space="preserve"> </w:t>
      </w:r>
      <w:r w:rsidRPr="008516D1">
        <w:t>représentants</w:t>
      </w:r>
      <w:r>
        <w:t xml:space="preserve"> </w:t>
      </w:r>
      <w:r w:rsidRPr="008516D1">
        <w:t>de</w:t>
      </w:r>
      <w:r>
        <w:t xml:space="preserve"> </w:t>
      </w:r>
      <w:r w:rsidRPr="008516D1">
        <w:t>la</w:t>
      </w:r>
      <w:r>
        <w:t xml:space="preserve"> </w:t>
      </w:r>
      <w:r w:rsidRPr="008516D1">
        <w:t>communauté</w:t>
      </w:r>
      <w:r>
        <w:t xml:space="preserve"> </w:t>
      </w:r>
      <w:r w:rsidRPr="008516D1">
        <w:t>internationale,</w:t>
      </w:r>
      <w:r>
        <w:t xml:space="preserve"> </w:t>
      </w:r>
      <w:r w:rsidRPr="008516D1">
        <w:t>de</w:t>
      </w:r>
      <w:r>
        <w:t xml:space="preserve"> </w:t>
      </w:r>
      <w:r w:rsidRPr="008516D1">
        <w:t>l</w:t>
      </w:r>
      <w:r>
        <w:t>’</w:t>
      </w:r>
      <w:r w:rsidRPr="008516D1">
        <w:t>Ordre</w:t>
      </w:r>
      <w:r>
        <w:t xml:space="preserve"> </w:t>
      </w:r>
      <w:r w:rsidRPr="008516D1">
        <w:t>des</w:t>
      </w:r>
      <w:r>
        <w:t xml:space="preserve"> </w:t>
      </w:r>
      <w:r w:rsidRPr="008516D1">
        <w:t>avocats</w:t>
      </w:r>
      <w:r>
        <w:t xml:space="preserve"> </w:t>
      </w:r>
      <w:r w:rsidRPr="008516D1">
        <w:t>du</w:t>
      </w:r>
      <w:r>
        <w:t xml:space="preserve"> </w:t>
      </w:r>
      <w:r w:rsidRPr="008516D1">
        <w:t>Honduras</w:t>
      </w:r>
      <w:r>
        <w:t xml:space="preserve"> </w:t>
      </w:r>
      <w:r w:rsidRPr="008516D1">
        <w:t>et</w:t>
      </w:r>
      <w:r>
        <w:t xml:space="preserve"> </w:t>
      </w:r>
      <w:r w:rsidRPr="008516D1">
        <w:t>d</w:t>
      </w:r>
      <w:r>
        <w:t>’</w:t>
      </w:r>
      <w:r w:rsidRPr="008516D1">
        <w:t>autres</w:t>
      </w:r>
      <w:r>
        <w:t xml:space="preserve"> </w:t>
      </w:r>
      <w:r w:rsidRPr="008516D1">
        <w:t>organes</w:t>
      </w:r>
      <w:r>
        <w:t xml:space="preserve"> </w:t>
      </w:r>
      <w:r w:rsidRPr="008516D1">
        <w:t>décentralisés</w:t>
      </w:r>
      <w:r>
        <w:t xml:space="preserve"> </w:t>
      </w:r>
      <w:r w:rsidRPr="008516D1">
        <w:t>de</w:t>
      </w:r>
      <w:r>
        <w:t xml:space="preserve"> </w:t>
      </w:r>
      <w:r w:rsidRPr="008516D1">
        <w:t>l</w:t>
      </w:r>
      <w:r>
        <w:t>’</w:t>
      </w:r>
      <w:r w:rsidRPr="008516D1">
        <w:t>État.</w:t>
      </w:r>
    </w:p>
    <w:p w14:paraId="53C723A8" w14:textId="77777777" w:rsidR="00286956" w:rsidRPr="008516D1" w:rsidRDefault="00286956" w:rsidP="00286956">
      <w:pPr>
        <w:pStyle w:val="SingleTxtG"/>
      </w:pPr>
      <w:r w:rsidRPr="008516D1">
        <w:t>169.</w:t>
      </w:r>
      <w:r w:rsidRPr="008516D1">
        <w:tab/>
        <w:t>Les</w:t>
      </w:r>
      <w:r>
        <w:t xml:space="preserve"> </w:t>
      </w:r>
      <w:r w:rsidRPr="008516D1">
        <w:t>ateliers</w:t>
      </w:r>
      <w:r>
        <w:t xml:space="preserve"> </w:t>
      </w:r>
      <w:r w:rsidRPr="008516D1">
        <w:t>ont</w:t>
      </w:r>
      <w:r>
        <w:t xml:space="preserve"> </w:t>
      </w:r>
      <w:r w:rsidRPr="008516D1">
        <w:t>été</w:t>
      </w:r>
      <w:r>
        <w:t xml:space="preserve"> </w:t>
      </w:r>
      <w:r w:rsidRPr="008516D1">
        <w:t>animés</w:t>
      </w:r>
      <w:r>
        <w:t xml:space="preserve"> </w:t>
      </w:r>
      <w:r w:rsidRPr="008516D1">
        <w:t>par</w:t>
      </w:r>
      <w:r>
        <w:t xml:space="preserve"> </w:t>
      </w:r>
      <w:r w:rsidRPr="008516D1">
        <w:t>des</w:t>
      </w:r>
      <w:r>
        <w:t xml:space="preserve"> </w:t>
      </w:r>
      <w:r w:rsidRPr="008516D1">
        <w:t>intervenants</w:t>
      </w:r>
      <w:r>
        <w:t xml:space="preserve"> </w:t>
      </w:r>
      <w:r w:rsidRPr="008516D1">
        <w:t>honduriens</w:t>
      </w:r>
      <w:r>
        <w:t xml:space="preserve"> </w:t>
      </w:r>
      <w:r w:rsidRPr="008516D1">
        <w:t>et</w:t>
      </w:r>
      <w:r>
        <w:t xml:space="preserve"> </w:t>
      </w:r>
      <w:r w:rsidRPr="008516D1">
        <w:t>étrangers</w:t>
      </w:r>
      <w:r>
        <w:t xml:space="preserve"> </w:t>
      </w:r>
      <w:r w:rsidRPr="008516D1">
        <w:t>qui</w:t>
      </w:r>
      <w:r>
        <w:t xml:space="preserve"> </w:t>
      </w:r>
      <w:r w:rsidRPr="008516D1">
        <w:t>ont</w:t>
      </w:r>
      <w:r>
        <w:t xml:space="preserve"> </w:t>
      </w:r>
      <w:r w:rsidRPr="008516D1">
        <w:t>présenté</w:t>
      </w:r>
      <w:r>
        <w:t xml:space="preserve"> </w:t>
      </w:r>
      <w:r w:rsidRPr="008516D1">
        <w:t>les</w:t>
      </w:r>
      <w:r>
        <w:t xml:space="preserve"> </w:t>
      </w:r>
      <w:r w:rsidRPr="008516D1">
        <w:t>manuels</w:t>
      </w:r>
      <w:r>
        <w:t xml:space="preserve"> </w:t>
      </w:r>
      <w:r w:rsidRPr="008516D1">
        <w:t>et</w:t>
      </w:r>
      <w:r>
        <w:t xml:space="preserve"> </w:t>
      </w:r>
      <w:r w:rsidRPr="008516D1">
        <w:t>protocoles</w:t>
      </w:r>
      <w:r>
        <w:t xml:space="preserve"> </w:t>
      </w:r>
      <w:r w:rsidRPr="008516D1">
        <w:t>de</w:t>
      </w:r>
      <w:r>
        <w:t xml:space="preserve"> </w:t>
      </w:r>
      <w:r w:rsidRPr="008516D1">
        <w:t>recherche</w:t>
      </w:r>
      <w:r>
        <w:t xml:space="preserve"> </w:t>
      </w:r>
      <w:r w:rsidRPr="008516D1">
        <w:t>et</w:t>
      </w:r>
      <w:r>
        <w:t xml:space="preserve"> </w:t>
      </w:r>
      <w:r w:rsidRPr="008516D1">
        <w:t>de</w:t>
      </w:r>
      <w:r>
        <w:t xml:space="preserve"> </w:t>
      </w:r>
      <w:r w:rsidRPr="008516D1">
        <w:t>localisation</w:t>
      </w:r>
      <w:r>
        <w:t xml:space="preserve"> </w:t>
      </w:r>
      <w:r w:rsidRPr="008516D1">
        <w:t>de</w:t>
      </w:r>
      <w:r>
        <w:t xml:space="preserve"> </w:t>
      </w:r>
      <w:r w:rsidRPr="008516D1">
        <w:t>personnes</w:t>
      </w:r>
      <w:r>
        <w:t xml:space="preserve"> </w:t>
      </w:r>
      <w:r w:rsidRPr="008516D1">
        <w:t>disparues</w:t>
      </w:r>
      <w:r>
        <w:t xml:space="preserve"> </w:t>
      </w:r>
      <w:r w:rsidRPr="008516D1">
        <w:t>pour</w:t>
      </w:r>
      <w:r>
        <w:t xml:space="preserve"> </w:t>
      </w:r>
      <w:r w:rsidRPr="008516D1">
        <w:t>raisons</w:t>
      </w:r>
      <w:r>
        <w:t xml:space="preserve"> </w:t>
      </w:r>
      <w:r w:rsidRPr="008516D1">
        <w:t>diverses,</w:t>
      </w:r>
      <w:r>
        <w:t xml:space="preserve"> </w:t>
      </w:r>
      <w:r w:rsidRPr="008516D1">
        <w:t>ainsi</w:t>
      </w:r>
      <w:r>
        <w:t xml:space="preserve"> </w:t>
      </w:r>
      <w:r w:rsidRPr="008516D1">
        <w:t>que</w:t>
      </w:r>
      <w:r>
        <w:t xml:space="preserve"> </w:t>
      </w:r>
      <w:r w:rsidRPr="008516D1">
        <w:t>les</w:t>
      </w:r>
      <w:r>
        <w:t xml:space="preserve"> </w:t>
      </w:r>
      <w:r w:rsidRPr="008516D1">
        <w:t>connaissances</w:t>
      </w:r>
      <w:r>
        <w:t xml:space="preserve"> </w:t>
      </w:r>
      <w:r w:rsidRPr="008516D1">
        <w:t>et</w:t>
      </w:r>
      <w:r>
        <w:t xml:space="preserve"> </w:t>
      </w:r>
      <w:r w:rsidRPr="008516D1">
        <w:t>l</w:t>
      </w:r>
      <w:r>
        <w:t>’</w:t>
      </w:r>
      <w:r w:rsidRPr="008516D1">
        <w:t>expérience</w:t>
      </w:r>
      <w:r>
        <w:t xml:space="preserve"> </w:t>
      </w:r>
      <w:r w:rsidRPr="008516D1">
        <w:t>qu</w:t>
      </w:r>
      <w:r>
        <w:t>’</w:t>
      </w:r>
      <w:r w:rsidRPr="008516D1">
        <w:t>ils</w:t>
      </w:r>
      <w:r>
        <w:t xml:space="preserve"> </w:t>
      </w:r>
      <w:r w:rsidRPr="008516D1">
        <w:t>ont</w:t>
      </w:r>
      <w:r>
        <w:t xml:space="preserve"> </w:t>
      </w:r>
      <w:r w:rsidRPr="008516D1">
        <w:t>acquises</w:t>
      </w:r>
      <w:r>
        <w:t xml:space="preserve"> </w:t>
      </w:r>
      <w:r w:rsidRPr="008516D1">
        <w:t>en</w:t>
      </w:r>
      <w:r>
        <w:t xml:space="preserve"> </w:t>
      </w:r>
      <w:r w:rsidRPr="008516D1">
        <w:t>matière</w:t>
      </w:r>
      <w:r>
        <w:t xml:space="preserve"> </w:t>
      </w:r>
      <w:r w:rsidRPr="008516D1">
        <w:t>de</w:t>
      </w:r>
      <w:r>
        <w:t xml:space="preserve"> </w:t>
      </w:r>
      <w:r w:rsidRPr="008516D1">
        <w:t>prévention</w:t>
      </w:r>
      <w:r>
        <w:t xml:space="preserve"> </w:t>
      </w:r>
      <w:r w:rsidRPr="008516D1">
        <w:t>des</w:t>
      </w:r>
      <w:r>
        <w:t xml:space="preserve"> </w:t>
      </w:r>
      <w:r w:rsidRPr="008516D1">
        <w:t>disparitions</w:t>
      </w:r>
      <w:r>
        <w:t xml:space="preserve"> </w:t>
      </w:r>
      <w:r w:rsidRPr="008516D1">
        <w:t>forcées.</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la</w:t>
      </w:r>
      <w:r>
        <w:t xml:space="preserve"> </w:t>
      </w:r>
      <w:r w:rsidRPr="008516D1">
        <w:t>participation</w:t>
      </w:r>
      <w:r>
        <w:t xml:space="preserve"> </w:t>
      </w:r>
      <w:r w:rsidRPr="008516D1">
        <w:t>d</w:t>
      </w:r>
      <w:r>
        <w:t>’</w:t>
      </w:r>
      <w:r w:rsidRPr="008516D1">
        <w:t>un</w:t>
      </w:r>
      <w:r>
        <w:t xml:space="preserve"> </w:t>
      </w:r>
      <w:r w:rsidRPr="008516D1">
        <w:t>expert</w:t>
      </w:r>
      <w:r>
        <w:t xml:space="preserve"> </w:t>
      </w:r>
      <w:r w:rsidRPr="008516D1">
        <w:t>de</w:t>
      </w:r>
      <w:r>
        <w:t xml:space="preserve"> </w:t>
      </w:r>
      <w:r w:rsidRPr="008516D1">
        <w:t>la</w:t>
      </w:r>
      <w:r>
        <w:t xml:space="preserve"> </w:t>
      </w:r>
      <w:r w:rsidRPr="008516D1">
        <w:t>Direction</w:t>
      </w:r>
      <w:r>
        <w:t xml:space="preserve"> </w:t>
      </w:r>
      <w:r w:rsidRPr="008516D1">
        <w:t>du</w:t>
      </w:r>
      <w:r>
        <w:t xml:space="preserve"> </w:t>
      </w:r>
      <w:r w:rsidRPr="008516D1">
        <w:t>contentieux</w:t>
      </w:r>
      <w:r>
        <w:t xml:space="preserve"> </w:t>
      </w:r>
      <w:r w:rsidRPr="008516D1">
        <w:t>international</w:t>
      </w:r>
      <w:r>
        <w:t xml:space="preserve"> </w:t>
      </w:r>
      <w:r w:rsidRPr="008516D1">
        <w:t>en</w:t>
      </w:r>
      <w:r>
        <w:t xml:space="preserve"> </w:t>
      </w:r>
      <w:r w:rsidRPr="008516D1">
        <w:t>matière</w:t>
      </w:r>
      <w:r>
        <w:t xml:space="preserve"> </w:t>
      </w:r>
      <w:r w:rsidRPr="008516D1">
        <w:t>de</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du</w:t>
      </w:r>
      <w:r>
        <w:t xml:space="preserve"> </w:t>
      </w:r>
      <w:r w:rsidRPr="008516D1">
        <w:t>Ministère</w:t>
      </w:r>
      <w:r>
        <w:t xml:space="preserve"> </w:t>
      </w:r>
      <w:r w:rsidRPr="008516D1">
        <w:t>argentin</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du</w:t>
      </w:r>
      <w:r>
        <w:t xml:space="preserve"> </w:t>
      </w:r>
      <w:r w:rsidRPr="008516D1">
        <w:t>culte,</w:t>
      </w:r>
      <w:r>
        <w:t xml:space="preserve"> </w:t>
      </w:r>
      <w:r w:rsidRPr="008516D1">
        <w:t>qui</w:t>
      </w:r>
      <w:r>
        <w:t xml:space="preserve"> </w:t>
      </w:r>
      <w:r w:rsidRPr="008516D1">
        <w:t>a</w:t>
      </w:r>
      <w:r>
        <w:t xml:space="preserve"> </w:t>
      </w:r>
      <w:r w:rsidRPr="008516D1">
        <w:t>fait</w:t>
      </w:r>
      <w:r>
        <w:t xml:space="preserve"> </w:t>
      </w:r>
      <w:r w:rsidRPr="008516D1">
        <w:t>une</w:t>
      </w:r>
      <w:r>
        <w:t xml:space="preserve"> </w:t>
      </w:r>
      <w:r w:rsidRPr="008516D1">
        <w:t>présentation</w:t>
      </w:r>
      <w:r>
        <w:t xml:space="preserve"> </w:t>
      </w:r>
      <w:r w:rsidRPr="008516D1">
        <w:t>sur</w:t>
      </w:r>
      <w:r>
        <w:t xml:space="preserve"> </w:t>
      </w:r>
      <w:r w:rsidRPr="008516D1">
        <w:t>l</w:t>
      </w:r>
      <w:r>
        <w:t>’</w:t>
      </w:r>
      <w:r w:rsidRPr="008516D1">
        <w:t>expérience</w:t>
      </w:r>
      <w:r>
        <w:t xml:space="preserve"> </w:t>
      </w:r>
      <w:r w:rsidRPr="008516D1">
        <w:t>de</w:t>
      </w:r>
      <w:r>
        <w:t xml:space="preserve"> </w:t>
      </w:r>
      <w:r w:rsidRPr="008516D1">
        <w:t>l</w:t>
      </w:r>
      <w:r>
        <w:t>’</w:t>
      </w:r>
      <w:r w:rsidRPr="008516D1">
        <w:t>Argentine</w:t>
      </w:r>
      <w:r>
        <w:t xml:space="preserve"> </w:t>
      </w:r>
      <w:r w:rsidRPr="008516D1">
        <w:t>dans</w:t>
      </w:r>
      <w:r>
        <w:t xml:space="preserve"> </w:t>
      </w:r>
      <w:r w:rsidRPr="008516D1">
        <w:t>le</w:t>
      </w:r>
      <w:r>
        <w:t xml:space="preserve"> </w:t>
      </w:r>
      <w:r w:rsidRPr="008516D1">
        <w:t>domaine</w:t>
      </w:r>
      <w:r>
        <w:t xml:space="preserve"> </w:t>
      </w:r>
      <w:r w:rsidRPr="008516D1">
        <w:t>de</w:t>
      </w:r>
      <w:r>
        <w:t xml:space="preserve"> </w:t>
      </w:r>
      <w:r w:rsidRPr="008516D1">
        <w:t>la</w:t>
      </w:r>
      <w:r>
        <w:t xml:space="preserve"> </w:t>
      </w:r>
      <w:r w:rsidRPr="008516D1">
        <w:t>disparition</w:t>
      </w:r>
      <w:r>
        <w:t xml:space="preserve"> </w:t>
      </w:r>
      <w:r w:rsidRPr="008516D1">
        <w:t>forcée</w:t>
      </w:r>
      <w:r>
        <w:t xml:space="preserve"> </w:t>
      </w:r>
      <w:r w:rsidRPr="008516D1">
        <w:t>de</w:t>
      </w:r>
      <w:r>
        <w:t xml:space="preserve"> </w:t>
      </w:r>
      <w:r w:rsidRPr="008516D1">
        <w:t>personnes.</w:t>
      </w:r>
    </w:p>
    <w:p w14:paraId="19AFBD59" w14:textId="043A6BA1" w:rsidR="00286956" w:rsidRPr="008516D1" w:rsidRDefault="00286956" w:rsidP="00286956">
      <w:pPr>
        <w:pStyle w:val="SingleTxtG"/>
      </w:pPr>
      <w:r w:rsidRPr="008516D1">
        <w:t>170.</w:t>
      </w:r>
      <w:r w:rsidRPr="008516D1">
        <w:tab/>
        <w:t>Entre</w:t>
      </w:r>
      <w:r>
        <w:t xml:space="preserve"> </w:t>
      </w:r>
      <w:r w:rsidRPr="008516D1">
        <w:t>2018</w:t>
      </w:r>
      <w:r>
        <w:t xml:space="preserve"> </w:t>
      </w:r>
      <w:r w:rsidRPr="008516D1">
        <w:t>et</w:t>
      </w:r>
      <w:r>
        <w:t xml:space="preserve"> </w:t>
      </w:r>
      <w:r w:rsidRPr="008516D1">
        <w:t>2021,</w:t>
      </w:r>
      <w:r>
        <w:t xml:space="preserve"> </w:t>
      </w:r>
      <w:r w:rsidRPr="008516D1">
        <w:t>le</w:t>
      </w:r>
      <w:r>
        <w:t xml:space="preserve"> </w:t>
      </w:r>
      <w:r w:rsidRPr="008516D1">
        <w:t>Département</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la</w:t>
      </w:r>
      <w:r>
        <w:t xml:space="preserve"> </w:t>
      </w:r>
      <w:r w:rsidRPr="008516D1">
        <w:t>Direction</w:t>
      </w:r>
      <w:r>
        <w:t xml:space="preserve"> </w:t>
      </w:r>
      <w:r w:rsidRPr="008516D1">
        <w:t>de</w:t>
      </w:r>
      <w:r>
        <w:t xml:space="preserve"> </w:t>
      </w:r>
      <w:r w:rsidRPr="008516D1">
        <w:t>la</w:t>
      </w:r>
      <w:r>
        <w:t xml:space="preserve"> </w:t>
      </w:r>
      <w:r w:rsidRPr="008516D1">
        <w:t>formation</w:t>
      </w:r>
      <w:r>
        <w:t xml:space="preserve"> </w:t>
      </w:r>
      <w:r w:rsidRPr="008516D1">
        <w:t>de</w:t>
      </w:r>
      <w:r>
        <w:t xml:space="preserve"> </w:t>
      </w:r>
      <w:r w:rsidRPr="008516D1">
        <w:t>la</w:t>
      </w:r>
      <w:r>
        <w:t xml:space="preserve"> </w:t>
      </w:r>
      <w:r w:rsidRPr="008516D1">
        <w:t>police</w:t>
      </w:r>
      <w:r>
        <w:t xml:space="preserve"> </w:t>
      </w:r>
      <w:r w:rsidRPr="008516D1">
        <w:t>du</w:t>
      </w:r>
      <w:r>
        <w:t xml:space="preserve"> </w:t>
      </w:r>
      <w:r w:rsidRPr="008516D1">
        <w:t>Ministère</w:t>
      </w:r>
      <w:r>
        <w:t xml:space="preserve"> </w:t>
      </w:r>
      <w:r w:rsidRPr="008516D1">
        <w:t>de</w:t>
      </w:r>
      <w:r>
        <w:t xml:space="preserve"> </w:t>
      </w:r>
      <w:r w:rsidRPr="008516D1">
        <w:t>la</w:t>
      </w:r>
      <w:r>
        <w:t xml:space="preserve"> </w:t>
      </w:r>
      <w:r w:rsidRPr="008516D1">
        <w:t>sécurité</w:t>
      </w:r>
      <w:r>
        <w:t xml:space="preserve"> </w:t>
      </w:r>
      <w:r w:rsidRPr="008516D1">
        <w:t>ont</w:t>
      </w:r>
      <w:r>
        <w:t xml:space="preserve"> </w:t>
      </w:r>
      <w:r w:rsidRPr="008516D1">
        <w:t>formé</w:t>
      </w:r>
      <w:r>
        <w:t xml:space="preserve"> </w:t>
      </w:r>
      <w:r w:rsidRPr="008516D1">
        <w:t>13</w:t>
      </w:r>
      <w:r w:rsidR="006B3441">
        <w:t> </w:t>
      </w:r>
      <w:r w:rsidRPr="008516D1">
        <w:t>146</w:t>
      </w:r>
      <w:r>
        <w:t xml:space="preserve"> </w:t>
      </w:r>
      <w:r w:rsidRPr="008516D1">
        <w:t>agents</w:t>
      </w:r>
      <w:r>
        <w:t xml:space="preserve"> </w:t>
      </w:r>
      <w:r w:rsidRPr="008516D1">
        <w:t>de</w:t>
      </w:r>
      <w:r>
        <w:t xml:space="preserve"> </w:t>
      </w:r>
      <w:r w:rsidRPr="008516D1">
        <w:t>la</w:t>
      </w:r>
      <w:r>
        <w:t xml:space="preserve"> </w:t>
      </w:r>
      <w:r w:rsidR="00AB2CD9">
        <w:t>Police nationale</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Dans</w:t>
      </w:r>
      <w:r>
        <w:t xml:space="preserve"> </w:t>
      </w:r>
      <w:r w:rsidRPr="008516D1">
        <w:t>ses</w:t>
      </w:r>
      <w:r>
        <w:t xml:space="preserve"> </w:t>
      </w:r>
      <w:r w:rsidRPr="008516D1">
        <w:t>centres</w:t>
      </w:r>
      <w:r>
        <w:t xml:space="preserve"> </w:t>
      </w:r>
      <w:r w:rsidRPr="008516D1">
        <w:t>de</w:t>
      </w:r>
      <w:r>
        <w:t xml:space="preserve"> </w:t>
      </w:r>
      <w:r w:rsidRPr="008516D1">
        <w:t>formation</w:t>
      </w:r>
      <w:r w:rsidRPr="008516D1">
        <w:rPr>
          <w:rStyle w:val="Appelnotedebasdep"/>
        </w:rPr>
        <w:footnoteReference w:id="107"/>
      </w:r>
      <w:r w:rsidRPr="008516D1">
        <w:t>,</w:t>
      </w:r>
      <w:r>
        <w:t xml:space="preserve"> </w:t>
      </w:r>
      <w:r w:rsidRPr="008516D1">
        <w:t>la</w:t>
      </w:r>
      <w:r>
        <w:t xml:space="preserve"> </w:t>
      </w:r>
      <w:r w:rsidR="00665171" w:rsidRPr="008516D1">
        <w:t>Direction</w:t>
      </w:r>
      <w:r w:rsidR="00665171">
        <w:t xml:space="preserve"> </w:t>
      </w:r>
      <w:r w:rsidRPr="008516D1">
        <w:t>précitée</w:t>
      </w:r>
      <w:r>
        <w:t xml:space="preserve"> </w:t>
      </w:r>
      <w:r w:rsidRPr="008516D1">
        <w:t>organise</w:t>
      </w:r>
      <w:r>
        <w:t xml:space="preserve"> </w:t>
      </w:r>
      <w:r w:rsidRPr="008516D1">
        <w:t>des</w:t>
      </w:r>
      <w:r>
        <w:t xml:space="preserve"> </w:t>
      </w:r>
      <w:r w:rsidRPr="008516D1">
        <w:t>activités</w:t>
      </w:r>
      <w:r>
        <w:t xml:space="preserve"> </w:t>
      </w:r>
      <w:r w:rsidRPr="008516D1">
        <w:t>de</w:t>
      </w:r>
      <w:r>
        <w:t xml:space="preserve"> </w:t>
      </w:r>
      <w:r w:rsidRPr="008516D1">
        <w:t>formation</w:t>
      </w:r>
      <w:r>
        <w:t xml:space="preserve"> </w:t>
      </w:r>
      <w:r w:rsidRPr="008516D1">
        <w:t>pour</w:t>
      </w:r>
      <w:r>
        <w:t xml:space="preserve"> </w:t>
      </w:r>
      <w:r w:rsidRPr="008516D1">
        <w:t>la</w:t>
      </w:r>
      <w:r>
        <w:t xml:space="preserve"> </w:t>
      </w:r>
      <w:r w:rsidRPr="008516D1">
        <w:t>promotion</w:t>
      </w:r>
      <w:r>
        <w:t xml:space="preserve"> </w:t>
      </w:r>
      <w:r w:rsidRPr="008516D1">
        <w:t>et</w:t>
      </w:r>
      <w:r>
        <w:t xml:space="preserve"> </w:t>
      </w:r>
      <w:r w:rsidRPr="008516D1">
        <w:t>le</w:t>
      </w:r>
      <w:r>
        <w:t xml:space="preserve"> </w:t>
      </w:r>
      <w:r w:rsidRPr="008516D1">
        <w:t>respect</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Elle</w:t>
      </w:r>
      <w:r>
        <w:t xml:space="preserve"> </w:t>
      </w:r>
      <w:r w:rsidRPr="008516D1">
        <w:t>a</w:t>
      </w:r>
      <w:r>
        <w:t xml:space="preserve"> </w:t>
      </w:r>
      <w:r w:rsidRPr="008516D1">
        <w:t>également</w:t>
      </w:r>
      <w:r>
        <w:t xml:space="preserve"> </w:t>
      </w:r>
      <w:r w:rsidRPr="008516D1">
        <w:t>élaboré</w:t>
      </w:r>
      <w:r>
        <w:t xml:space="preserve"> </w:t>
      </w:r>
      <w:r w:rsidRPr="008516D1">
        <w:t>la</w:t>
      </w:r>
      <w:r>
        <w:t xml:space="preserve"> </w:t>
      </w:r>
      <w:r w:rsidRPr="008516D1">
        <w:t>politique</w:t>
      </w:r>
      <w:r>
        <w:t xml:space="preserve"> </w:t>
      </w:r>
      <w:r w:rsidRPr="008516D1">
        <w:t>de</w:t>
      </w:r>
      <w:r>
        <w:t xml:space="preserve"> </w:t>
      </w:r>
      <w:r w:rsidRPr="008516D1">
        <w:t>formation</w:t>
      </w:r>
      <w:r>
        <w:t xml:space="preserve"> </w:t>
      </w:r>
      <w:r w:rsidRPr="008516D1">
        <w:t>de</w:t>
      </w:r>
      <w:r>
        <w:t xml:space="preserve"> </w:t>
      </w:r>
      <w:r w:rsidRPr="008516D1">
        <w:t>la</w:t>
      </w:r>
      <w:r>
        <w:t xml:space="preserve"> </w:t>
      </w:r>
      <w:r w:rsidR="00AB2CD9">
        <w:t>Police nationale</w:t>
      </w:r>
      <w:r>
        <w:t xml:space="preserve"> </w:t>
      </w:r>
      <w:r w:rsidRPr="008516D1">
        <w:t>du</w:t>
      </w:r>
      <w:r>
        <w:t xml:space="preserve"> </w:t>
      </w:r>
      <w:r w:rsidRPr="008516D1">
        <w:t>Honduras,</w:t>
      </w:r>
      <w:r>
        <w:t xml:space="preserve"> </w:t>
      </w:r>
      <w:r w:rsidRPr="008516D1">
        <w:t>selon</w:t>
      </w:r>
      <w:r>
        <w:t xml:space="preserve"> </w:t>
      </w:r>
      <w:r w:rsidRPr="008516D1">
        <w:t>une</w:t>
      </w:r>
      <w:r>
        <w:t xml:space="preserve"> </w:t>
      </w:r>
      <w:r w:rsidRPr="008516D1">
        <w:t>approche</w:t>
      </w:r>
      <w:r>
        <w:t xml:space="preserve"> </w:t>
      </w:r>
      <w:r w:rsidRPr="008516D1">
        <w:t>fondée</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p>
    <w:p w14:paraId="05FFC698" w14:textId="1646FC46" w:rsidR="00286956" w:rsidRPr="008516D1" w:rsidRDefault="00286956" w:rsidP="00286956">
      <w:pPr>
        <w:pStyle w:val="SingleTxtG"/>
      </w:pPr>
      <w:r w:rsidRPr="008516D1">
        <w:t>171.</w:t>
      </w:r>
      <w:r w:rsidRPr="008516D1">
        <w:tab/>
        <w:t>En</w:t>
      </w:r>
      <w:r>
        <w:t xml:space="preserve"> </w:t>
      </w:r>
      <w:r w:rsidRPr="008516D1">
        <w:t>ce</w:t>
      </w:r>
      <w:r>
        <w:t xml:space="preserve"> </w:t>
      </w:r>
      <w:r w:rsidRPr="008516D1">
        <w:t>qui</w:t>
      </w:r>
      <w:r>
        <w:t xml:space="preserve"> </w:t>
      </w:r>
      <w:r w:rsidRPr="008516D1">
        <w:t>concerne</w:t>
      </w:r>
      <w:r>
        <w:t xml:space="preserve"> </w:t>
      </w:r>
      <w:r w:rsidRPr="008516D1">
        <w:t>la</w:t>
      </w:r>
      <w:r>
        <w:t xml:space="preserve"> </w:t>
      </w:r>
      <w:r w:rsidRPr="008516D1">
        <w:t>promotion</w:t>
      </w:r>
      <w:r>
        <w:t xml:space="preserve"> </w:t>
      </w:r>
      <w:r w:rsidRPr="008516D1">
        <w:t>du</w:t>
      </w:r>
      <w:r>
        <w:t xml:space="preserve"> </w:t>
      </w:r>
      <w:r w:rsidRPr="008516D1">
        <w:t>droit</w:t>
      </w:r>
      <w:r>
        <w:t xml:space="preserve"> </w:t>
      </w:r>
      <w:r w:rsidRPr="008516D1">
        <w:t>des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à</w:t>
      </w:r>
      <w:r>
        <w:t xml:space="preserve"> </w:t>
      </w:r>
      <w:r w:rsidRPr="008516D1">
        <w:t>la</w:t>
      </w:r>
      <w:r>
        <w:t xml:space="preserve"> </w:t>
      </w:r>
      <w:r w:rsidRPr="008516D1">
        <w:t>vérité,</w:t>
      </w:r>
      <w:r>
        <w:t xml:space="preserve"> </w:t>
      </w:r>
      <w:r w:rsidRPr="008516D1">
        <w:t>à</w:t>
      </w:r>
      <w:r>
        <w:t xml:space="preserve"> </w:t>
      </w:r>
      <w:r w:rsidRPr="008516D1">
        <w:t>la</w:t>
      </w:r>
      <w:r>
        <w:t xml:space="preserve"> </w:t>
      </w:r>
      <w:r w:rsidRPr="008516D1">
        <w:t>justice,</w:t>
      </w:r>
      <w:r>
        <w:t xml:space="preserve"> </w:t>
      </w:r>
      <w:r w:rsidRPr="008516D1">
        <w:t>à</w:t>
      </w:r>
      <w:r>
        <w:t xml:space="preserve"> </w:t>
      </w:r>
      <w:r w:rsidRPr="008516D1">
        <w:t>la</w:t>
      </w:r>
      <w:r>
        <w:t xml:space="preserve"> </w:t>
      </w:r>
      <w:r w:rsidRPr="008516D1">
        <w:t>réparation</w:t>
      </w:r>
      <w:r>
        <w:t xml:space="preserve"> </w:t>
      </w:r>
      <w:r w:rsidRPr="008516D1">
        <w:t>et</w:t>
      </w:r>
      <w:r>
        <w:t xml:space="preserve"> </w:t>
      </w:r>
      <w:r w:rsidRPr="008516D1">
        <w:t>à</w:t>
      </w:r>
      <w:r>
        <w:t xml:space="preserve"> </w:t>
      </w:r>
      <w:r w:rsidRPr="008516D1">
        <w:t>la</w:t>
      </w:r>
      <w:r>
        <w:t xml:space="preserve"> </w:t>
      </w:r>
      <w:r w:rsidRPr="008516D1">
        <w:t>non-répétition,</w:t>
      </w:r>
      <w:r>
        <w:t xml:space="preserve"> </w:t>
      </w:r>
      <w:r w:rsidRPr="008516D1">
        <w:t>la</w:t>
      </w:r>
      <w:r>
        <w:t xml:space="preserve"> </w:t>
      </w:r>
      <w:r w:rsidRPr="008516D1">
        <w:t>Direction</w:t>
      </w:r>
      <w:r>
        <w:t xml:space="preserve"> </w:t>
      </w:r>
      <w:r w:rsidRPr="008516D1">
        <w:t>chargée</w:t>
      </w:r>
      <w:r>
        <w:t xml:space="preserve"> </w:t>
      </w:r>
      <w:r w:rsidRPr="008516D1">
        <w:t>de</w:t>
      </w:r>
      <w:r>
        <w:t xml:space="preserve"> </w:t>
      </w:r>
      <w:r w:rsidRPr="008516D1">
        <w:t>l</w:t>
      </w:r>
      <w:r>
        <w:t>’</w:t>
      </w:r>
      <w:r w:rsidRPr="008516D1">
        <w:t>éducation</w:t>
      </w:r>
      <w:r>
        <w:t xml:space="preserve"> </w:t>
      </w:r>
      <w:r w:rsidRPr="008516D1">
        <w:t>et</w:t>
      </w:r>
      <w:r>
        <w:t xml:space="preserve"> </w:t>
      </w:r>
      <w:r w:rsidRPr="008516D1">
        <w:t>de</w:t>
      </w:r>
      <w:r>
        <w:t xml:space="preserve"> </w:t>
      </w:r>
      <w:r w:rsidRPr="008516D1">
        <w:t>la</w:t>
      </w:r>
      <w:r>
        <w:t xml:space="preserve"> </w:t>
      </w:r>
      <w:r w:rsidRPr="008516D1">
        <w:t>promotion</w:t>
      </w:r>
      <w:r>
        <w:t xml:space="preserve"> </w:t>
      </w:r>
      <w:r w:rsidRPr="008516D1">
        <w:t>de</w:t>
      </w:r>
      <w:r>
        <w:t xml:space="preserve"> </w:t>
      </w:r>
      <w:r w:rsidRPr="008516D1">
        <w:t>la</w:t>
      </w:r>
      <w:r>
        <w:t xml:space="preserve"> </w:t>
      </w:r>
      <w:r w:rsidRPr="008516D1">
        <w:t>culture</w:t>
      </w:r>
      <w:r>
        <w:t xml:space="preserve"> </w:t>
      </w:r>
      <w:r w:rsidRPr="008516D1">
        <w:t>de</w:t>
      </w:r>
      <w:r>
        <w:t xml:space="preserve"> </w:t>
      </w:r>
      <w:r w:rsidRPr="008516D1">
        <w:t>la</w:t>
      </w:r>
      <w:r>
        <w:t xml:space="preserve"> </w:t>
      </w:r>
      <w:r w:rsidRPr="008516D1">
        <w:t>paix</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organise</w:t>
      </w:r>
      <w:r>
        <w:t xml:space="preserve"> </w:t>
      </w:r>
      <w:r w:rsidRPr="008516D1">
        <w:t>des</w:t>
      </w:r>
      <w:r>
        <w:t xml:space="preserve"> </w:t>
      </w:r>
      <w:r w:rsidRPr="008516D1">
        <w:t>activités</w:t>
      </w:r>
      <w:r>
        <w:t xml:space="preserve"> </w:t>
      </w:r>
      <w:r w:rsidRPr="008516D1">
        <w:t>de</w:t>
      </w:r>
      <w:r>
        <w:t xml:space="preserve"> </w:t>
      </w:r>
      <w:r w:rsidRPr="008516D1">
        <w:t>formation</w:t>
      </w:r>
      <w:r>
        <w:t xml:space="preserve"> </w:t>
      </w:r>
      <w:r w:rsidRPr="008516D1">
        <w:t>et</w:t>
      </w:r>
      <w:r>
        <w:t xml:space="preserve"> </w:t>
      </w:r>
      <w:r w:rsidRPr="008516D1">
        <w:t>d</w:t>
      </w:r>
      <w:r>
        <w:t>’</w:t>
      </w:r>
      <w:r w:rsidRPr="008516D1">
        <w:t>éducation</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à</w:t>
      </w:r>
      <w:r>
        <w:t xml:space="preserve"> </w:t>
      </w:r>
      <w:r w:rsidRPr="008516D1">
        <w:t>l</w:t>
      </w:r>
      <w:r>
        <w:t>’</w:t>
      </w:r>
      <w:r w:rsidRPr="008516D1">
        <w:t>intention</w:t>
      </w:r>
      <w:r>
        <w:t xml:space="preserve"> </w:t>
      </w:r>
      <w:r w:rsidRPr="008516D1">
        <w:t>des</w:t>
      </w:r>
      <w:r>
        <w:t xml:space="preserve"> </w:t>
      </w:r>
      <w:r w:rsidRPr="008516D1">
        <w:t>fonctionnaires,</w:t>
      </w:r>
      <w:r>
        <w:t xml:space="preserve"> </w:t>
      </w:r>
      <w:r w:rsidRPr="008516D1">
        <w:t>des</w:t>
      </w:r>
      <w:r>
        <w:t xml:space="preserve"> </w:t>
      </w:r>
      <w:r w:rsidRPr="008516D1">
        <w:t>agents</w:t>
      </w:r>
      <w:r>
        <w:t xml:space="preserve"> </w:t>
      </w:r>
      <w:r w:rsidRPr="008516D1">
        <w:t>responsables</w:t>
      </w:r>
      <w:r>
        <w:t xml:space="preserve"> </w:t>
      </w:r>
      <w:r w:rsidRPr="008516D1">
        <w:t>de</w:t>
      </w:r>
      <w:r>
        <w:t xml:space="preserve"> </w:t>
      </w:r>
      <w:r w:rsidRPr="008516D1">
        <w:t>l</w:t>
      </w:r>
      <w:r>
        <w:t>’</w:t>
      </w:r>
      <w:r w:rsidRPr="008516D1">
        <w:t>application</w:t>
      </w:r>
      <w:r>
        <w:t xml:space="preserve"> </w:t>
      </w:r>
      <w:r w:rsidRPr="008516D1">
        <w:t>des</w:t>
      </w:r>
      <w:r>
        <w:t xml:space="preserve"> </w:t>
      </w:r>
      <w:r w:rsidRPr="008516D1">
        <w:t>lois</w:t>
      </w:r>
      <w:r>
        <w:t xml:space="preserve"> </w:t>
      </w:r>
      <w:r w:rsidRPr="008516D1">
        <w:t>et</w:t>
      </w:r>
      <w:r>
        <w:t xml:space="preserve"> </w:t>
      </w:r>
      <w:r w:rsidRPr="008516D1">
        <w:t>du</w:t>
      </w:r>
      <w:r>
        <w:t xml:space="preserve"> </w:t>
      </w:r>
      <w:r w:rsidRPr="008516D1">
        <w:t>grand</w:t>
      </w:r>
      <w:r>
        <w:t xml:space="preserve"> </w:t>
      </w:r>
      <w:r w:rsidRPr="008516D1">
        <w:t>public.</w:t>
      </w:r>
      <w:r>
        <w:t xml:space="preserve"> </w:t>
      </w:r>
      <w:r w:rsidRPr="008516D1">
        <w:t>Entre</w:t>
      </w:r>
      <w:r>
        <w:t xml:space="preserve"> </w:t>
      </w:r>
      <w:r w:rsidRPr="008516D1">
        <w:t>2018</w:t>
      </w:r>
      <w:r>
        <w:t xml:space="preserve"> </w:t>
      </w:r>
      <w:r w:rsidRPr="008516D1">
        <w:t>et</w:t>
      </w:r>
      <w:r>
        <w:t xml:space="preserve"> </w:t>
      </w:r>
      <w:r w:rsidRPr="008516D1">
        <w:t>2021,</w:t>
      </w:r>
      <w:r>
        <w:t xml:space="preserve"> </w:t>
      </w:r>
      <w:r w:rsidRPr="008516D1">
        <w:t>23</w:t>
      </w:r>
      <w:r w:rsidR="006B3441">
        <w:t> </w:t>
      </w:r>
      <w:r w:rsidRPr="008516D1">
        <w:t>578</w:t>
      </w:r>
      <w:r w:rsidR="006B3441">
        <w:t xml:space="preserve"> </w:t>
      </w:r>
      <w:r w:rsidRPr="008516D1">
        <w:t>personnes</w:t>
      </w:r>
      <w:r>
        <w:t xml:space="preserve"> </w:t>
      </w:r>
      <w:r w:rsidRPr="008516D1">
        <w:t>ont</w:t>
      </w:r>
      <w:r>
        <w:t xml:space="preserve"> </w:t>
      </w:r>
      <w:r w:rsidRPr="008516D1">
        <w:t>été</w:t>
      </w:r>
      <w:r>
        <w:t xml:space="preserve"> </w:t>
      </w:r>
      <w:r w:rsidRPr="008516D1">
        <w:t>formées,</w:t>
      </w:r>
      <w:r>
        <w:t xml:space="preserve"> </w:t>
      </w:r>
      <w:r w:rsidRPr="008516D1">
        <w:t>dont</w:t>
      </w:r>
      <w:r>
        <w:t xml:space="preserve"> </w:t>
      </w:r>
      <w:r w:rsidRPr="008516D1">
        <w:t>18</w:t>
      </w:r>
      <w:r w:rsidR="006B3441">
        <w:t> </w:t>
      </w:r>
      <w:r w:rsidRPr="008516D1">
        <w:t>940</w:t>
      </w:r>
      <w:r>
        <w:t xml:space="preserve"> </w:t>
      </w:r>
      <w:r w:rsidRPr="008516D1">
        <w:t>membres</w:t>
      </w:r>
      <w:r>
        <w:t xml:space="preserve"> </w:t>
      </w:r>
      <w:r w:rsidRPr="008516D1">
        <w:t>des</w:t>
      </w:r>
      <w:r>
        <w:t xml:space="preserve"> </w:t>
      </w:r>
      <w:r w:rsidRPr="008516D1">
        <w:t>forces</w:t>
      </w:r>
      <w:r>
        <w:t xml:space="preserve"> </w:t>
      </w:r>
      <w:r w:rsidRPr="008516D1">
        <w:t>de</w:t>
      </w:r>
      <w:r>
        <w:t xml:space="preserve"> </w:t>
      </w:r>
      <w:r w:rsidRPr="008516D1">
        <w:t>l</w:t>
      </w:r>
      <w:r>
        <w:t>’</w:t>
      </w:r>
      <w:r w:rsidRPr="008516D1">
        <w:t>ordre,</w:t>
      </w:r>
      <w:r>
        <w:t xml:space="preserve"> </w:t>
      </w:r>
      <w:r w:rsidRPr="008516D1">
        <w:t>3</w:t>
      </w:r>
      <w:r w:rsidR="006B3441">
        <w:t> </w:t>
      </w:r>
      <w:r w:rsidRPr="008516D1">
        <w:t>371</w:t>
      </w:r>
      <w:r>
        <w:t xml:space="preserve"> </w:t>
      </w:r>
      <w:r w:rsidRPr="008516D1">
        <w:t>fonctionnaires</w:t>
      </w:r>
      <w:r>
        <w:t xml:space="preserve"> </w:t>
      </w:r>
      <w:r w:rsidRPr="008516D1">
        <w:t>et</w:t>
      </w:r>
      <w:r>
        <w:t xml:space="preserve"> </w:t>
      </w:r>
      <w:r w:rsidRPr="008516D1">
        <w:t>500</w:t>
      </w:r>
      <w:r w:rsidR="006B3441">
        <w:t> </w:t>
      </w:r>
      <w:r w:rsidRPr="008516D1">
        <w:t>personnes</w:t>
      </w:r>
      <w:r>
        <w:t xml:space="preserve"> </w:t>
      </w:r>
      <w:r w:rsidRPr="008516D1">
        <w:t>privées</w:t>
      </w:r>
      <w:r>
        <w:t xml:space="preserve"> </w:t>
      </w:r>
      <w:r w:rsidRPr="008516D1">
        <w:t>de</w:t>
      </w:r>
      <w:r>
        <w:t xml:space="preserve"> </w:t>
      </w:r>
      <w:r w:rsidRPr="008516D1">
        <w:t>liberté.</w:t>
      </w:r>
    </w:p>
    <w:p w14:paraId="40725EBB" w14:textId="66394064" w:rsidR="00286956" w:rsidRPr="008516D1" w:rsidRDefault="00286956" w:rsidP="00286956">
      <w:pPr>
        <w:pStyle w:val="SingleTxtG"/>
      </w:pPr>
      <w:r w:rsidRPr="008516D1">
        <w:t>172.</w:t>
      </w:r>
      <w:r w:rsidRPr="008516D1">
        <w:tab/>
        <w:t>Il</w:t>
      </w:r>
      <w:r>
        <w:t xml:space="preserve"> </w:t>
      </w:r>
      <w:r w:rsidRPr="008516D1">
        <w:t>est</w:t>
      </w:r>
      <w:r>
        <w:t xml:space="preserve"> </w:t>
      </w:r>
      <w:r w:rsidRPr="008516D1">
        <w:t>important</w:t>
      </w:r>
      <w:r>
        <w:t xml:space="preserve"> </w:t>
      </w:r>
      <w:r w:rsidRPr="008516D1">
        <w:t>de</w:t>
      </w:r>
      <w:r>
        <w:t xml:space="preserve"> </w:t>
      </w:r>
      <w:r w:rsidRPr="008516D1">
        <w:t>souligner</w:t>
      </w:r>
      <w:r>
        <w:t xml:space="preserve"> </w:t>
      </w:r>
      <w:r w:rsidRPr="008516D1">
        <w:t>que</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inclus</w:t>
      </w:r>
      <w:r>
        <w:t xml:space="preserve"> </w:t>
      </w:r>
      <w:r w:rsidRPr="008516D1">
        <w:t>des</w:t>
      </w:r>
      <w:r>
        <w:t xml:space="preserve"> </w:t>
      </w:r>
      <w:r w:rsidRPr="008516D1">
        <w:t>contenus</w:t>
      </w:r>
      <w:r>
        <w:t xml:space="preserve"> </w:t>
      </w:r>
      <w:r w:rsidRPr="008516D1">
        <w:t>portant</w:t>
      </w:r>
      <w:r>
        <w:t xml:space="preserve"> </w:t>
      </w:r>
      <w:r w:rsidRPr="008516D1">
        <w:t>notamment</w:t>
      </w:r>
      <w:r>
        <w:t xml:space="preserve"> </w:t>
      </w:r>
      <w:r w:rsidRPr="008516D1">
        <w:t>sur</w:t>
      </w:r>
      <w:r>
        <w:t xml:space="preserve"> </w:t>
      </w:r>
      <w:r w:rsidRPr="008516D1">
        <w:t>les</w:t>
      </w:r>
      <w:r>
        <w:t xml:space="preserve"> </w:t>
      </w:r>
      <w:r w:rsidRPr="008516D1">
        <w:t>disparitions</w:t>
      </w:r>
      <w:r>
        <w:t xml:space="preserve"> </w:t>
      </w:r>
      <w:r w:rsidRPr="008516D1">
        <w:t>forcées</w:t>
      </w:r>
      <w:r>
        <w:t xml:space="preserve"> </w:t>
      </w:r>
      <w:r w:rsidRPr="008516D1">
        <w:t>et</w:t>
      </w:r>
      <w:r>
        <w:t xml:space="preserve"> </w:t>
      </w:r>
      <w:r w:rsidRPr="008516D1">
        <w:t>les</w:t>
      </w:r>
      <w:r>
        <w:t xml:space="preserve"> </w:t>
      </w:r>
      <w:r w:rsidRPr="008516D1">
        <w:t>exécutions</w:t>
      </w:r>
      <w:r>
        <w:t xml:space="preserve"> </w:t>
      </w:r>
      <w:r w:rsidRPr="008516D1">
        <w:t>extrajudiciaires</w:t>
      </w:r>
      <w:r>
        <w:t xml:space="preserve"> </w:t>
      </w:r>
      <w:r w:rsidRPr="008516D1">
        <w:t>dans</w:t>
      </w:r>
      <w:r>
        <w:t xml:space="preserve"> </w:t>
      </w:r>
      <w:r w:rsidRPr="008516D1">
        <w:t>le</w:t>
      </w:r>
      <w:r>
        <w:t xml:space="preserve"> </w:t>
      </w:r>
      <w:r w:rsidRPr="008516D1">
        <w:t>programme</w:t>
      </w:r>
      <w:r>
        <w:t xml:space="preserve"> </w:t>
      </w:r>
      <w:r w:rsidRPr="008516D1">
        <w:t>des</w:t>
      </w:r>
      <w:r>
        <w:t xml:space="preserve"> </w:t>
      </w:r>
      <w:r w:rsidRPr="008516D1">
        <w:t>formations</w:t>
      </w:r>
      <w:r>
        <w:t xml:space="preserve"> </w:t>
      </w:r>
      <w:r w:rsidRPr="008516D1">
        <w:t>suivantes</w:t>
      </w:r>
      <w:r>
        <w:t xml:space="preserve"> : </w:t>
      </w:r>
      <w:r w:rsidRPr="008516D1">
        <w:t>Formation</w:t>
      </w:r>
      <w:r>
        <w:t xml:space="preserve"> </w:t>
      </w:r>
      <w:r w:rsidRPr="008516D1">
        <w:t>de</w:t>
      </w:r>
      <w:r>
        <w:t xml:space="preserve"> </w:t>
      </w:r>
      <w:r w:rsidRPr="008516D1">
        <w:t>base</w:t>
      </w:r>
      <w:r>
        <w:t xml:space="preserve"> </w:t>
      </w:r>
      <w:r w:rsidRPr="008516D1">
        <w:t>des</w:t>
      </w:r>
      <w:r>
        <w:t xml:space="preserve"> </w:t>
      </w:r>
      <w:r w:rsidRPr="008516D1">
        <w:t>aspirants</w:t>
      </w:r>
      <w:r>
        <w:t xml:space="preserve"> </w:t>
      </w:r>
      <w:r w:rsidRPr="008516D1">
        <w:t>de</w:t>
      </w:r>
      <w:r>
        <w:t xml:space="preserve"> </w:t>
      </w:r>
      <w:r w:rsidRPr="008516D1">
        <w:t>la</w:t>
      </w:r>
      <w:r>
        <w:t xml:space="preserve"> </w:t>
      </w:r>
      <w:r w:rsidRPr="008516D1">
        <w:t>police</w:t>
      </w:r>
      <w:r>
        <w:t xml:space="preserve"> </w:t>
      </w:r>
      <w:r w:rsidRPr="008516D1">
        <w:t>militaire</w:t>
      </w:r>
      <w:r>
        <w:t xml:space="preserve"> </w:t>
      </w:r>
      <w:r w:rsidRPr="008516D1">
        <w:t>chargée</w:t>
      </w:r>
      <w:r>
        <w:t xml:space="preserve"> </w:t>
      </w:r>
      <w:r w:rsidRPr="008516D1">
        <w:t>du</w:t>
      </w:r>
      <w:r>
        <w:t xml:space="preserve"> </w:t>
      </w:r>
      <w:r w:rsidRPr="008516D1">
        <w:t>maintien</w:t>
      </w:r>
      <w:r>
        <w:t xml:space="preserve"> </w:t>
      </w:r>
      <w:r w:rsidRPr="008516D1">
        <w:t>de</w:t>
      </w:r>
      <w:r>
        <w:t xml:space="preserve"> </w:t>
      </w:r>
      <w:r w:rsidRPr="008516D1">
        <w:t>l</w:t>
      </w:r>
      <w:r>
        <w:t>’</w:t>
      </w:r>
      <w:r w:rsidRPr="008516D1">
        <w:t>ordre</w:t>
      </w:r>
      <w:r>
        <w:t xml:space="preserve"> ; </w:t>
      </w:r>
      <w:r w:rsidRPr="008516D1">
        <w:t>Formation</w:t>
      </w:r>
      <w:r>
        <w:t xml:space="preserve"> </w:t>
      </w:r>
      <w:r w:rsidRPr="008516D1">
        <w:t>des</w:t>
      </w:r>
      <w:r>
        <w:t xml:space="preserve"> </w:t>
      </w:r>
      <w:r w:rsidRPr="008516D1">
        <w:t>formateurs</w:t>
      </w:r>
      <w:r>
        <w:t xml:space="preserve"> </w:t>
      </w:r>
      <w:r w:rsidRPr="008516D1">
        <w:t>des</w:t>
      </w:r>
      <w:r>
        <w:t xml:space="preserve"> </w:t>
      </w:r>
      <w:r w:rsidRPr="008516D1">
        <w:t>forces</w:t>
      </w:r>
      <w:r>
        <w:t xml:space="preserve"> </w:t>
      </w:r>
      <w:r w:rsidRPr="008516D1">
        <w:t>armées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 </w:t>
      </w:r>
      <w:r w:rsidRPr="008516D1">
        <w:t>Formation</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dispensée</w:t>
      </w:r>
      <w:r>
        <w:t xml:space="preserve"> </w:t>
      </w:r>
      <w:r w:rsidRPr="008516D1">
        <w:t>par</w:t>
      </w:r>
      <w:r>
        <w:t xml:space="preserve"> </w:t>
      </w:r>
      <w:r w:rsidRPr="008516D1">
        <w:t>le</w:t>
      </w:r>
      <w:r>
        <w:t xml:space="preserve"> </w:t>
      </w:r>
      <w:r w:rsidRPr="008516D1">
        <w:t>Centre</w:t>
      </w:r>
      <w:r>
        <w:t xml:space="preserve"> </w:t>
      </w:r>
      <w:r w:rsidRPr="008516D1">
        <w:t>d</w:t>
      </w:r>
      <w:r>
        <w:t>’</w:t>
      </w:r>
      <w:r w:rsidRPr="008516D1">
        <w:t>entraînement</w:t>
      </w:r>
      <w:r>
        <w:t xml:space="preserve"> </w:t>
      </w:r>
      <w:r w:rsidRPr="008516D1">
        <w:lastRenderedPageBreak/>
        <w:t>militaire</w:t>
      </w:r>
      <w:r>
        <w:t xml:space="preserve"> </w:t>
      </w:r>
      <w:r w:rsidRPr="008516D1">
        <w:t>de</w:t>
      </w:r>
      <w:r>
        <w:t xml:space="preserve"> </w:t>
      </w:r>
      <w:r w:rsidRPr="008516D1">
        <w:t>l</w:t>
      </w:r>
      <w:r>
        <w:t>’</w:t>
      </w:r>
      <w:r w:rsidRPr="008516D1">
        <w:t>armée</w:t>
      </w:r>
      <w:r>
        <w:t xml:space="preserve"> ; </w:t>
      </w:r>
      <w:r w:rsidRPr="008516D1">
        <w:t>et</w:t>
      </w:r>
      <w:r>
        <w:t xml:space="preserve"> </w:t>
      </w:r>
      <w:r w:rsidRPr="008516D1">
        <w:t>Formation</w:t>
      </w:r>
      <w:r>
        <w:t xml:space="preserve"> </w:t>
      </w:r>
      <w:r w:rsidRPr="008516D1">
        <w:t>des</w:t>
      </w:r>
      <w:r>
        <w:t xml:space="preserve"> </w:t>
      </w:r>
      <w:r w:rsidRPr="008516D1">
        <w:t>formateurs</w:t>
      </w:r>
      <w:r>
        <w:t xml:space="preserve"> </w:t>
      </w:r>
      <w:r w:rsidRPr="008516D1">
        <w:t>des</w:t>
      </w:r>
      <w:r>
        <w:t xml:space="preserve"> </w:t>
      </w:r>
      <w:r w:rsidRPr="008516D1">
        <w:t>fonctionnaires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Ces</w:t>
      </w:r>
      <w:r>
        <w:t xml:space="preserve"> </w:t>
      </w:r>
      <w:r w:rsidRPr="008516D1">
        <w:t>formations</w:t>
      </w:r>
      <w:r>
        <w:t xml:space="preserve"> </w:t>
      </w:r>
      <w:r w:rsidRPr="008516D1">
        <w:t>sont</w:t>
      </w:r>
      <w:r>
        <w:t xml:space="preserve"> </w:t>
      </w:r>
      <w:r w:rsidRPr="008516D1">
        <w:t>dispensées</w:t>
      </w:r>
      <w:r>
        <w:t xml:space="preserve"> </w:t>
      </w:r>
      <w:r w:rsidRPr="008516D1">
        <w:t>pour</w:t>
      </w:r>
      <w:r>
        <w:t xml:space="preserve"> </w:t>
      </w:r>
      <w:r w:rsidRPr="008516D1">
        <w:t>donner</w:t>
      </w:r>
      <w:r>
        <w:t xml:space="preserve"> </w:t>
      </w:r>
      <w:r w:rsidRPr="008516D1">
        <w:t>suite</w:t>
      </w:r>
      <w:r>
        <w:t xml:space="preserve"> </w:t>
      </w:r>
      <w:r w:rsidRPr="008516D1">
        <w:t>aux</w:t>
      </w:r>
      <w:r>
        <w:t xml:space="preserve"> </w:t>
      </w:r>
      <w:r w:rsidRPr="008516D1">
        <w:t>recommandations</w:t>
      </w:r>
      <w:r>
        <w:t xml:space="preserve"> </w:t>
      </w:r>
      <w:r w:rsidRPr="008516D1">
        <w:t>et</w:t>
      </w:r>
      <w:r>
        <w:t xml:space="preserve"> </w:t>
      </w:r>
      <w:r w:rsidRPr="008516D1">
        <w:t>observations</w:t>
      </w:r>
      <w:r>
        <w:t xml:space="preserve"> </w:t>
      </w:r>
      <w:r w:rsidRPr="008516D1">
        <w:t>concernant</w:t>
      </w:r>
      <w:r>
        <w:t xml:space="preserve"> </w:t>
      </w:r>
      <w:r w:rsidRPr="008516D1">
        <w:t>la</w:t>
      </w:r>
      <w:r>
        <w:t xml:space="preserve"> </w:t>
      </w:r>
      <w:r w:rsidRPr="008516D1">
        <w:t>formation</w:t>
      </w:r>
      <w:r>
        <w:t xml:space="preserve"> </w:t>
      </w:r>
      <w:r w:rsidRPr="008516D1">
        <w:t>et</w:t>
      </w:r>
      <w:r>
        <w:t xml:space="preserve"> </w:t>
      </w:r>
      <w:r w:rsidRPr="008516D1">
        <w:t>l</w:t>
      </w:r>
      <w:r>
        <w:t>’</w:t>
      </w:r>
      <w:r w:rsidRPr="008516D1">
        <w:t>éducation.</w:t>
      </w:r>
      <w:r>
        <w:t xml:space="preserve"> </w:t>
      </w:r>
      <w:r w:rsidRPr="008516D1">
        <w:t>Elles</w:t>
      </w:r>
      <w:r>
        <w:t xml:space="preserve"> </w:t>
      </w:r>
      <w:r w:rsidRPr="008516D1">
        <w:t>abordent</w:t>
      </w:r>
      <w:r>
        <w:t xml:space="preserve"> </w:t>
      </w:r>
      <w:r w:rsidRPr="008516D1">
        <w:t>notamment</w:t>
      </w:r>
      <w:r>
        <w:t xml:space="preserve"> </w:t>
      </w:r>
      <w:r w:rsidRPr="008516D1">
        <w:t>la</w:t>
      </w:r>
      <w:r>
        <w:t xml:space="preserve"> </w:t>
      </w:r>
      <w:r w:rsidRPr="008516D1">
        <w:t>prévention</w:t>
      </w:r>
      <w:r>
        <w:t xml:space="preserve"> </w:t>
      </w:r>
      <w:r w:rsidRPr="008516D1">
        <w:t>des</w:t>
      </w:r>
      <w:r>
        <w:t xml:space="preserve"> </w:t>
      </w:r>
      <w:r w:rsidRPr="008516D1">
        <w:t>crimes</w:t>
      </w:r>
      <w:r>
        <w:t xml:space="preserve"> </w:t>
      </w:r>
      <w:r w:rsidRPr="008516D1">
        <w:t>contre</w:t>
      </w:r>
      <w:r>
        <w:t xml:space="preserve"> </w:t>
      </w:r>
      <w:r w:rsidRPr="008516D1">
        <w:t>l</w:t>
      </w:r>
      <w:r>
        <w:t>’</w:t>
      </w:r>
      <w:r w:rsidRPr="008516D1">
        <w:t>humanité,</w:t>
      </w:r>
      <w:r>
        <w:t xml:space="preserve"> </w:t>
      </w:r>
      <w:r w:rsidRPr="008516D1">
        <w:t>des</w:t>
      </w:r>
      <w:r>
        <w:t xml:space="preserve"> </w:t>
      </w:r>
      <w:r w:rsidRPr="008516D1">
        <w:t>disparitions</w:t>
      </w:r>
      <w:r>
        <w:t xml:space="preserve"> </w:t>
      </w:r>
      <w:r w:rsidRPr="008516D1">
        <w:t>forcées,</w:t>
      </w:r>
      <w:r>
        <w:t xml:space="preserve"> </w:t>
      </w:r>
      <w:r w:rsidRPr="008516D1">
        <w:t>de</w:t>
      </w:r>
      <w:r>
        <w:t xml:space="preserve"> </w:t>
      </w:r>
      <w:r w:rsidRPr="008516D1">
        <w:t>la</w:t>
      </w:r>
      <w:r>
        <w:t xml:space="preserve"> </w:t>
      </w:r>
      <w:r w:rsidRPr="008516D1">
        <w:t>torture,</w:t>
      </w:r>
      <w:r>
        <w:t xml:space="preserve"> </w:t>
      </w:r>
      <w:r w:rsidRPr="008516D1">
        <w:t>des</w:t>
      </w:r>
      <w:r>
        <w:t xml:space="preserve"> </w:t>
      </w:r>
      <w:r w:rsidRPr="008516D1">
        <w:t>exécutions</w:t>
      </w:r>
      <w:r>
        <w:t xml:space="preserve"> </w:t>
      </w:r>
      <w:r w:rsidRPr="008516D1">
        <w:t>extrajudiciaires</w:t>
      </w:r>
      <w:r>
        <w:t xml:space="preserve"> </w:t>
      </w:r>
      <w:r w:rsidRPr="008516D1">
        <w:t>et</w:t>
      </w:r>
      <w:r>
        <w:t xml:space="preserve"> </w:t>
      </w:r>
      <w:r w:rsidRPr="008516D1">
        <w:t>l</w:t>
      </w:r>
      <w:r>
        <w:t>’</w:t>
      </w:r>
      <w:r w:rsidRPr="008516D1">
        <w:t>usage</w:t>
      </w:r>
      <w:r>
        <w:t xml:space="preserve"> </w:t>
      </w:r>
      <w:r w:rsidRPr="008516D1">
        <w:t>de</w:t>
      </w:r>
      <w:r>
        <w:t xml:space="preserve"> </w:t>
      </w:r>
      <w:r w:rsidRPr="008516D1">
        <w:t>la</w:t>
      </w:r>
      <w:r>
        <w:t xml:space="preserve"> </w:t>
      </w:r>
      <w:r w:rsidRPr="008516D1">
        <w:t>force,</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35</w:t>
      </w:r>
      <w:r>
        <w:t xml:space="preserve"> </w:t>
      </w:r>
      <w:r w:rsidRPr="008516D1">
        <w:t>des</w:t>
      </w:r>
      <w:r>
        <w:t xml:space="preserve"> </w:t>
      </w:r>
      <w:r w:rsidRPr="008516D1">
        <w:t>observations</w:t>
      </w:r>
      <w:r>
        <w:t xml:space="preserve"> </w:t>
      </w:r>
      <w:r w:rsidRPr="008516D1">
        <w:t>finales</w:t>
      </w:r>
      <w:r>
        <w:t xml:space="preserve"> </w:t>
      </w:r>
      <w:r w:rsidRPr="008516D1">
        <w:t>du</w:t>
      </w:r>
      <w:r>
        <w:t xml:space="preserve"> </w:t>
      </w:r>
      <w:r w:rsidRPr="008516D1">
        <w:t>Comité.</w:t>
      </w:r>
    </w:p>
    <w:p w14:paraId="7EA8F788" w14:textId="7109625D" w:rsidR="00286956" w:rsidRPr="008516D1" w:rsidRDefault="00286956" w:rsidP="00286956">
      <w:pPr>
        <w:pStyle w:val="SingleTxtG"/>
      </w:pPr>
      <w:r w:rsidRPr="008516D1">
        <w:t>173.</w:t>
      </w:r>
      <w:r w:rsidRPr="008516D1">
        <w:tab/>
        <w:t>Afin</w:t>
      </w:r>
      <w:r>
        <w:t xml:space="preserve"> </w:t>
      </w:r>
      <w:r w:rsidRPr="008516D1">
        <w:t>de</w:t>
      </w:r>
      <w:r>
        <w:t xml:space="preserve"> </w:t>
      </w:r>
      <w:r w:rsidRPr="008516D1">
        <w:t>renforcer</w:t>
      </w:r>
      <w:r>
        <w:t xml:space="preserve"> </w:t>
      </w:r>
      <w:r w:rsidRPr="008516D1">
        <w:t>le</w:t>
      </w:r>
      <w:r>
        <w:t xml:space="preserve"> </w:t>
      </w:r>
      <w:r w:rsidRPr="008516D1">
        <w:t>contrôle</w:t>
      </w:r>
      <w:r>
        <w:t xml:space="preserve"> </w:t>
      </w:r>
      <w:r w:rsidRPr="008516D1">
        <w:t>de</w:t>
      </w:r>
      <w:r>
        <w:t xml:space="preserve"> </w:t>
      </w:r>
      <w:r w:rsidRPr="008516D1">
        <w:t>conventionnalité,</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formé,</w:t>
      </w:r>
      <w:r>
        <w:t xml:space="preserve"> </w:t>
      </w:r>
      <w:r w:rsidRPr="008516D1">
        <w:t>entre</w:t>
      </w:r>
      <w:r>
        <w:t xml:space="preserve"> </w:t>
      </w:r>
      <w:r w:rsidRPr="008516D1">
        <w:t>2018</w:t>
      </w:r>
      <w:r>
        <w:t xml:space="preserve"> </w:t>
      </w:r>
      <w:r w:rsidRPr="008516D1">
        <w:t>et</w:t>
      </w:r>
      <w:r>
        <w:t xml:space="preserve"> </w:t>
      </w:r>
      <w:r w:rsidRPr="008516D1">
        <w:t>mai</w:t>
      </w:r>
      <w:r>
        <w:t xml:space="preserve"> </w:t>
      </w:r>
      <w:r w:rsidRPr="008516D1">
        <w:t>2021,</w:t>
      </w:r>
      <w:r>
        <w:t xml:space="preserve"> </w:t>
      </w:r>
      <w:r w:rsidRPr="008516D1">
        <w:t>259</w:t>
      </w:r>
      <w:r w:rsidR="006B3441">
        <w:t> </w:t>
      </w:r>
      <w:r w:rsidRPr="008516D1">
        <w:t>fonctionnaires,</w:t>
      </w:r>
      <w:r>
        <w:t xml:space="preserve"> </w:t>
      </w:r>
      <w:r w:rsidRPr="008516D1">
        <w:t>dont</w:t>
      </w:r>
      <w:r>
        <w:t xml:space="preserve"> </w:t>
      </w:r>
      <w:r w:rsidRPr="008516D1">
        <w:t>89</w:t>
      </w:r>
      <w:r w:rsidR="006B3441">
        <w:t> </w:t>
      </w:r>
      <w:r w:rsidRPr="008516D1">
        <w:t>agents</w:t>
      </w:r>
      <w:r>
        <w:t xml:space="preserve"> </w:t>
      </w:r>
      <w:r w:rsidRPr="008516D1">
        <w:t>du</w:t>
      </w:r>
      <w:r>
        <w:t xml:space="preserve"> </w:t>
      </w:r>
      <w:r w:rsidRPr="008516D1">
        <w:t>système</w:t>
      </w:r>
      <w:r>
        <w:t xml:space="preserve"> </w:t>
      </w:r>
      <w:r w:rsidRPr="008516D1">
        <w:t>judiciaire</w:t>
      </w:r>
      <w:r>
        <w:t xml:space="preserve"> </w:t>
      </w:r>
      <w:r w:rsidRPr="008516D1">
        <w:t>et</w:t>
      </w:r>
      <w:r>
        <w:t xml:space="preserve"> </w:t>
      </w:r>
      <w:r w:rsidRPr="008516D1">
        <w:t>42</w:t>
      </w:r>
      <w:r w:rsidR="006B3441">
        <w:t> </w:t>
      </w:r>
      <w:r w:rsidRPr="008516D1">
        <w:t>membres</w:t>
      </w:r>
      <w:r>
        <w:t xml:space="preserve"> </w:t>
      </w:r>
      <w:r w:rsidRPr="008516D1">
        <w:t>des</w:t>
      </w:r>
      <w:r>
        <w:t xml:space="preserve"> </w:t>
      </w:r>
      <w:r w:rsidRPr="008516D1">
        <w:t>forces</w:t>
      </w:r>
      <w:r>
        <w:t xml:space="preserve"> </w:t>
      </w:r>
      <w:r w:rsidRPr="008516D1">
        <w:t>armées,</w:t>
      </w:r>
      <w:r>
        <w:t xml:space="preserve"> </w:t>
      </w:r>
      <w:r w:rsidRPr="008516D1">
        <w:t>afin</w:t>
      </w:r>
      <w:r>
        <w:t xml:space="preserve"> </w:t>
      </w:r>
      <w:r w:rsidRPr="008516D1">
        <w:t>qu</w:t>
      </w:r>
      <w:r>
        <w:t>’</w:t>
      </w:r>
      <w:r w:rsidRPr="008516D1">
        <w:t>ils</w:t>
      </w:r>
      <w:r>
        <w:t xml:space="preserve"> </w:t>
      </w:r>
      <w:r w:rsidRPr="008516D1">
        <w:t>mettent</w:t>
      </w:r>
      <w:r>
        <w:t xml:space="preserve"> </w:t>
      </w:r>
      <w:r w:rsidRPr="008516D1">
        <w:t>en</w:t>
      </w:r>
      <w:r>
        <w:t xml:space="preserve"> </w:t>
      </w:r>
      <w:r w:rsidRPr="008516D1">
        <w:t>œuvre</w:t>
      </w:r>
      <w:r>
        <w:t xml:space="preserve"> </w:t>
      </w:r>
      <w:r w:rsidRPr="008516D1">
        <w:t>le</w:t>
      </w:r>
      <w:r>
        <w:t xml:space="preserve"> </w:t>
      </w:r>
      <w:r w:rsidRPr="008516D1">
        <w:t>contrôle</w:t>
      </w:r>
      <w:r>
        <w:t xml:space="preserve"> </w:t>
      </w:r>
      <w:r w:rsidRPr="008516D1">
        <w:t>de</w:t>
      </w:r>
      <w:r>
        <w:t xml:space="preserve"> </w:t>
      </w:r>
      <w:r w:rsidRPr="008516D1">
        <w:t>conventionnalité</w:t>
      </w:r>
      <w:r>
        <w:t xml:space="preserve"> </w:t>
      </w:r>
      <w:r w:rsidRPr="008516D1">
        <w:t>dans</w:t>
      </w:r>
      <w:r>
        <w:t xml:space="preserve"> </w:t>
      </w:r>
      <w:r w:rsidRPr="008516D1">
        <w:t>l</w:t>
      </w:r>
      <w:r>
        <w:t>’</w:t>
      </w:r>
      <w:r w:rsidRPr="008516D1">
        <w:t>exercice</w:t>
      </w:r>
      <w:r>
        <w:t xml:space="preserve"> </w:t>
      </w:r>
      <w:r w:rsidRPr="008516D1">
        <w:t>de</w:t>
      </w:r>
      <w:r>
        <w:t xml:space="preserve"> </w:t>
      </w:r>
      <w:r w:rsidRPr="008516D1">
        <w:t>leurs</w:t>
      </w:r>
      <w:r>
        <w:t xml:space="preserve"> </w:t>
      </w:r>
      <w:r w:rsidRPr="008516D1">
        <w:t>fonctions.</w:t>
      </w:r>
    </w:p>
    <w:p w14:paraId="332D272D" w14:textId="059138D0" w:rsidR="00286956" w:rsidRPr="008516D1" w:rsidRDefault="00286956" w:rsidP="00286956">
      <w:pPr>
        <w:pStyle w:val="SingleTxtG"/>
      </w:pPr>
      <w:r w:rsidRPr="008516D1">
        <w:t>174.</w:t>
      </w:r>
      <w:r w:rsidRPr="008516D1">
        <w:tab/>
        <w:t>Récemment,</w:t>
      </w:r>
      <w:r>
        <w:t xml:space="preserve"> </w:t>
      </w:r>
      <w:r w:rsidRPr="008516D1">
        <w:t>en</w:t>
      </w:r>
      <w:r>
        <w:t xml:space="preserve"> </w:t>
      </w:r>
      <w:r w:rsidRPr="008516D1">
        <w:t>collaboration</w:t>
      </w:r>
      <w:r>
        <w:t xml:space="preserve"> </w:t>
      </w:r>
      <w:r w:rsidRPr="008516D1">
        <w:t>avec</w:t>
      </w:r>
      <w:r>
        <w:t xml:space="preserve"> </w:t>
      </w:r>
      <w:r w:rsidRPr="008516D1">
        <w:t>la</w:t>
      </w:r>
      <w:r>
        <w:t xml:space="preserve"> </w:t>
      </w:r>
      <w:r w:rsidRPr="008516D1">
        <w:t>Fondation</w:t>
      </w:r>
      <w:r>
        <w:t xml:space="preserve"> </w:t>
      </w:r>
      <w:r w:rsidRPr="008516D1">
        <w:t>panaméricaine</w:t>
      </w:r>
      <w:r>
        <w:t xml:space="preserve"> </w:t>
      </w:r>
      <w:r w:rsidRPr="008516D1">
        <w:t>de</w:t>
      </w:r>
      <w:r>
        <w:t xml:space="preserve"> </w:t>
      </w:r>
      <w:r w:rsidRPr="008516D1">
        <w:t>développement,</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défini</w:t>
      </w:r>
      <w:r>
        <w:t xml:space="preserve"> </w:t>
      </w:r>
      <w:r w:rsidRPr="008516D1">
        <w:t>les</w:t>
      </w:r>
      <w:r>
        <w:t xml:space="preserve"> </w:t>
      </w:r>
      <w:r w:rsidRPr="008516D1">
        <w:t>axes</w:t>
      </w:r>
      <w:r>
        <w:t xml:space="preserve"> </w:t>
      </w:r>
      <w:r w:rsidRPr="008516D1">
        <w:t>de</w:t>
      </w:r>
      <w:r>
        <w:t xml:space="preserve"> </w:t>
      </w:r>
      <w:r w:rsidRPr="008516D1">
        <w:t>travail</w:t>
      </w:r>
      <w:r>
        <w:t xml:space="preserve"> </w:t>
      </w:r>
      <w:r w:rsidRPr="008516D1">
        <w:t>pour</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w:t>
      </w:r>
      <w:r>
        <w:t>’</w:t>
      </w:r>
      <w:r w:rsidRPr="008516D1">
        <w:t>un</w:t>
      </w:r>
      <w:r>
        <w:t xml:space="preserve"> </w:t>
      </w:r>
      <w:r w:rsidR="00255700">
        <w:t>p</w:t>
      </w:r>
      <w:r w:rsidRPr="008516D1">
        <w:t>lan</w:t>
      </w:r>
      <w:r>
        <w:t xml:space="preserve"> </w:t>
      </w:r>
      <w:r w:rsidRPr="008516D1">
        <w:t>de</w:t>
      </w:r>
      <w:r>
        <w:t xml:space="preserve"> </w:t>
      </w:r>
      <w:r w:rsidRPr="008516D1">
        <w:t>renforcement</w:t>
      </w:r>
      <w:r>
        <w:t xml:space="preserve"> </w:t>
      </w:r>
      <w:r w:rsidRPr="008516D1">
        <w:t>des</w:t>
      </w:r>
      <w:r>
        <w:t xml:space="preserve"> </w:t>
      </w:r>
      <w:r w:rsidRPr="008516D1">
        <w:t>capacités</w:t>
      </w:r>
      <w:r>
        <w:t xml:space="preserve"> </w:t>
      </w:r>
      <w:r w:rsidRPr="008516D1">
        <w:t>institutionnelles.</w:t>
      </w:r>
      <w:r>
        <w:t xml:space="preserve"> </w:t>
      </w:r>
      <w:r w:rsidRPr="008516D1">
        <w:t>À</w:t>
      </w:r>
      <w:r>
        <w:t xml:space="preserve"> </w:t>
      </w:r>
      <w:r w:rsidRPr="008516D1">
        <w:t>cet</w:t>
      </w:r>
      <w:r>
        <w:t xml:space="preserve"> </w:t>
      </w:r>
      <w:r w:rsidRPr="008516D1">
        <w:t>effet,</w:t>
      </w:r>
      <w:r>
        <w:t xml:space="preserve"> </w:t>
      </w:r>
      <w:r w:rsidRPr="008516D1">
        <w:t>une</w:t>
      </w:r>
      <w:r>
        <w:t xml:space="preserve"> </w:t>
      </w:r>
      <w:r w:rsidRPr="008516D1">
        <w:t>formation</w:t>
      </w:r>
      <w:r>
        <w:t xml:space="preserve"> </w:t>
      </w:r>
      <w:r w:rsidRPr="008516D1">
        <w:t>à</w:t>
      </w:r>
      <w:r>
        <w:t xml:space="preserve"> </w:t>
      </w:r>
      <w:r w:rsidRPr="008516D1">
        <w:t>distance</w:t>
      </w:r>
      <w:r>
        <w:t xml:space="preserve"> </w:t>
      </w:r>
      <w:r w:rsidRPr="008516D1">
        <w:t>de</w:t>
      </w:r>
      <w:r>
        <w:t xml:space="preserve"> </w:t>
      </w:r>
      <w:r w:rsidR="006B3441">
        <w:t xml:space="preserve">trente-cinq </w:t>
      </w:r>
      <w:r w:rsidRPr="008516D1">
        <w:t>heures</w:t>
      </w:r>
      <w:r>
        <w:t xml:space="preserve"> </w:t>
      </w:r>
      <w:r w:rsidRPr="008516D1">
        <w:t>est</w:t>
      </w:r>
      <w:r>
        <w:t xml:space="preserve"> </w:t>
      </w:r>
      <w:r w:rsidRPr="008516D1">
        <w:t>mise</w:t>
      </w:r>
      <w:r>
        <w:t xml:space="preserve"> </w:t>
      </w:r>
      <w:r w:rsidRPr="008516D1">
        <w:t>en</w:t>
      </w:r>
      <w:r>
        <w:t xml:space="preserve"> </w:t>
      </w:r>
      <w:r w:rsidRPr="008516D1">
        <w:t>place</w:t>
      </w:r>
      <w:r>
        <w:t xml:space="preserve"> </w:t>
      </w:r>
      <w:r w:rsidRPr="008516D1">
        <w:t>dans</w:t>
      </w:r>
      <w:r>
        <w:t xml:space="preserve"> </w:t>
      </w:r>
      <w:r w:rsidRPr="008516D1">
        <w:t>le</w:t>
      </w:r>
      <w:r>
        <w:t xml:space="preserve"> </w:t>
      </w:r>
      <w:r w:rsidRPr="008516D1">
        <w:t>but</w:t>
      </w:r>
      <w:r>
        <w:t xml:space="preserve"> </w:t>
      </w:r>
      <w:r w:rsidRPr="008516D1">
        <w:t>de</w:t>
      </w:r>
      <w:r>
        <w:t xml:space="preserve"> </w:t>
      </w:r>
      <w:r w:rsidRPr="008516D1">
        <w:t>renforcer</w:t>
      </w:r>
      <w:r>
        <w:t xml:space="preserve"> </w:t>
      </w:r>
      <w:r w:rsidRPr="008516D1">
        <w:t>les</w:t>
      </w:r>
      <w:r>
        <w:t xml:space="preserve"> </w:t>
      </w:r>
      <w:r w:rsidRPr="008516D1">
        <w:t>connaissances,</w:t>
      </w:r>
      <w:r>
        <w:t xml:space="preserve"> </w:t>
      </w:r>
      <w:r w:rsidRPr="008516D1">
        <w:t>les</w:t>
      </w:r>
      <w:r>
        <w:t xml:space="preserve"> </w:t>
      </w:r>
      <w:r w:rsidRPr="008516D1">
        <w:t>compétences</w:t>
      </w:r>
      <w:r>
        <w:t xml:space="preserve"> </w:t>
      </w:r>
      <w:r w:rsidRPr="008516D1">
        <w:t>et</w:t>
      </w:r>
      <w:r>
        <w:t xml:space="preserve"> </w:t>
      </w:r>
      <w:r w:rsidRPr="008516D1">
        <w:t>les</w:t>
      </w:r>
      <w:r>
        <w:t xml:space="preserve"> </w:t>
      </w:r>
      <w:r w:rsidRPr="008516D1">
        <w:t>outils</w:t>
      </w:r>
      <w:r>
        <w:t xml:space="preserve"> </w:t>
      </w:r>
      <w:r w:rsidRPr="008516D1">
        <w:t>des</w:t>
      </w:r>
      <w:r>
        <w:t xml:space="preserve"> </w:t>
      </w:r>
      <w:r w:rsidRPr="008516D1">
        <w:t>fonctionnaires</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concernant</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la</w:t>
      </w:r>
      <w:r>
        <w:t xml:space="preserve"> </w:t>
      </w:r>
      <w:r w:rsidRPr="008516D1">
        <w:t>prévention</w:t>
      </w:r>
      <w:r>
        <w:t xml:space="preserve"> </w:t>
      </w:r>
      <w:r w:rsidRPr="008516D1">
        <w:t>de</w:t>
      </w:r>
      <w:r>
        <w:t xml:space="preserve"> </w:t>
      </w:r>
      <w:r w:rsidRPr="008516D1">
        <w:t>la</w:t>
      </w:r>
      <w:r>
        <w:t xml:space="preserve"> </w:t>
      </w:r>
      <w:r w:rsidRPr="008516D1">
        <w:t>discrimination,</w:t>
      </w:r>
      <w:r>
        <w:t xml:space="preserve"> </w:t>
      </w:r>
      <w:r w:rsidRPr="008516D1">
        <w:t>les</w:t>
      </w:r>
      <w:r>
        <w:t xml:space="preserve"> </w:t>
      </w:r>
      <w:r w:rsidRPr="008516D1">
        <w:t>droits</w:t>
      </w:r>
      <w:r>
        <w:t xml:space="preserve"> </w:t>
      </w:r>
      <w:r w:rsidRPr="008516D1">
        <w:t>des</w:t>
      </w:r>
      <w:r>
        <w:t xml:space="preserve"> </w:t>
      </w:r>
      <w:r w:rsidRPr="008516D1">
        <w:t>travailleurs</w:t>
      </w:r>
      <w:r>
        <w:t xml:space="preserve"> </w:t>
      </w:r>
      <w:r w:rsidRPr="008516D1">
        <w:t>et</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dans</w:t>
      </w:r>
      <w:r>
        <w:t xml:space="preserve"> </w:t>
      </w:r>
      <w:r w:rsidRPr="008516D1">
        <w:t>l</w:t>
      </w:r>
      <w:r>
        <w:t>’</w:t>
      </w:r>
      <w:r w:rsidRPr="008516D1">
        <w:t>entreprise.</w:t>
      </w:r>
    </w:p>
    <w:p w14:paraId="6644AC1B" w14:textId="77777777" w:rsidR="00286956" w:rsidRPr="008516D1" w:rsidRDefault="00286956" w:rsidP="00286956">
      <w:pPr>
        <w:pStyle w:val="SingleTxtG"/>
      </w:pPr>
      <w:r w:rsidRPr="008516D1">
        <w:t>175.</w:t>
      </w:r>
      <w:r w:rsidRPr="008516D1">
        <w:tab/>
        <w:t>En</w:t>
      </w:r>
      <w:r>
        <w:t xml:space="preserve"> </w:t>
      </w:r>
      <w:r w:rsidRPr="008516D1">
        <w:t>2020,</w:t>
      </w:r>
      <w:r>
        <w:t xml:space="preserve"> </w:t>
      </w:r>
      <w:r w:rsidRPr="008516D1">
        <w:t>en</w:t>
      </w:r>
      <w:r>
        <w:t xml:space="preserve"> </w:t>
      </w:r>
      <w:r w:rsidRPr="008516D1">
        <w:t>raison</w:t>
      </w:r>
      <w:r>
        <w:t xml:space="preserve"> </w:t>
      </w:r>
      <w:r w:rsidRPr="008516D1">
        <w:t>de</w:t>
      </w:r>
      <w:r>
        <w:t xml:space="preserve"> </w:t>
      </w:r>
      <w:r w:rsidRPr="008516D1">
        <w:t>la</w:t>
      </w:r>
      <w:r>
        <w:t xml:space="preserve"> </w:t>
      </w:r>
      <w:r w:rsidRPr="008516D1">
        <w:t>pandémie</w:t>
      </w:r>
      <w:r>
        <w:t xml:space="preserve"> </w:t>
      </w:r>
      <w:r w:rsidRPr="008516D1">
        <w:t>de</w:t>
      </w:r>
      <w:r>
        <w:t xml:space="preserve"> </w:t>
      </w:r>
      <w:r w:rsidRPr="008516D1">
        <w:t>COVID-19,</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w:t>
      </w:r>
      <w:r>
        <w:t xml:space="preserve"> </w:t>
      </w:r>
      <w:r w:rsidRPr="008516D1">
        <w:t>privilégié</w:t>
      </w:r>
      <w:r>
        <w:t xml:space="preserve"> </w:t>
      </w:r>
      <w:r w:rsidRPr="008516D1">
        <w:t>l</w:t>
      </w:r>
      <w:r>
        <w:t>’</w:t>
      </w:r>
      <w:r w:rsidRPr="008516D1">
        <w:t>offre</w:t>
      </w:r>
      <w:r>
        <w:t xml:space="preserve"> </w:t>
      </w:r>
      <w:r w:rsidRPr="008516D1">
        <w:t>de</w:t>
      </w:r>
      <w:r>
        <w:t xml:space="preserve"> </w:t>
      </w:r>
      <w:r w:rsidRPr="008516D1">
        <w:t>formation</w:t>
      </w:r>
      <w:r>
        <w:t xml:space="preserve"> </w:t>
      </w:r>
      <w:r w:rsidRPr="008516D1">
        <w:t>en</w:t>
      </w:r>
      <w:r>
        <w:t xml:space="preserve"> </w:t>
      </w:r>
      <w:r w:rsidRPr="008516D1">
        <w:t>ligne,</w:t>
      </w:r>
      <w:r>
        <w:t xml:space="preserve"> </w:t>
      </w:r>
      <w:r w:rsidRPr="008516D1">
        <w:t>par</w:t>
      </w:r>
      <w:r>
        <w:t xml:space="preserve"> </w:t>
      </w:r>
      <w:r w:rsidRPr="008516D1">
        <w:t>la</w:t>
      </w:r>
      <w:r>
        <w:t xml:space="preserve"> </w:t>
      </w:r>
      <w:r w:rsidRPr="008516D1">
        <w:t>mise</w:t>
      </w:r>
      <w:r>
        <w:t xml:space="preserve"> </w:t>
      </w:r>
      <w:r w:rsidRPr="008516D1">
        <w:t>en</w:t>
      </w:r>
      <w:r>
        <w:t xml:space="preserve"> </w:t>
      </w:r>
      <w:r w:rsidRPr="008516D1">
        <w:t>place</w:t>
      </w:r>
      <w:r>
        <w:t xml:space="preserve"> </w:t>
      </w:r>
      <w:r w:rsidRPr="008516D1">
        <w:t>de</w:t>
      </w:r>
      <w:r>
        <w:t xml:space="preserve"> </w:t>
      </w:r>
      <w:r w:rsidRPr="008516D1">
        <w:t>la</w:t>
      </w:r>
      <w:r>
        <w:t xml:space="preserve"> </w:t>
      </w:r>
      <w:r w:rsidRPr="008516D1">
        <w:t>Plateforme</w:t>
      </w:r>
      <w:r>
        <w:t xml:space="preserve"> </w:t>
      </w:r>
      <w:r w:rsidRPr="008516D1">
        <w:t>d</w:t>
      </w:r>
      <w:r>
        <w:t>’</w:t>
      </w:r>
      <w:r w:rsidRPr="008516D1">
        <w:t>enseignement</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rsidRPr="008516D1">
        <w:rPr>
          <w:rStyle w:val="Appelnotedebasdep"/>
        </w:rPr>
        <w:footnoteReference w:id="108"/>
      </w:r>
      <w:r w:rsidRPr="008516D1">
        <w:t>,</w:t>
      </w:r>
      <w:r>
        <w:t xml:space="preserve"> </w:t>
      </w:r>
      <w:r w:rsidRPr="008516D1">
        <w:t>qui</w:t>
      </w:r>
      <w:r>
        <w:t xml:space="preserve"> </w:t>
      </w:r>
      <w:r w:rsidRPr="008516D1">
        <w:t>permet</w:t>
      </w:r>
      <w:r>
        <w:t xml:space="preserve"> </w:t>
      </w:r>
      <w:r w:rsidRPr="008516D1">
        <w:t>de</w:t>
      </w:r>
      <w:r>
        <w:t xml:space="preserve"> </w:t>
      </w:r>
      <w:r w:rsidRPr="008516D1">
        <w:t>diffuser</w:t>
      </w:r>
      <w:r>
        <w:t xml:space="preserve"> </w:t>
      </w:r>
      <w:r w:rsidRPr="008516D1">
        <w:t>des</w:t>
      </w:r>
      <w:r>
        <w:t xml:space="preserve"> </w:t>
      </w:r>
      <w:r w:rsidRPr="008516D1">
        <w:t>cours</w:t>
      </w:r>
      <w:r>
        <w:t xml:space="preserve"> </w:t>
      </w:r>
      <w:r w:rsidRPr="008516D1">
        <w:t>à</w:t>
      </w:r>
      <w:r>
        <w:t xml:space="preserve"> </w:t>
      </w:r>
      <w:r w:rsidRPr="008516D1">
        <w:t>distance.</w:t>
      </w:r>
      <w:r>
        <w:t xml:space="preserve"> </w:t>
      </w:r>
      <w:r w:rsidRPr="008516D1">
        <w:t>Ce</w:t>
      </w:r>
      <w:r>
        <w:t xml:space="preserve"> </w:t>
      </w:r>
      <w:r w:rsidRPr="008516D1">
        <w:t>mode</w:t>
      </w:r>
      <w:r>
        <w:t xml:space="preserve"> </w:t>
      </w:r>
      <w:r w:rsidRPr="008516D1">
        <w:t>de</w:t>
      </w:r>
      <w:r>
        <w:t xml:space="preserve"> </w:t>
      </w:r>
      <w:r w:rsidRPr="008516D1">
        <w:t>formation</w:t>
      </w:r>
      <w:r>
        <w:t xml:space="preserve"> </w:t>
      </w:r>
      <w:r w:rsidRPr="008516D1">
        <w:t>non</w:t>
      </w:r>
      <w:r>
        <w:t xml:space="preserve"> </w:t>
      </w:r>
      <w:r w:rsidRPr="008516D1">
        <w:t>formel</w:t>
      </w:r>
      <w:r>
        <w:t xml:space="preserve"> </w:t>
      </w:r>
      <w:r w:rsidRPr="008516D1">
        <w:t>est</w:t>
      </w:r>
      <w:r>
        <w:t xml:space="preserve"> </w:t>
      </w:r>
      <w:r w:rsidRPr="008516D1">
        <w:t>disponible</w:t>
      </w:r>
      <w:r>
        <w:t xml:space="preserve"> </w:t>
      </w:r>
      <w:r w:rsidRPr="008516D1">
        <w:t>gratuitement</w:t>
      </w:r>
      <w:r>
        <w:t xml:space="preserve"> </w:t>
      </w:r>
      <w:r w:rsidRPr="008516D1">
        <w:t>pour</w:t>
      </w:r>
      <w:r>
        <w:t xml:space="preserve"> </w:t>
      </w:r>
      <w:r w:rsidRPr="008516D1">
        <w:t>les</w:t>
      </w:r>
      <w:r>
        <w:t xml:space="preserve"> </w:t>
      </w:r>
      <w:r w:rsidRPr="008516D1">
        <w:t>fonctionnaires</w:t>
      </w:r>
      <w:r>
        <w:t xml:space="preserve"> </w:t>
      </w:r>
      <w:r w:rsidRPr="008516D1">
        <w:t>de</w:t>
      </w:r>
      <w:r>
        <w:t xml:space="preserve"> </w:t>
      </w:r>
      <w:r w:rsidRPr="008516D1">
        <w:t>l</w:t>
      </w:r>
      <w:r>
        <w:t>’</w:t>
      </w:r>
      <w:r w:rsidRPr="008516D1">
        <w:t>État</w:t>
      </w:r>
      <w:r>
        <w:t xml:space="preserve"> </w:t>
      </w:r>
      <w:r w:rsidRPr="008516D1">
        <w:t>et</w:t>
      </w:r>
      <w:r>
        <w:t xml:space="preserve"> </w:t>
      </w:r>
      <w:r w:rsidRPr="008516D1">
        <w:t>autres</w:t>
      </w:r>
      <w:r>
        <w:t xml:space="preserve"> </w:t>
      </w:r>
      <w:r w:rsidRPr="008516D1">
        <w:t>groupes</w:t>
      </w:r>
      <w:r>
        <w:t xml:space="preserve"> </w:t>
      </w:r>
      <w:r w:rsidRPr="008516D1">
        <w:t>cibles.</w:t>
      </w:r>
    </w:p>
    <w:p w14:paraId="738B81F0" w14:textId="77777777" w:rsidR="00286956" w:rsidRPr="008516D1" w:rsidRDefault="00286956" w:rsidP="00286956">
      <w:pPr>
        <w:pStyle w:val="SingleTxtG"/>
      </w:pPr>
      <w:r w:rsidRPr="008516D1">
        <w:t>176.</w:t>
      </w:r>
      <w:r w:rsidRPr="008516D1">
        <w:tab/>
        <w:t>En</w:t>
      </w:r>
      <w:r>
        <w:t xml:space="preserve"> </w:t>
      </w:r>
      <w:r w:rsidRPr="008516D1">
        <w:t>2016,</w:t>
      </w:r>
      <w:r>
        <w:t xml:space="preserve"> </w:t>
      </w:r>
      <w:r w:rsidRPr="008516D1">
        <w:t>l</w:t>
      </w:r>
      <w:r>
        <w:t>’</w:t>
      </w:r>
      <w:r w:rsidRPr="008516D1">
        <w:t>Unité</w:t>
      </w:r>
      <w:r>
        <w:t xml:space="preserve"> </w:t>
      </w:r>
      <w:r w:rsidRPr="008516D1">
        <w:t>de</w:t>
      </w:r>
      <w:r>
        <w:t xml:space="preserve"> </w:t>
      </w:r>
      <w:r w:rsidRPr="008516D1">
        <w:t>protection</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a</w:t>
      </w:r>
      <w:r>
        <w:t xml:space="preserve"> </w:t>
      </w:r>
      <w:r w:rsidRPr="008516D1">
        <w:t>dispensé</w:t>
      </w:r>
      <w:r>
        <w:t xml:space="preserve"> </w:t>
      </w:r>
      <w:r w:rsidRPr="008516D1">
        <w:t>des</w:t>
      </w:r>
      <w:r>
        <w:t xml:space="preserve"> </w:t>
      </w:r>
      <w:r w:rsidRPr="008516D1">
        <w:t>formations</w:t>
      </w:r>
      <w:r>
        <w:t xml:space="preserve"> </w:t>
      </w:r>
      <w:r w:rsidRPr="008516D1">
        <w:t>sur</w:t>
      </w:r>
      <w:r>
        <w:t xml:space="preserve"> </w:t>
      </w:r>
      <w:r w:rsidRPr="008516D1">
        <w:t>les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la</w:t>
      </w:r>
      <w:r>
        <w:t xml:space="preserve"> </w:t>
      </w:r>
      <w:r w:rsidRPr="008516D1">
        <w:t>protection</w:t>
      </w:r>
      <w:r>
        <w:t xml:space="preserve"> </w:t>
      </w:r>
      <w:r w:rsidRPr="008516D1">
        <w:t>des</w:t>
      </w:r>
      <w:r>
        <w:t xml:space="preserve"> </w:t>
      </w:r>
      <w:r w:rsidRPr="008516D1">
        <w:t>garanties</w:t>
      </w:r>
      <w:r>
        <w:t xml:space="preserve"> </w:t>
      </w:r>
      <w:r w:rsidRPr="008516D1">
        <w:t>fondamentales</w:t>
      </w:r>
      <w:r>
        <w:t xml:space="preserve"> </w:t>
      </w:r>
      <w:r w:rsidRPr="008516D1">
        <w:t>aux</w:t>
      </w:r>
      <w:r>
        <w:t xml:space="preserve"> </w:t>
      </w:r>
      <w:r w:rsidRPr="008516D1">
        <w:t>agents</w:t>
      </w:r>
      <w:r>
        <w:t xml:space="preserve"> </w:t>
      </w:r>
      <w:r w:rsidRPr="008516D1">
        <w:t>et</w:t>
      </w:r>
      <w:r>
        <w:t xml:space="preserve"> </w:t>
      </w:r>
      <w:r w:rsidRPr="008516D1">
        <w:t>fonctionnaires</w:t>
      </w:r>
      <w:r>
        <w:t xml:space="preserve"> </w:t>
      </w:r>
      <w:r w:rsidRPr="008516D1">
        <w:t>de</w:t>
      </w:r>
      <w:r>
        <w:t xml:space="preserve"> </w:t>
      </w:r>
      <w:r w:rsidRPr="008516D1">
        <w:t>l</w:t>
      </w:r>
      <w:r>
        <w:t>’</w:t>
      </w:r>
      <w:r w:rsidRPr="008516D1">
        <w:t>Institut</w:t>
      </w:r>
      <w:r>
        <w:t xml:space="preserve"> </w:t>
      </w:r>
      <w:r w:rsidRPr="008516D1">
        <w:t>pénitentiaire</w:t>
      </w:r>
      <w:r>
        <w:t xml:space="preserve"> </w:t>
      </w:r>
      <w:r w:rsidRPr="008516D1">
        <w:t>national.</w:t>
      </w:r>
    </w:p>
    <w:p w14:paraId="4A04D73D" w14:textId="360BF8F5" w:rsidR="00286956" w:rsidRPr="008516D1" w:rsidRDefault="00286956" w:rsidP="00286956">
      <w:pPr>
        <w:pStyle w:val="SingleTxtG"/>
      </w:pPr>
      <w:r w:rsidRPr="008516D1">
        <w:t>177.</w:t>
      </w:r>
      <w:r w:rsidRPr="008516D1">
        <w:tab/>
        <w:t>En</w:t>
      </w:r>
      <w:r>
        <w:t xml:space="preserve"> </w:t>
      </w:r>
      <w:r w:rsidRPr="008516D1">
        <w:t>2021,</w:t>
      </w:r>
      <w:r>
        <w:t xml:space="preserve"> </w:t>
      </w:r>
      <w:r w:rsidRPr="008516D1">
        <w:t>l</w:t>
      </w:r>
      <w:r>
        <w:t>’</w:t>
      </w:r>
      <w:r w:rsidRPr="008516D1">
        <w:t>Institut</w:t>
      </w:r>
      <w:r>
        <w:t xml:space="preserve"> </w:t>
      </w:r>
      <w:r w:rsidRPr="008516D1">
        <w:t>pénitentiaire</w:t>
      </w:r>
      <w:r>
        <w:t xml:space="preserve"> </w:t>
      </w:r>
      <w:r w:rsidRPr="008516D1">
        <w:t>national</w:t>
      </w:r>
      <w:r>
        <w:t xml:space="preserve"> </w:t>
      </w:r>
      <w:r w:rsidRPr="008516D1">
        <w:t>a</w:t>
      </w:r>
      <w:r>
        <w:t xml:space="preserve"> </w:t>
      </w:r>
      <w:r w:rsidRPr="008516D1">
        <w:t>inclus</w:t>
      </w:r>
      <w:r>
        <w:t xml:space="preserve"> </w:t>
      </w:r>
      <w:r w:rsidRPr="008516D1">
        <w:t>des</w:t>
      </w:r>
      <w:r>
        <w:t xml:space="preserve"> </w:t>
      </w:r>
      <w:r w:rsidRPr="008516D1">
        <w:t>contenus</w:t>
      </w:r>
      <w:r>
        <w:t xml:space="preserve"> </w:t>
      </w:r>
      <w:r w:rsidRPr="008516D1">
        <w:t>portant</w:t>
      </w:r>
      <w:r>
        <w:t xml:space="preserve"> </w:t>
      </w:r>
      <w:r w:rsidRPr="008516D1">
        <w:t>sur</w:t>
      </w:r>
      <w:r>
        <w:t xml:space="preserve"> </w:t>
      </w:r>
      <w:r w:rsidRPr="008516D1">
        <w:t>les</w:t>
      </w:r>
      <w:r>
        <w:t xml:space="preserve"> </w:t>
      </w:r>
      <w:r w:rsidRPr="008516D1">
        <w:t>disparitions</w:t>
      </w:r>
      <w:r>
        <w:t xml:space="preserve"> </w:t>
      </w:r>
      <w:r w:rsidRPr="008516D1">
        <w:t>forcées</w:t>
      </w:r>
      <w:r>
        <w:t xml:space="preserve"> </w:t>
      </w:r>
      <w:r w:rsidRPr="008516D1">
        <w:t>et</w:t>
      </w:r>
      <w:r>
        <w:t xml:space="preserve"> </w:t>
      </w:r>
      <w:r w:rsidRPr="008516D1">
        <w:t>les</w:t>
      </w:r>
      <w:r>
        <w:t xml:space="preserve"> </w:t>
      </w:r>
      <w:r w:rsidRPr="008516D1">
        <w:t>dispositions</w:t>
      </w:r>
      <w:r>
        <w:t xml:space="preserve"> </w:t>
      </w:r>
      <w:r w:rsidRPr="008516D1">
        <w:t>de</w:t>
      </w:r>
      <w:r>
        <w:t xml:space="preserve"> </w:t>
      </w:r>
      <w:r w:rsidRPr="008516D1">
        <w:t>la</w:t>
      </w:r>
      <w:r>
        <w:t xml:space="preserve"> </w:t>
      </w:r>
      <w:r w:rsidRPr="008516D1">
        <w:t>Convention</w:t>
      </w:r>
      <w:r>
        <w:t xml:space="preserve"> </w:t>
      </w:r>
      <w:r w:rsidRPr="008516D1">
        <w:t>dans</w:t>
      </w:r>
      <w:r>
        <w:t xml:space="preserve"> </w:t>
      </w:r>
      <w:r w:rsidRPr="008516D1">
        <w:t>les</w:t>
      </w:r>
      <w:r>
        <w:t xml:space="preserve"> </w:t>
      </w:r>
      <w:r w:rsidRPr="008516D1">
        <w:t>programmes</w:t>
      </w:r>
      <w:r>
        <w:t xml:space="preserve"> </w:t>
      </w:r>
      <w:r w:rsidRPr="008516D1">
        <w:t>de</w:t>
      </w:r>
      <w:r>
        <w:t xml:space="preserve"> </w:t>
      </w:r>
      <w:r w:rsidRPr="008516D1">
        <w:t>formation</w:t>
      </w:r>
      <w:r>
        <w:t xml:space="preserve"> </w:t>
      </w:r>
      <w:r w:rsidRPr="008516D1">
        <w:t>des</w:t>
      </w:r>
      <w:r>
        <w:t xml:space="preserve"> </w:t>
      </w:r>
      <w:r w:rsidRPr="008516D1">
        <w:t>agents</w:t>
      </w:r>
      <w:r>
        <w:t xml:space="preserve"> </w:t>
      </w:r>
      <w:r w:rsidRPr="008516D1">
        <w:t>et</w:t>
      </w:r>
      <w:r>
        <w:t xml:space="preserve"> </w:t>
      </w:r>
      <w:r w:rsidRPr="008516D1">
        <w:t>des</w:t>
      </w:r>
      <w:r>
        <w:t xml:space="preserve"> </w:t>
      </w:r>
      <w:r w:rsidRPr="008516D1">
        <w:t>fonctionnaires</w:t>
      </w:r>
      <w:r>
        <w:t xml:space="preserve"> </w:t>
      </w:r>
      <w:r w:rsidRPr="008516D1">
        <w:t>de</w:t>
      </w:r>
      <w:r>
        <w:t xml:space="preserve"> </w:t>
      </w:r>
      <w:r w:rsidRPr="008516D1">
        <w:t>l</w:t>
      </w:r>
      <w:r>
        <w:t>’</w:t>
      </w:r>
      <w:r w:rsidRPr="008516D1">
        <w:t>administration</w:t>
      </w:r>
      <w:r>
        <w:t xml:space="preserve"> </w:t>
      </w:r>
      <w:r w:rsidRPr="008516D1">
        <w:t>pénitentiaire</w:t>
      </w:r>
      <w:r>
        <w:t xml:space="preserve"> </w:t>
      </w:r>
      <w:r w:rsidRPr="008516D1">
        <w:t>et</w:t>
      </w:r>
      <w:r>
        <w:t xml:space="preserve"> </w:t>
      </w:r>
      <w:r w:rsidRPr="008516D1">
        <w:t>de</w:t>
      </w:r>
      <w:r>
        <w:t xml:space="preserve"> </w:t>
      </w:r>
      <w:r w:rsidRPr="008516D1">
        <w:t>la</w:t>
      </w:r>
      <w:r>
        <w:t xml:space="preserve"> </w:t>
      </w:r>
      <w:r w:rsidRPr="008516D1">
        <w:t>police.</w:t>
      </w:r>
      <w:r>
        <w:t xml:space="preserve"> </w:t>
      </w:r>
      <w:r w:rsidRPr="008516D1">
        <w:t>Au</w:t>
      </w:r>
      <w:r>
        <w:t xml:space="preserve"> </w:t>
      </w:r>
      <w:r w:rsidRPr="008516D1">
        <w:t>15</w:t>
      </w:r>
      <w:r w:rsidR="006B3441">
        <w:t> </w:t>
      </w:r>
      <w:r w:rsidRPr="008516D1">
        <w:t>juin</w:t>
      </w:r>
      <w:r>
        <w:t xml:space="preserve"> </w:t>
      </w:r>
      <w:r w:rsidRPr="008516D1">
        <w:t>2021,</w:t>
      </w:r>
      <w:r>
        <w:t xml:space="preserve"> </w:t>
      </w:r>
      <w:r w:rsidRPr="008516D1">
        <w:t>184</w:t>
      </w:r>
      <w:r w:rsidR="006B3441">
        <w:t> </w:t>
      </w:r>
      <w:r w:rsidRPr="008516D1">
        <w:t>agents</w:t>
      </w:r>
      <w:r>
        <w:t xml:space="preserve"> </w:t>
      </w:r>
      <w:r w:rsidRPr="008516D1">
        <w:t>et</w:t>
      </w:r>
      <w:r>
        <w:t xml:space="preserve"> </w:t>
      </w:r>
      <w:r w:rsidRPr="008516D1">
        <w:t>fonctionnaires</w:t>
      </w:r>
      <w:r>
        <w:t xml:space="preserve"> </w:t>
      </w:r>
      <w:r w:rsidRPr="008516D1">
        <w:t>de</w:t>
      </w:r>
      <w:r>
        <w:t xml:space="preserve"> </w:t>
      </w:r>
      <w:r w:rsidRPr="008516D1">
        <w:t>l</w:t>
      </w:r>
      <w:r>
        <w:t>’</w:t>
      </w:r>
      <w:r w:rsidRPr="008516D1">
        <w:t>administration</w:t>
      </w:r>
      <w:r>
        <w:t xml:space="preserve"> </w:t>
      </w:r>
      <w:r w:rsidRPr="008516D1">
        <w:t>pénitentiaire</w:t>
      </w:r>
      <w:r>
        <w:t xml:space="preserve"> </w:t>
      </w:r>
      <w:r w:rsidRPr="008516D1">
        <w:t>(132</w:t>
      </w:r>
      <w:r w:rsidR="006B3441">
        <w:t> </w:t>
      </w:r>
      <w:r w:rsidRPr="008516D1">
        <w:t>hommes</w:t>
      </w:r>
      <w:r>
        <w:t xml:space="preserve"> </w:t>
      </w:r>
      <w:r w:rsidRPr="008516D1">
        <w:t>et</w:t>
      </w:r>
      <w:r>
        <w:t xml:space="preserve"> </w:t>
      </w:r>
      <w:r w:rsidRPr="008516D1">
        <w:t>52</w:t>
      </w:r>
      <w:r w:rsidR="006B3441">
        <w:t> </w:t>
      </w:r>
      <w:r w:rsidRPr="008516D1">
        <w:t>femmes)</w:t>
      </w:r>
      <w:r>
        <w:t xml:space="preserve"> </w:t>
      </w:r>
      <w:r w:rsidRPr="008516D1">
        <w:t>rattachés</w:t>
      </w:r>
      <w:r>
        <w:t xml:space="preserve"> </w:t>
      </w:r>
      <w:r w:rsidRPr="008516D1">
        <w:t>à</w:t>
      </w:r>
      <w:r>
        <w:t xml:space="preserve"> </w:t>
      </w:r>
      <w:r w:rsidRPr="008516D1">
        <w:t>10</w:t>
      </w:r>
      <w:r w:rsidR="006B3441">
        <w:t> </w:t>
      </w:r>
      <w:r w:rsidRPr="008516D1">
        <w:t>établissements</w:t>
      </w:r>
      <w:r>
        <w:t xml:space="preserve"> </w:t>
      </w:r>
      <w:r w:rsidRPr="008516D1">
        <w:t>pénitentiaires</w:t>
      </w:r>
      <w:r>
        <w:t xml:space="preserve"> </w:t>
      </w:r>
      <w:r w:rsidRPr="008516D1">
        <w:t>avaient</w:t>
      </w:r>
      <w:r>
        <w:t xml:space="preserve"> </w:t>
      </w:r>
      <w:r w:rsidRPr="008516D1">
        <w:t>été</w:t>
      </w:r>
      <w:r>
        <w:t xml:space="preserve"> </w:t>
      </w:r>
      <w:r w:rsidRPr="008516D1">
        <w:t>formés</w:t>
      </w:r>
      <w:r>
        <w:t xml:space="preserve"> </w:t>
      </w:r>
      <w:r w:rsidRPr="008516D1">
        <w:t>sur</w:t>
      </w:r>
      <w:r>
        <w:t xml:space="preserve"> </w:t>
      </w:r>
      <w:r w:rsidRPr="008516D1">
        <w:t>ce</w:t>
      </w:r>
      <w:r>
        <w:t xml:space="preserve"> </w:t>
      </w:r>
      <w:r w:rsidRPr="008516D1">
        <w:t>thème.</w:t>
      </w:r>
    </w:p>
    <w:p w14:paraId="36C20D29" w14:textId="214383BA" w:rsidR="00286956" w:rsidRPr="008516D1" w:rsidRDefault="00286956" w:rsidP="00286956">
      <w:pPr>
        <w:pStyle w:val="SingleTxtG"/>
      </w:pPr>
      <w:r w:rsidRPr="008516D1">
        <w:t>178.</w:t>
      </w:r>
      <w:r w:rsidRPr="008516D1">
        <w:tab/>
        <w:t>En</w:t>
      </w:r>
      <w:r>
        <w:t xml:space="preserve"> </w:t>
      </w:r>
      <w:r w:rsidRPr="008516D1">
        <w:t>2020,</w:t>
      </w:r>
      <w:r>
        <w:t xml:space="preserve"> </w:t>
      </w:r>
      <w:r w:rsidRPr="008516D1">
        <w:t>la</w:t>
      </w:r>
      <w:r>
        <w:t xml:space="preserve"> </w:t>
      </w:r>
      <w:r w:rsidRPr="008516D1">
        <w:t>Commission</w:t>
      </w:r>
      <w:r>
        <w:t xml:space="preserve"> </w:t>
      </w:r>
      <w:r w:rsidRPr="008516D1">
        <w:t>interinstitutionnelle</w:t>
      </w:r>
      <w:r>
        <w:t xml:space="preserve"> </w:t>
      </w:r>
      <w:r w:rsidRPr="008516D1">
        <w:t>de</w:t>
      </w:r>
      <w:r>
        <w:t xml:space="preserve"> </w:t>
      </w:r>
      <w:r w:rsidRPr="008516D1">
        <w:t>lutte</w:t>
      </w:r>
      <w:r>
        <w:t xml:space="preserve"> </w:t>
      </w:r>
      <w:r w:rsidRPr="008516D1">
        <w:t>contre</w:t>
      </w:r>
      <w:r>
        <w:t xml:space="preserve"> </w:t>
      </w:r>
      <w:r w:rsidRPr="008516D1">
        <w:t>l</w:t>
      </w:r>
      <w:r>
        <w:t>’</w:t>
      </w:r>
      <w:r w:rsidRPr="008516D1">
        <w:t>exploitation</w:t>
      </w:r>
      <w:r>
        <w:t xml:space="preserve"> </w:t>
      </w:r>
      <w:r w:rsidRPr="008516D1">
        <w:t>sexuelle</w:t>
      </w:r>
      <w:r>
        <w:t xml:space="preserve"> </w:t>
      </w:r>
      <w:r w:rsidRPr="008516D1">
        <w:t>à</w:t>
      </w:r>
      <w:r>
        <w:t xml:space="preserve"> </w:t>
      </w:r>
      <w:r w:rsidRPr="008516D1">
        <w:t>des</w:t>
      </w:r>
      <w:r>
        <w:t xml:space="preserve"> </w:t>
      </w:r>
      <w:r w:rsidRPr="008516D1">
        <w:t>fins</w:t>
      </w:r>
      <w:r>
        <w:t xml:space="preserve"> </w:t>
      </w:r>
      <w:r w:rsidRPr="008516D1">
        <w:t>commerciales</w:t>
      </w:r>
      <w:r>
        <w:t xml:space="preserve"> </w:t>
      </w:r>
      <w:r w:rsidRPr="008516D1">
        <w:t>et</w:t>
      </w:r>
      <w:r>
        <w:t xml:space="preserve"> </w:t>
      </w:r>
      <w:r w:rsidRPr="008516D1">
        <w:t>la</w:t>
      </w:r>
      <w:r>
        <w:t xml:space="preserve"> </w:t>
      </w:r>
      <w:r w:rsidRPr="008516D1">
        <w:t>traite</w:t>
      </w:r>
      <w:r>
        <w:t xml:space="preserve"> </w:t>
      </w:r>
      <w:r w:rsidRPr="008516D1">
        <w:t>des</w:t>
      </w:r>
      <w:r>
        <w:t xml:space="preserve"> </w:t>
      </w:r>
      <w:r w:rsidRPr="008516D1">
        <w:t>personnes</w:t>
      </w:r>
      <w:r>
        <w:t xml:space="preserve"> </w:t>
      </w:r>
      <w:r w:rsidRPr="008516D1">
        <w:t>et</w:t>
      </w:r>
      <w:r>
        <w:t xml:space="preserve"> </w:t>
      </w:r>
      <w:r w:rsidRPr="008516D1">
        <w:t>le</w:t>
      </w:r>
      <w:r>
        <w:t xml:space="preserve"> </w:t>
      </w:r>
      <w:r w:rsidRPr="008516D1">
        <w:t>Forum</w:t>
      </w:r>
      <w:r>
        <w:t xml:space="preserve"> </w:t>
      </w:r>
      <w:r w:rsidRPr="008516D1">
        <w:t>national</w:t>
      </w:r>
      <w:r>
        <w:t xml:space="preserve"> </w:t>
      </w:r>
      <w:r w:rsidRPr="008516D1">
        <w:t>sur</w:t>
      </w:r>
      <w:r>
        <w:t xml:space="preserve"> </w:t>
      </w:r>
      <w:r w:rsidRPr="008516D1">
        <w:t>les</w:t>
      </w:r>
      <w:r>
        <w:t xml:space="preserve"> </w:t>
      </w:r>
      <w:r w:rsidRPr="008516D1">
        <w:t>migrations</w:t>
      </w:r>
      <w:r>
        <w:t xml:space="preserve"> </w:t>
      </w:r>
      <w:r w:rsidRPr="008516D1">
        <w:t>au</w:t>
      </w:r>
      <w:r>
        <w:t xml:space="preserve"> </w:t>
      </w:r>
      <w:r w:rsidRPr="008516D1">
        <w:t>Honduras</w:t>
      </w:r>
      <w:r>
        <w:t xml:space="preserve"> </w:t>
      </w:r>
      <w:r w:rsidRPr="008516D1">
        <w:t>ont</w:t>
      </w:r>
      <w:r>
        <w:t xml:space="preserve"> </w:t>
      </w:r>
      <w:r w:rsidRPr="008516D1">
        <w:t>mis</w:t>
      </w:r>
      <w:r>
        <w:t xml:space="preserve"> </w:t>
      </w:r>
      <w:r w:rsidRPr="008516D1">
        <w:t>en</w:t>
      </w:r>
      <w:r>
        <w:t xml:space="preserve"> </w:t>
      </w:r>
      <w:r w:rsidRPr="008516D1">
        <w:t>place</w:t>
      </w:r>
      <w:r>
        <w:t xml:space="preserve"> </w:t>
      </w:r>
      <w:r w:rsidRPr="008516D1">
        <w:t>conjointement</w:t>
      </w:r>
      <w:r>
        <w:t xml:space="preserve"> </w:t>
      </w:r>
      <w:r w:rsidRPr="008516D1">
        <w:t>une</w:t>
      </w:r>
      <w:r>
        <w:t xml:space="preserve"> </w:t>
      </w:r>
      <w:r w:rsidRPr="008516D1">
        <w:t>formation</w:t>
      </w:r>
      <w:r>
        <w:t xml:space="preserve"> </w:t>
      </w:r>
      <w:r w:rsidRPr="008516D1">
        <w:t>diplômante</w:t>
      </w:r>
      <w:r>
        <w:t xml:space="preserve"> </w:t>
      </w:r>
      <w:r w:rsidRPr="008516D1">
        <w:t>sur</w:t>
      </w:r>
      <w:r>
        <w:t xml:space="preserve"> </w:t>
      </w:r>
      <w:r w:rsidRPr="008516D1">
        <w:t>la</w:t>
      </w:r>
      <w:r>
        <w:t xml:space="preserve"> </w:t>
      </w:r>
      <w:r w:rsidRPr="008516D1">
        <w:t>migration,</w:t>
      </w:r>
      <w:r>
        <w:t xml:space="preserve"> </w:t>
      </w:r>
      <w:r w:rsidRPr="008516D1">
        <w:t>la</w:t>
      </w:r>
      <w:r>
        <w:t xml:space="preserve"> </w:t>
      </w:r>
      <w:r w:rsidRPr="008516D1">
        <w:t>violence</w:t>
      </w:r>
      <w:r>
        <w:t xml:space="preserve"> </w:t>
      </w:r>
      <w:r w:rsidRPr="008516D1">
        <w:t>et</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pour</w:t>
      </w:r>
      <w:r>
        <w:t xml:space="preserve"> </w:t>
      </w:r>
      <w:r w:rsidRPr="008516D1">
        <w:t>17</w:t>
      </w:r>
      <w:r w:rsidR="006B3441">
        <w:t> </w:t>
      </w:r>
      <w:r w:rsidRPr="008516D1">
        <w:t>directeurs</w:t>
      </w:r>
      <w:r>
        <w:t xml:space="preserve"> </w:t>
      </w:r>
      <w:r w:rsidRPr="008516D1">
        <w:t>d</w:t>
      </w:r>
      <w:r>
        <w:t>’</w:t>
      </w:r>
      <w:r w:rsidRPr="008516D1">
        <w:t>établissements</w:t>
      </w:r>
      <w:r>
        <w:t xml:space="preserve"> </w:t>
      </w:r>
      <w:r w:rsidRPr="008516D1">
        <w:t>d</w:t>
      </w:r>
      <w:r>
        <w:t>’</w:t>
      </w:r>
      <w:r w:rsidRPr="008516D1">
        <w:t>enseignement</w:t>
      </w:r>
      <w:r>
        <w:t xml:space="preserve"> </w:t>
      </w:r>
      <w:r w:rsidRPr="008516D1">
        <w:t>de</w:t>
      </w:r>
      <w:r>
        <w:t xml:space="preserve"> </w:t>
      </w:r>
      <w:proofErr w:type="spellStart"/>
      <w:r w:rsidRPr="008516D1">
        <w:t>Goascorán</w:t>
      </w:r>
      <w:proofErr w:type="spellEnd"/>
      <w:r w:rsidRPr="008516D1">
        <w:t>.</w:t>
      </w:r>
      <w:r>
        <w:t xml:space="preserve"> </w:t>
      </w:r>
      <w:r w:rsidRPr="008516D1">
        <w:t>Cette</w:t>
      </w:r>
      <w:r>
        <w:t xml:space="preserve"> </w:t>
      </w:r>
      <w:r w:rsidRPr="008516D1">
        <w:t>formation,</w:t>
      </w:r>
      <w:r>
        <w:t xml:space="preserve"> </w:t>
      </w:r>
      <w:r w:rsidRPr="008516D1">
        <w:t>certifiée</w:t>
      </w:r>
      <w:r>
        <w:t xml:space="preserve"> </w:t>
      </w:r>
      <w:r w:rsidRPr="008516D1">
        <w:t>par</w:t>
      </w:r>
      <w:r>
        <w:t xml:space="preserve"> </w:t>
      </w:r>
      <w:r w:rsidRPr="008516D1">
        <w:t>l</w:t>
      </w:r>
      <w:r>
        <w:t>’</w:t>
      </w:r>
      <w:r w:rsidRPr="008516D1">
        <w:t>Université</w:t>
      </w:r>
      <w:r>
        <w:t xml:space="preserve"> </w:t>
      </w:r>
      <w:r w:rsidRPr="008516D1">
        <w:t>polytechnique</w:t>
      </w:r>
      <w:r>
        <w:t xml:space="preserve"> </w:t>
      </w:r>
      <w:r w:rsidRPr="008516D1">
        <w:t>du</w:t>
      </w:r>
      <w:r>
        <w:t xml:space="preserve"> </w:t>
      </w:r>
      <w:r w:rsidRPr="008516D1">
        <w:t>Honduras,</w:t>
      </w:r>
      <w:r>
        <w:t xml:space="preserve"> </w:t>
      </w:r>
      <w:r w:rsidRPr="008516D1">
        <w:t>inclut</w:t>
      </w:r>
      <w:r>
        <w:t xml:space="preserve"> </w:t>
      </w:r>
      <w:r w:rsidRPr="008516D1">
        <w:t>un</w:t>
      </w:r>
      <w:r>
        <w:t xml:space="preserve"> </w:t>
      </w:r>
      <w:r w:rsidRPr="008516D1">
        <w:t>module</w:t>
      </w:r>
      <w:r>
        <w:t xml:space="preserve"> </w:t>
      </w:r>
      <w:r w:rsidRPr="008516D1">
        <w:t>sur</w:t>
      </w:r>
      <w:r>
        <w:t xml:space="preserve"> </w:t>
      </w:r>
      <w:r w:rsidRPr="008516D1">
        <w:t>la</w:t>
      </w:r>
      <w:r>
        <w:t xml:space="preserve"> </w:t>
      </w:r>
      <w:r w:rsidRPr="008516D1">
        <w:t>traite</w:t>
      </w:r>
      <w:r>
        <w:t xml:space="preserve"> </w:t>
      </w:r>
      <w:r w:rsidRPr="008516D1">
        <w:t>des</w:t>
      </w:r>
      <w:r>
        <w:t xml:space="preserve"> </w:t>
      </w:r>
      <w:r w:rsidRPr="008516D1">
        <w:t>êtres</w:t>
      </w:r>
      <w:r>
        <w:t xml:space="preserve"> </w:t>
      </w:r>
      <w:r w:rsidRPr="008516D1">
        <w:t>humains</w:t>
      </w:r>
      <w:r>
        <w:t xml:space="preserve"> </w:t>
      </w:r>
      <w:r w:rsidRPr="008516D1">
        <w:t>et</w:t>
      </w:r>
      <w:r>
        <w:t xml:space="preserve"> </w:t>
      </w:r>
      <w:r w:rsidRPr="008516D1">
        <w:t>le</w:t>
      </w:r>
      <w:r>
        <w:t xml:space="preserve"> </w:t>
      </w:r>
      <w:r w:rsidRPr="008516D1">
        <w:t>trafic</w:t>
      </w:r>
      <w:r>
        <w:t xml:space="preserve"> </w:t>
      </w:r>
      <w:r w:rsidRPr="008516D1">
        <w:t>de</w:t>
      </w:r>
      <w:r>
        <w:t xml:space="preserve"> </w:t>
      </w:r>
      <w:r w:rsidRPr="008516D1">
        <w:t>personnes</w:t>
      </w:r>
      <w:r w:rsidRPr="008516D1">
        <w:rPr>
          <w:rStyle w:val="Appelnotedebasdep"/>
        </w:rPr>
        <w:footnoteReference w:id="109"/>
      </w:r>
      <w:r w:rsidRPr="008516D1">
        <w:t>.</w:t>
      </w:r>
    </w:p>
    <w:p w14:paraId="4D7FBB1B" w14:textId="59B1D519" w:rsidR="00286956" w:rsidRPr="008516D1" w:rsidRDefault="00286956" w:rsidP="00286956">
      <w:pPr>
        <w:pStyle w:val="SingleTxtG"/>
      </w:pPr>
      <w:r w:rsidRPr="008516D1">
        <w:t>179.</w:t>
      </w:r>
      <w:r w:rsidRPr="008516D1">
        <w:tab/>
        <w:t>Pour</w:t>
      </w:r>
      <w:r>
        <w:t xml:space="preserve"> </w:t>
      </w:r>
      <w:r w:rsidRPr="008516D1">
        <w:t>sa</w:t>
      </w:r>
      <w:r>
        <w:t xml:space="preserve"> </w:t>
      </w:r>
      <w:r w:rsidRPr="008516D1">
        <w:t>part,</w:t>
      </w:r>
      <w:r>
        <w:t xml:space="preserve"> </w:t>
      </w:r>
      <w:r w:rsidRPr="008516D1">
        <w:t>le</w:t>
      </w:r>
      <w:r>
        <w:t xml:space="preserve"> </w:t>
      </w:r>
      <w:r w:rsidRPr="008516D1">
        <w:t>CICR</w:t>
      </w:r>
      <w:r>
        <w:t xml:space="preserve"> </w:t>
      </w:r>
      <w:r w:rsidRPr="008516D1">
        <w:t>a</w:t>
      </w:r>
      <w:r>
        <w:t xml:space="preserve"> </w:t>
      </w:r>
      <w:r w:rsidRPr="008516D1">
        <w:t>mis</w:t>
      </w:r>
      <w:r>
        <w:t xml:space="preserve"> </w:t>
      </w:r>
      <w:r w:rsidRPr="008516D1">
        <w:t>en</w:t>
      </w:r>
      <w:r>
        <w:t xml:space="preserve"> </w:t>
      </w:r>
      <w:r w:rsidRPr="008516D1">
        <w:t>place</w:t>
      </w:r>
      <w:r>
        <w:t xml:space="preserve"> </w:t>
      </w:r>
      <w:r w:rsidRPr="008516D1">
        <w:t>un</w:t>
      </w:r>
      <w:r>
        <w:t xml:space="preserve"> </w:t>
      </w:r>
      <w:r w:rsidRPr="008516D1">
        <w:t>atelier</w:t>
      </w:r>
      <w:r>
        <w:t xml:space="preserve"> </w:t>
      </w:r>
      <w:r w:rsidRPr="008516D1">
        <w:t>de</w:t>
      </w:r>
      <w:r>
        <w:t xml:space="preserve"> </w:t>
      </w:r>
      <w:r w:rsidRPr="008516D1">
        <w:t>formation</w:t>
      </w:r>
      <w:r>
        <w:t xml:space="preserve"> </w:t>
      </w:r>
      <w:r w:rsidRPr="008516D1">
        <w:t>des</w:t>
      </w:r>
      <w:r>
        <w:t xml:space="preserve"> </w:t>
      </w:r>
      <w:r w:rsidRPr="008516D1">
        <w:t>formateurs,</w:t>
      </w:r>
      <w:r>
        <w:t xml:space="preserve"> </w:t>
      </w:r>
      <w:r w:rsidRPr="008516D1">
        <w:t>dans</w:t>
      </w:r>
      <w:r>
        <w:t xml:space="preserve"> </w:t>
      </w:r>
      <w:r w:rsidRPr="008516D1">
        <w:t>le</w:t>
      </w:r>
      <w:r>
        <w:t xml:space="preserve"> </w:t>
      </w:r>
      <w:r w:rsidRPr="008516D1">
        <w:t>cadre</w:t>
      </w:r>
      <w:r>
        <w:t xml:space="preserve"> </w:t>
      </w:r>
      <w:r w:rsidRPr="008516D1">
        <w:t>duquel</w:t>
      </w:r>
      <w:r>
        <w:t xml:space="preserve"> </w:t>
      </w:r>
      <w:r w:rsidRPr="008516D1">
        <w:t>27</w:t>
      </w:r>
      <w:r w:rsidR="006B3441">
        <w:t> </w:t>
      </w:r>
      <w:r w:rsidRPr="008516D1">
        <w:t>instructeurs</w:t>
      </w:r>
      <w:r>
        <w:t xml:space="preserve"> </w:t>
      </w:r>
      <w:r w:rsidRPr="008516D1">
        <w:t>des</w:t>
      </w:r>
      <w:r>
        <w:t xml:space="preserve"> </w:t>
      </w:r>
      <w:r w:rsidRPr="008516D1">
        <w:t>forces</w:t>
      </w:r>
      <w:r>
        <w:t xml:space="preserve"> </w:t>
      </w:r>
      <w:r w:rsidRPr="008516D1">
        <w:t>armées</w:t>
      </w:r>
      <w:r>
        <w:t xml:space="preserve"> </w:t>
      </w:r>
      <w:r w:rsidRPr="008516D1">
        <w:t>ont</w:t>
      </w:r>
      <w:r>
        <w:t xml:space="preserve"> </w:t>
      </w:r>
      <w:r w:rsidRPr="008516D1">
        <w:t>été</w:t>
      </w:r>
      <w:r>
        <w:t xml:space="preserve"> </w:t>
      </w:r>
      <w:r w:rsidRPr="008516D1">
        <w:t>formés</w:t>
      </w:r>
      <w:r>
        <w:t xml:space="preserve"> </w:t>
      </w:r>
      <w:r w:rsidRPr="008516D1">
        <w:t>à</w:t>
      </w:r>
      <w:r>
        <w:t xml:space="preserve"> </w:t>
      </w:r>
      <w:r w:rsidRPr="008516D1">
        <w:t>l</w:t>
      </w:r>
      <w:r>
        <w:t>’</w:t>
      </w:r>
      <w:r w:rsidRPr="008516D1">
        <w:t>usage</w:t>
      </w:r>
      <w:r>
        <w:t xml:space="preserve"> </w:t>
      </w:r>
      <w:r w:rsidRPr="008516D1">
        <w:t>de</w:t>
      </w:r>
      <w:r>
        <w:t xml:space="preserve"> </w:t>
      </w:r>
      <w:r w:rsidRPr="008516D1">
        <w:t>la</w:t>
      </w:r>
      <w:r>
        <w:t xml:space="preserve"> </w:t>
      </w:r>
      <w:r w:rsidRPr="008516D1">
        <w:t>force</w:t>
      </w:r>
      <w:r>
        <w:t xml:space="preserve"> </w:t>
      </w:r>
      <w:r w:rsidRPr="008516D1">
        <w:t>et</w:t>
      </w:r>
      <w:r>
        <w:t xml:space="preserve"> </w:t>
      </w:r>
      <w:r w:rsidRPr="008516D1">
        <w:t>formeront</w:t>
      </w:r>
      <w:r>
        <w:t xml:space="preserve"> </w:t>
      </w:r>
      <w:r w:rsidRPr="008516D1">
        <w:t>à</w:t>
      </w:r>
      <w:r>
        <w:t xml:space="preserve"> </w:t>
      </w:r>
      <w:r w:rsidRPr="008516D1">
        <w:t>leur</w:t>
      </w:r>
      <w:r>
        <w:t xml:space="preserve"> </w:t>
      </w:r>
      <w:r w:rsidRPr="008516D1">
        <w:t>tour,</w:t>
      </w:r>
      <w:r>
        <w:t xml:space="preserve"> </w:t>
      </w:r>
      <w:r w:rsidRPr="008516D1">
        <w:t>d</w:t>
      </w:r>
      <w:r>
        <w:t>’</w:t>
      </w:r>
      <w:r w:rsidRPr="008516D1">
        <w:t>ici</w:t>
      </w:r>
      <w:r>
        <w:t xml:space="preserve"> </w:t>
      </w:r>
      <w:r w:rsidR="00255700">
        <w:t xml:space="preserve">à </w:t>
      </w:r>
      <w:r w:rsidRPr="008516D1">
        <w:t>2020,</w:t>
      </w:r>
      <w:r>
        <w:t xml:space="preserve"> </w:t>
      </w:r>
      <w:r w:rsidRPr="008516D1">
        <w:t>7</w:t>
      </w:r>
      <w:r w:rsidR="006B3441">
        <w:t> </w:t>
      </w:r>
      <w:r w:rsidRPr="008516D1">
        <w:t>710</w:t>
      </w:r>
      <w:r w:rsidR="006B3441">
        <w:t xml:space="preserve"> </w:t>
      </w:r>
      <w:r w:rsidRPr="008516D1">
        <w:t>membres</w:t>
      </w:r>
      <w:r>
        <w:t xml:space="preserve"> </w:t>
      </w:r>
      <w:r w:rsidRPr="008516D1">
        <w:t>des</w:t>
      </w:r>
      <w:r>
        <w:t xml:space="preserve"> </w:t>
      </w:r>
      <w:r w:rsidRPr="008516D1">
        <w:t>forces</w:t>
      </w:r>
      <w:r>
        <w:t xml:space="preserve"> </w:t>
      </w:r>
      <w:r w:rsidRPr="008516D1">
        <w:t>armées,</w:t>
      </w:r>
      <w:r>
        <w:t xml:space="preserve"> </w:t>
      </w:r>
      <w:r w:rsidRPr="008516D1">
        <w:t>1</w:t>
      </w:r>
      <w:r w:rsidR="006B3441">
        <w:t> </w:t>
      </w:r>
      <w:r w:rsidRPr="008516D1">
        <w:t>908</w:t>
      </w:r>
      <w:r>
        <w:t xml:space="preserve"> </w:t>
      </w:r>
      <w:r w:rsidRPr="008516D1">
        <w:t>officiers</w:t>
      </w:r>
      <w:r>
        <w:t xml:space="preserve"> </w:t>
      </w:r>
      <w:r w:rsidRPr="008516D1">
        <w:t>militaires</w:t>
      </w:r>
      <w:r>
        <w:t xml:space="preserve"> </w:t>
      </w:r>
      <w:r w:rsidRPr="008516D1">
        <w:t>de</w:t>
      </w:r>
      <w:r>
        <w:t xml:space="preserve"> </w:t>
      </w:r>
      <w:r w:rsidRPr="008516D1">
        <w:t>l</w:t>
      </w:r>
      <w:r>
        <w:t>’</w:t>
      </w:r>
      <w:r w:rsidRPr="008516D1">
        <w:t>armée</w:t>
      </w:r>
      <w:r>
        <w:t xml:space="preserve"> </w:t>
      </w:r>
      <w:r w:rsidRPr="008516D1">
        <w:t>de</w:t>
      </w:r>
      <w:r>
        <w:t xml:space="preserve"> </w:t>
      </w:r>
      <w:r w:rsidRPr="008516D1">
        <w:t>terre</w:t>
      </w:r>
      <w:r>
        <w:t xml:space="preserve"> </w:t>
      </w:r>
      <w:r w:rsidRPr="008516D1">
        <w:t>et</w:t>
      </w:r>
      <w:r>
        <w:t xml:space="preserve"> </w:t>
      </w:r>
      <w:r w:rsidRPr="008516D1">
        <w:t>773</w:t>
      </w:r>
      <w:r w:rsidR="006B3441">
        <w:t> </w:t>
      </w:r>
      <w:r w:rsidRPr="008516D1">
        <w:t>membres</w:t>
      </w:r>
      <w:r>
        <w:t xml:space="preserve"> </w:t>
      </w:r>
      <w:r w:rsidRPr="008516D1">
        <w:t>de</w:t>
      </w:r>
      <w:r>
        <w:t xml:space="preserve"> </w:t>
      </w:r>
      <w:r w:rsidRPr="008516D1">
        <w:t>la</w:t>
      </w:r>
      <w:r>
        <w:t xml:space="preserve"> </w:t>
      </w:r>
      <w:r w:rsidRPr="008516D1">
        <w:t>police</w:t>
      </w:r>
      <w:r>
        <w:t xml:space="preserve"> </w:t>
      </w:r>
      <w:r w:rsidRPr="008516D1">
        <w:t>militaire</w:t>
      </w:r>
      <w:r>
        <w:t xml:space="preserve"> </w:t>
      </w:r>
      <w:r w:rsidRPr="008516D1">
        <w:t>chargée</w:t>
      </w:r>
      <w:r>
        <w:t xml:space="preserve"> </w:t>
      </w:r>
      <w:r w:rsidRPr="008516D1">
        <w:t>du</w:t>
      </w:r>
      <w:r>
        <w:t xml:space="preserve"> </w:t>
      </w:r>
      <w:r w:rsidRPr="008516D1">
        <w:t>maintien</w:t>
      </w:r>
      <w:r>
        <w:t xml:space="preserve"> </w:t>
      </w:r>
      <w:r w:rsidRPr="008516D1">
        <w:t>de</w:t>
      </w:r>
      <w:r>
        <w:t xml:space="preserve"> </w:t>
      </w:r>
      <w:r w:rsidRPr="008516D1">
        <w:t>l</w:t>
      </w:r>
      <w:r>
        <w:t>’</w:t>
      </w:r>
      <w:r w:rsidRPr="008516D1">
        <w:t>ordre</w:t>
      </w:r>
      <w:r>
        <w:t xml:space="preserve"> </w:t>
      </w:r>
      <w:r w:rsidRPr="008516D1">
        <w:t>aux</w:t>
      </w:r>
      <w:r>
        <w:t xml:space="preserve"> </w:t>
      </w:r>
      <w:r w:rsidRPr="008516D1">
        <w:t>normes</w:t>
      </w:r>
      <w:r>
        <w:t xml:space="preserve"> </w:t>
      </w:r>
      <w:r w:rsidRPr="008516D1">
        <w:t>internationales</w:t>
      </w:r>
      <w:r>
        <w:t xml:space="preserve"> </w:t>
      </w:r>
      <w:r w:rsidRPr="008516D1">
        <w:t>relatives</w:t>
      </w:r>
      <w:r>
        <w:t xml:space="preserve"> </w:t>
      </w:r>
      <w:r w:rsidRPr="008516D1">
        <w:t>à</w:t>
      </w:r>
      <w:r>
        <w:t xml:space="preserve"> </w:t>
      </w:r>
      <w:r w:rsidRPr="008516D1">
        <w:t>l</w:t>
      </w:r>
      <w:r>
        <w:t>’</w:t>
      </w:r>
      <w:r w:rsidRPr="008516D1">
        <w:t>usage</w:t>
      </w:r>
      <w:r>
        <w:t xml:space="preserve"> </w:t>
      </w:r>
      <w:r w:rsidRPr="008516D1">
        <w:t>de</w:t>
      </w:r>
      <w:r>
        <w:t xml:space="preserve"> </w:t>
      </w:r>
      <w:r w:rsidRPr="008516D1">
        <w:t>la</w:t>
      </w:r>
      <w:r>
        <w:t xml:space="preserve"> </w:t>
      </w:r>
      <w:r w:rsidRPr="008516D1">
        <w:t>force</w:t>
      </w:r>
      <w:r w:rsidRPr="008516D1">
        <w:rPr>
          <w:rStyle w:val="Appelnotedebasdep"/>
        </w:rPr>
        <w:footnoteReference w:id="110"/>
      </w:r>
      <w:r w:rsidRPr="008516D1">
        <w:t>.</w:t>
      </w:r>
    </w:p>
    <w:p w14:paraId="3839D326" w14:textId="211CF878" w:rsidR="00286956" w:rsidRPr="008516D1" w:rsidRDefault="00286956" w:rsidP="00286956">
      <w:pPr>
        <w:pStyle w:val="SingleTxtG"/>
      </w:pPr>
      <w:r w:rsidRPr="008516D1">
        <w:t>180.</w:t>
      </w:r>
      <w:r w:rsidRPr="008516D1">
        <w:tab/>
        <w:t>Dans</w:t>
      </w:r>
      <w:r>
        <w:t xml:space="preserve"> </w:t>
      </w:r>
      <w:r w:rsidRPr="008516D1">
        <w:t>le</w:t>
      </w:r>
      <w:r>
        <w:t xml:space="preserve"> </w:t>
      </w:r>
      <w:r w:rsidRPr="008516D1">
        <w:t>cadre</w:t>
      </w:r>
      <w:r>
        <w:t xml:space="preserve"> </w:t>
      </w:r>
      <w:r w:rsidRPr="008516D1">
        <w:t>de</w:t>
      </w:r>
      <w:r>
        <w:t xml:space="preserve"> </w:t>
      </w:r>
      <w:r w:rsidRPr="008516D1">
        <w:t>l</w:t>
      </w:r>
      <w:r>
        <w:t>’</w:t>
      </w:r>
      <w:r w:rsidRPr="008516D1">
        <w:t>étude</w:t>
      </w:r>
      <w:r>
        <w:t xml:space="preserve"> </w:t>
      </w:r>
      <w:r w:rsidRPr="008516D1">
        <w:t>de</w:t>
      </w:r>
      <w:r>
        <w:t xml:space="preserve"> </w:t>
      </w:r>
      <w:r w:rsidRPr="008516D1">
        <w:t>compatibilité</w:t>
      </w:r>
      <w:r>
        <w:t xml:space="preserve"> </w:t>
      </w:r>
      <w:r w:rsidRPr="008516D1">
        <w:t>avec</w:t>
      </w:r>
      <w:r>
        <w:t xml:space="preserve"> </w:t>
      </w:r>
      <w:r w:rsidRPr="008516D1">
        <w:t>le</w:t>
      </w:r>
      <w:r>
        <w:t xml:space="preserve"> </w:t>
      </w:r>
      <w:r w:rsidRPr="008516D1">
        <w:t>projet</w:t>
      </w:r>
      <w:r>
        <w:t xml:space="preserve"> </w:t>
      </w:r>
      <w:r w:rsidRPr="008516D1">
        <w:t>de</w:t>
      </w:r>
      <w:r>
        <w:t xml:space="preserve"> </w:t>
      </w:r>
      <w:r w:rsidRPr="008516D1">
        <w:t>nouveau</w:t>
      </w:r>
      <w:r>
        <w:t xml:space="preserve"> </w:t>
      </w:r>
      <w:r w:rsidRPr="008516D1">
        <w:t>code</w:t>
      </w:r>
      <w:r>
        <w:t xml:space="preserve"> </w:t>
      </w:r>
      <w:r w:rsidRPr="008516D1">
        <w:t>pénal,</w:t>
      </w:r>
      <w:r>
        <w:t xml:space="preserve"> </w:t>
      </w:r>
      <w:r w:rsidRPr="008516D1">
        <w:t>le</w:t>
      </w:r>
      <w:r>
        <w:t xml:space="preserve"> </w:t>
      </w:r>
      <w:r w:rsidRPr="008516D1">
        <w:t>CICR</w:t>
      </w:r>
      <w:r>
        <w:t xml:space="preserve"> </w:t>
      </w:r>
      <w:r w:rsidRPr="008516D1">
        <w:t>a</w:t>
      </w:r>
      <w:r>
        <w:t xml:space="preserve"> </w:t>
      </w:r>
      <w:r w:rsidRPr="008516D1">
        <w:t>dispensé</w:t>
      </w:r>
      <w:r>
        <w:t xml:space="preserve"> </w:t>
      </w:r>
      <w:r w:rsidRPr="008516D1">
        <w:t>une</w:t>
      </w:r>
      <w:r>
        <w:t xml:space="preserve"> </w:t>
      </w:r>
      <w:r w:rsidRPr="008516D1">
        <w:t>formation</w:t>
      </w:r>
      <w:r>
        <w:t xml:space="preserve"> </w:t>
      </w:r>
      <w:r w:rsidRPr="008516D1">
        <w:t>sur</w:t>
      </w:r>
      <w:r>
        <w:t xml:space="preserve"> </w:t>
      </w:r>
      <w:r w:rsidRPr="008516D1">
        <w:t>le</w:t>
      </w:r>
      <w:r>
        <w:t xml:space="preserve"> </w:t>
      </w:r>
      <w:r w:rsidRPr="008516D1">
        <w:t>déplacement</w:t>
      </w:r>
      <w:r>
        <w:t xml:space="preserve"> </w:t>
      </w:r>
      <w:r w:rsidRPr="008516D1">
        <w:t>interne</w:t>
      </w:r>
      <w:r>
        <w:t xml:space="preserve"> </w:t>
      </w:r>
      <w:r w:rsidRPr="008516D1">
        <w:t>causé</w:t>
      </w:r>
      <w:r>
        <w:t xml:space="preserve"> </w:t>
      </w:r>
      <w:r w:rsidRPr="008516D1">
        <w:t>par</w:t>
      </w:r>
      <w:r>
        <w:t xml:space="preserve"> </w:t>
      </w:r>
      <w:r w:rsidRPr="008516D1">
        <w:t>la</w:t>
      </w:r>
      <w:r>
        <w:t xml:space="preserve"> </w:t>
      </w:r>
      <w:r w:rsidRPr="008516D1">
        <w:t>violence</w:t>
      </w:r>
      <w:r>
        <w:t xml:space="preserve"> </w:t>
      </w:r>
      <w:r w:rsidRPr="008516D1">
        <w:t>à</w:t>
      </w:r>
      <w:r>
        <w:t xml:space="preserve"> </w:t>
      </w:r>
      <w:r w:rsidRPr="008516D1">
        <w:t>55</w:t>
      </w:r>
      <w:r w:rsidR="006B3441">
        <w:t> </w:t>
      </w:r>
      <w:r w:rsidRPr="008516D1">
        <w:t>députés</w:t>
      </w:r>
      <w:r>
        <w:t xml:space="preserve"> </w:t>
      </w:r>
      <w:r w:rsidRPr="008516D1">
        <w:t>et</w:t>
      </w:r>
      <w:r>
        <w:t xml:space="preserve"> </w:t>
      </w:r>
      <w:r w:rsidRPr="008516D1">
        <w:t>sur</w:t>
      </w:r>
      <w:r>
        <w:t xml:space="preserve"> </w:t>
      </w:r>
      <w:r w:rsidRPr="008516D1">
        <w:t>l</w:t>
      </w:r>
      <w:r>
        <w:t>’</w:t>
      </w:r>
      <w:r w:rsidRPr="008516D1">
        <w:t>usage</w:t>
      </w:r>
      <w:r>
        <w:t xml:space="preserve"> </w:t>
      </w:r>
      <w:r w:rsidRPr="008516D1">
        <w:t>de</w:t>
      </w:r>
      <w:r>
        <w:t xml:space="preserve"> </w:t>
      </w:r>
      <w:r w:rsidRPr="008516D1">
        <w:t>la</w:t>
      </w:r>
      <w:r>
        <w:t xml:space="preserve"> </w:t>
      </w:r>
      <w:r w:rsidRPr="008516D1">
        <w:t>force</w:t>
      </w:r>
      <w:r>
        <w:t xml:space="preserve"> </w:t>
      </w:r>
      <w:r w:rsidRPr="008516D1">
        <w:t>à</w:t>
      </w:r>
      <w:r>
        <w:t xml:space="preserve"> </w:t>
      </w:r>
      <w:r w:rsidRPr="008516D1">
        <w:t>65</w:t>
      </w:r>
      <w:r w:rsidR="006B3441">
        <w:t> </w:t>
      </w:r>
      <w:r w:rsidRPr="008516D1">
        <w:t>députés</w:t>
      </w:r>
      <w:r w:rsidRPr="008516D1">
        <w:rPr>
          <w:rStyle w:val="Appelnotedebasdep"/>
        </w:rPr>
        <w:footnoteReference w:id="111"/>
      </w:r>
      <w:r w:rsidRPr="008516D1">
        <w:t>.</w:t>
      </w:r>
    </w:p>
    <w:p w14:paraId="1D663891" w14:textId="37B0C959" w:rsidR="00286956" w:rsidRPr="008516D1" w:rsidRDefault="00286956" w:rsidP="00286956">
      <w:pPr>
        <w:pStyle w:val="H1G"/>
      </w:pPr>
      <w:bookmarkStart w:id="29" w:name="_Toc76740434"/>
      <w:r w:rsidRPr="008516D1">
        <w:lastRenderedPageBreak/>
        <w:tab/>
        <w:t>N.</w:t>
      </w:r>
      <w:r w:rsidRPr="008516D1">
        <w:tab/>
        <w:t>Droits</w:t>
      </w:r>
      <w:r>
        <w:t xml:space="preserve"> </w:t>
      </w:r>
      <w:r w:rsidRPr="008516D1">
        <w:t>des</w:t>
      </w:r>
      <w:r>
        <w:t xml:space="preserve"> </w:t>
      </w:r>
      <w:r w:rsidRPr="008516D1">
        <w:t>personnes</w:t>
      </w:r>
      <w:r>
        <w:t xml:space="preserve"> </w:t>
      </w:r>
      <w:r w:rsidRPr="008516D1">
        <w:t>victimes</w:t>
      </w:r>
      <w:r>
        <w:t xml:space="preserve"> </w:t>
      </w:r>
      <w:r w:rsidRPr="008516D1">
        <w:t>de</w:t>
      </w:r>
      <w:r>
        <w:t xml:space="preserve"> </w:t>
      </w:r>
      <w:r w:rsidRPr="008516D1">
        <w:t>disparition</w:t>
      </w:r>
      <w:r>
        <w:t xml:space="preserve"> </w:t>
      </w:r>
      <w:r w:rsidRPr="008516D1">
        <w:t>forcée</w:t>
      </w:r>
      <w:r>
        <w:t xml:space="preserve"> </w:t>
      </w:r>
      <w:r w:rsidRPr="008516D1">
        <w:t>(</w:t>
      </w:r>
      <w:r w:rsidR="003A61DD">
        <w:t>art. </w:t>
      </w:r>
      <w:r w:rsidRPr="008516D1">
        <w:t>24)</w:t>
      </w:r>
      <w:bookmarkEnd w:id="29"/>
    </w:p>
    <w:p w14:paraId="7594CB65" w14:textId="4F4F66D8" w:rsidR="00286956" w:rsidRPr="008516D1" w:rsidRDefault="00286956" w:rsidP="00286956">
      <w:pPr>
        <w:pStyle w:val="SingleTxtG"/>
      </w:pPr>
      <w:r w:rsidRPr="008516D1">
        <w:t>181.</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37</w:t>
      </w:r>
      <w:r w:rsidR="00A74554">
        <w:t> a)</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w:t>
      </w:r>
      <w:r>
        <w:t>’</w:t>
      </w:r>
      <w:r w:rsidRPr="008516D1">
        <w:t>établir</w:t>
      </w:r>
      <w:r>
        <w:t xml:space="preserve"> </w:t>
      </w:r>
      <w:r w:rsidRPr="008516D1">
        <w:t>une</w:t>
      </w:r>
      <w:r>
        <w:t xml:space="preserve"> </w:t>
      </w:r>
      <w:r w:rsidRPr="008516D1">
        <w:t>définition</w:t>
      </w:r>
      <w:r>
        <w:t xml:space="preserve"> </w:t>
      </w:r>
      <w:r w:rsidRPr="008516D1">
        <w:t>de</w:t>
      </w:r>
      <w:r>
        <w:t xml:space="preserve"> </w:t>
      </w:r>
      <w:r w:rsidRPr="008516D1">
        <w:t>la</w:t>
      </w:r>
      <w:r>
        <w:t xml:space="preserve"> </w:t>
      </w:r>
      <w:r w:rsidRPr="008516D1">
        <w:t>victime</w:t>
      </w:r>
      <w:r>
        <w:t xml:space="preserve"> </w:t>
      </w:r>
      <w:r w:rsidRPr="008516D1">
        <w:t>dans</w:t>
      </w:r>
      <w:r>
        <w:t xml:space="preserve"> </w:t>
      </w:r>
      <w:r w:rsidRPr="008516D1">
        <w:t>la</w:t>
      </w:r>
      <w:r>
        <w:t xml:space="preserve"> </w:t>
      </w:r>
      <w:r w:rsidRPr="008516D1">
        <w:t>législation</w:t>
      </w:r>
      <w:r>
        <w:t xml:space="preserve"> </w:t>
      </w:r>
      <w:r w:rsidRPr="008516D1">
        <w:t>nationale</w:t>
      </w:r>
      <w:r>
        <w:t xml:space="preserve"> </w:t>
      </w:r>
      <w:r w:rsidRPr="008516D1">
        <w:t>conformément</w:t>
      </w:r>
      <w:r>
        <w:t xml:space="preserve"> </w:t>
      </w:r>
      <w:r w:rsidRPr="008516D1">
        <w:t>à</w:t>
      </w:r>
      <w:r>
        <w:t xml:space="preserve"> </w:t>
      </w:r>
      <w:r w:rsidRPr="008516D1">
        <w:t>l</w:t>
      </w:r>
      <w:r>
        <w:t>’</w:t>
      </w:r>
      <w:r w:rsidRPr="008516D1">
        <w:t>article</w:t>
      </w:r>
      <w:r>
        <w:t xml:space="preserve"> </w:t>
      </w:r>
      <w:r w:rsidRPr="008516D1">
        <w:t>24</w:t>
      </w:r>
      <w:r>
        <w:t xml:space="preserve"> </w:t>
      </w:r>
      <w:r w:rsidRPr="008516D1">
        <w:t>de</w:t>
      </w:r>
      <w:r>
        <w:t xml:space="preserve"> </w:t>
      </w:r>
      <w:r w:rsidRPr="008516D1">
        <w:t>la</w:t>
      </w:r>
      <w:r>
        <w:t xml:space="preserve"> </w:t>
      </w:r>
      <w:r w:rsidRPr="008516D1">
        <w:t>Convention,</w:t>
      </w:r>
      <w:r>
        <w:t xml:space="preserve"> </w:t>
      </w:r>
      <w:r w:rsidRPr="008516D1">
        <w:t>afin</w:t>
      </w:r>
      <w:r>
        <w:t xml:space="preserve"> </w:t>
      </w:r>
      <w:r w:rsidRPr="008516D1">
        <w:t>que</w:t>
      </w:r>
      <w:r>
        <w:t xml:space="preserve"> </w:t>
      </w:r>
      <w:r w:rsidRPr="008516D1">
        <w:t>quiconque</w:t>
      </w:r>
      <w:r>
        <w:t xml:space="preserve"> </w:t>
      </w:r>
      <w:r w:rsidRPr="008516D1">
        <w:t>a</w:t>
      </w:r>
      <w:r>
        <w:t xml:space="preserve"> </w:t>
      </w:r>
      <w:r w:rsidRPr="008516D1">
        <w:t>subi</w:t>
      </w:r>
      <w:r>
        <w:t xml:space="preserve"> </w:t>
      </w:r>
      <w:r w:rsidRPr="008516D1">
        <w:t>un</w:t>
      </w:r>
      <w:r>
        <w:t xml:space="preserve"> </w:t>
      </w:r>
      <w:r w:rsidRPr="008516D1">
        <w:t>préjudice</w:t>
      </w:r>
      <w:r>
        <w:t xml:space="preserve"> </w:t>
      </w:r>
      <w:r w:rsidRPr="008516D1">
        <w:t>direct</w:t>
      </w:r>
      <w:r>
        <w:t xml:space="preserve"> </w:t>
      </w:r>
      <w:r w:rsidRPr="008516D1">
        <w:t>du</w:t>
      </w:r>
      <w:r>
        <w:t xml:space="preserve"> </w:t>
      </w:r>
      <w:r w:rsidRPr="008516D1">
        <w:t>fait</w:t>
      </w:r>
      <w:r>
        <w:t xml:space="preserve"> </w:t>
      </w:r>
      <w:r w:rsidRPr="008516D1">
        <w:t>d</w:t>
      </w:r>
      <w:r>
        <w:t>’</w:t>
      </w:r>
      <w:r w:rsidRPr="008516D1">
        <w:t>une</w:t>
      </w:r>
      <w:r>
        <w:t xml:space="preserve"> </w:t>
      </w:r>
      <w:r w:rsidRPr="008516D1">
        <w:t>disparition</w:t>
      </w:r>
      <w:r>
        <w:t xml:space="preserve"> </w:t>
      </w:r>
      <w:r w:rsidRPr="008516D1">
        <w:t>forcée</w:t>
      </w:r>
      <w:r>
        <w:t xml:space="preserve"> </w:t>
      </w:r>
      <w:r w:rsidRPr="008516D1">
        <w:t>puisse</w:t>
      </w:r>
      <w:r>
        <w:t xml:space="preserve"> </w:t>
      </w:r>
      <w:r w:rsidRPr="008516D1">
        <w:t>exercer</w:t>
      </w:r>
      <w:r>
        <w:t xml:space="preserve"> </w:t>
      </w:r>
      <w:r w:rsidRPr="008516D1">
        <w:t>les</w:t>
      </w:r>
      <w:r>
        <w:t xml:space="preserve"> </w:t>
      </w:r>
      <w:r w:rsidRPr="008516D1">
        <w:t>droits</w:t>
      </w:r>
      <w:r>
        <w:t xml:space="preserve"> </w:t>
      </w:r>
      <w:r w:rsidRPr="008516D1">
        <w:t>énoncés</w:t>
      </w:r>
      <w:r>
        <w:t xml:space="preserve"> </w:t>
      </w:r>
      <w:r w:rsidRPr="008516D1">
        <w:t>dans</w:t>
      </w:r>
      <w:r>
        <w:t xml:space="preserve"> </w:t>
      </w:r>
      <w:r w:rsidRPr="008516D1">
        <w:t>cet</w:t>
      </w:r>
      <w:r>
        <w:t xml:space="preserve"> </w:t>
      </w:r>
      <w:r w:rsidRPr="008516D1">
        <w:t>article,</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que,</w:t>
      </w:r>
      <w:r>
        <w:t xml:space="preserve"> </w:t>
      </w:r>
      <w:r w:rsidRPr="008516D1">
        <w:t>dans</w:t>
      </w:r>
      <w:r>
        <w:t xml:space="preserve"> </w:t>
      </w:r>
      <w:r w:rsidRPr="008516D1">
        <w:t>la</w:t>
      </w:r>
      <w:r>
        <w:t xml:space="preserve"> </w:t>
      </w:r>
      <w:r w:rsidRPr="008516D1">
        <w:t>législation</w:t>
      </w:r>
      <w:r>
        <w:t xml:space="preserve"> </w:t>
      </w:r>
      <w:r w:rsidRPr="008516D1">
        <w:t>nationale,</w:t>
      </w:r>
      <w:r>
        <w:t xml:space="preserve"> </w:t>
      </w:r>
      <w:r w:rsidRPr="008516D1">
        <w:t>la</w:t>
      </w:r>
      <w:r>
        <w:t xml:space="preserve"> </w:t>
      </w:r>
      <w:r w:rsidRPr="008516D1">
        <w:t>définition</w:t>
      </w:r>
      <w:r>
        <w:t xml:space="preserve"> </w:t>
      </w:r>
      <w:r w:rsidRPr="008516D1">
        <w:t>de</w:t>
      </w:r>
      <w:r>
        <w:t xml:space="preserve"> </w:t>
      </w:r>
      <w:r w:rsidRPr="008516D1">
        <w:t>la</w:t>
      </w:r>
      <w:r>
        <w:t xml:space="preserve"> </w:t>
      </w:r>
      <w:r w:rsidRPr="008516D1">
        <w:t>victime</w:t>
      </w:r>
      <w:r>
        <w:t xml:space="preserve"> </w:t>
      </w:r>
      <w:r w:rsidRPr="008516D1">
        <w:t>est</w:t>
      </w:r>
      <w:r>
        <w:t xml:space="preserve"> </w:t>
      </w:r>
      <w:r w:rsidRPr="008516D1">
        <w:t>donnée</w:t>
      </w:r>
      <w:r>
        <w:t xml:space="preserve"> </w:t>
      </w:r>
      <w:r w:rsidRPr="008516D1">
        <w:t>par</w:t>
      </w:r>
      <w:r>
        <w:t xml:space="preserve"> </w:t>
      </w:r>
      <w:r w:rsidRPr="008516D1">
        <w:t>l</w:t>
      </w:r>
      <w:r>
        <w:t>’</w:t>
      </w:r>
      <w:r w:rsidRPr="008516D1">
        <w:t>article</w:t>
      </w:r>
      <w:r>
        <w:t xml:space="preserve"> </w:t>
      </w:r>
      <w:r w:rsidRPr="008516D1">
        <w:t>17</w:t>
      </w:r>
      <w:r>
        <w:t xml:space="preserve"> </w:t>
      </w:r>
      <w:r w:rsidRPr="008516D1">
        <w:t>du</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selon</w:t>
      </w:r>
      <w:r>
        <w:t xml:space="preserve"> </w:t>
      </w:r>
      <w:r w:rsidRPr="008516D1">
        <w:t>lequel</w:t>
      </w:r>
      <w:r>
        <w:t xml:space="preserve"> </w:t>
      </w:r>
      <w:r w:rsidRPr="008516D1">
        <w:t>sont</w:t>
      </w:r>
      <w:r>
        <w:t xml:space="preserve"> </w:t>
      </w:r>
      <w:r w:rsidRPr="008516D1">
        <w:t>considérées</w:t>
      </w:r>
      <w:r>
        <w:t xml:space="preserve"> </w:t>
      </w:r>
      <w:r w:rsidRPr="008516D1">
        <w:t>comme</w:t>
      </w:r>
      <w:r>
        <w:t xml:space="preserve"> </w:t>
      </w:r>
      <w:r w:rsidRPr="008516D1">
        <w:t>victimes</w:t>
      </w:r>
      <w:r>
        <w:t xml:space="preserve"> : </w:t>
      </w:r>
      <w:r w:rsidRPr="008516D1">
        <w:t>1)</w:t>
      </w:r>
      <w:r w:rsidR="006B3441">
        <w:t> </w:t>
      </w:r>
      <w:r w:rsidRPr="008516D1">
        <w:t>la</w:t>
      </w:r>
      <w:r>
        <w:t xml:space="preserve"> </w:t>
      </w:r>
      <w:r w:rsidRPr="008516D1">
        <w:t>partie</w:t>
      </w:r>
      <w:r>
        <w:t xml:space="preserve"> </w:t>
      </w:r>
      <w:r w:rsidRPr="008516D1">
        <w:t>directement</w:t>
      </w:r>
      <w:r>
        <w:t xml:space="preserve"> </w:t>
      </w:r>
      <w:r w:rsidRPr="008516D1">
        <w:t>lésée</w:t>
      </w:r>
      <w:r>
        <w:t xml:space="preserve"> </w:t>
      </w:r>
      <w:r w:rsidRPr="008516D1">
        <w:t>(</w:t>
      </w:r>
      <w:r w:rsidR="006B3441">
        <w:t>…</w:t>
      </w:r>
      <w:r w:rsidRPr="008516D1">
        <w:t>)</w:t>
      </w:r>
      <w:r>
        <w:t xml:space="preserve"> </w:t>
      </w:r>
      <w:r w:rsidRPr="008516D1">
        <w:t>2)</w:t>
      </w:r>
      <w:r w:rsidR="006B3441">
        <w:t> </w:t>
      </w:r>
      <w:r w:rsidRPr="008516D1">
        <w:t>l</w:t>
      </w:r>
      <w:r>
        <w:t>’</w:t>
      </w:r>
      <w:r w:rsidRPr="008516D1">
        <w:t>époux</w:t>
      </w:r>
      <w:r>
        <w:t xml:space="preserve"> </w:t>
      </w:r>
      <w:r w:rsidRPr="008516D1">
        <w:t>ou</w:t>
      </w:r>
      <w:r>
        <w:t xml:space="preserve"> </w:t>
      </w:r>
      <w:r w:rsidRPr="008516D1">
        <w:t>le</w:t>
      </w:r>
      <w:r>
        <w:t xml:space="preserve"> </w:t>
      </w:r>
      <w:r w:rsidRPr="008516D1">
        <w:t>partenaire</w:t>
      </w:r>
      <w:r>
        <w:t xml:space="preserve"> </w:t>
      </w:r>
      <w:r w:rsidRPr="008516D1">
        <w:t>de</w:t>
      </w:r>
      <w:r>
        <w:t xml:space="preserve"> </w:t>
      </w:r>
      <w:r w:rsidRPr="008516D1">
        <w:t>vie,</w:t>
      </w:r>
      <w:r>
        <w:t xml:space="preserve"> </w:t>
      </w:r>
      <w:r w:rsidRPr="008516D1">
        <w:t>les</w:t>
      </w:r>
      <w:r>
        <w:t xml:space="preserve"> </w:t>
      </w:r>
      <w:r w:rsidRPr="008516D1">
        <w:t>enfants,</w:t>
      </w:r>
      <w:r>
        <w:t xml:space="preserve"> </w:t>
      </w:r>
      <w:r w:rsidRPr="008516D1">
        <w:t>les</w:t>
      </w:r>
      <w:r>
        <w:t xml:space="preserve"> </w:t>
      </w:r>
      <w:r w:rsidRPr="008516D1">
        <w:t>parents</w:t>
      </w:r>
      <w:r>
        <w:t xml:space="preserve"> </w:t>
      </w:r>
      <w:r w:rsidRPr="008516D1">
        <w:t>adoptifs,</w:t>
      </w:r>
      <w:r>
        <w:t xml:space="preserve"> </w:t>
      </w:r>
      <w:r w:rsidRPr="008516D1">
        <w:t>les</w:t>
      </w:r>
      <w:r>
        <w:t xml:space="preserve"> </w:t>
      </w:r>
      <w:r w:rsidRPr="008516D1">
        <w:t>parents</w:t>
      </w:r>
      <w:r>
        <w:t xml:space="preserve"> </w:t>
      </w:r>
      <w:r w:rsidRPr="008516D1">
        <w:t>jusqu</w:t>
      </w:r>
      <w:r>
        <w:t>’</w:t>
      </w:r>
      <w:r w:rsidRPr="008516D1">
        <w:t>au</w:t>
      </w:r>
      <w:r>
        <w:t xml:space="preserve"> </w:t>
      </w:r>
      <w:r w:rsidRPr="008516D1">
        <w:t>quatrième</w:t>
      </w:r>
      <w:r>
        <w:t xml:space="preserve"> </w:t>
      </w:r>
      <w:r w:rsidRPr="008516D1">
        <w:t>degré</w:t>
      </w:r>
      <w:r>
        <w:t xml:space="preserve"> </w:t>
      </w:r>
      <w:r w:rsidRPr="008516D1">
        <w:t>de</w:t>
      </w:r>
      <w:r>
        <w:t xml:space="preserve"> </w:t>
      </w:r>
      <w:r w:rsidRPr="008516D1">
        <w:t>consanguinité</w:t>
      </w:r>
      <w:r>
        <w:t xml:space="preserve"> </w:t>
      </w:r>
      <w:r w:rsidRPr="008516D1">
        <w:t>ou</w:t>
      </w:r>
      <w:r>
        <w:t xml:space="preserve"> </w:t>
      </w:r>
      <w:r w:rsidRPr="008516D1">
        <w:t>au</w:t>
      </w:r>
      <w:r>
        <w:t xml:space="preserve"> </w:t>
      </w:r>
      <w:r w:rsidRPr="008516D1">
        <w:t>deuxième</w:t>
      </w:r>
      <w:r>
        <w:t xml:space="preserve"> </w:t>
      </w:r>
      <w:r w:rsidRPr="008516D1">
        <w:t>degré</w:t>
      </w:r>
      <w:r>
        <w:t xml:space="preserve"> </w:t>
      </w:r>
      <w:r w:rsidRPr="008516D1">
        <w:t>d</w:t>
      </w:r>
      <w:r>
        <w:t>’</w:t>
      </w:r>
      <w:r w:rsidRPr="008516D1">
        <w:t>affinité</w:t>
      </w:r>
      <w:r>
        <w:t xml:space="preserve"> </w:t>
      </w:r>
      <w:r w:rsidRPr="008516D1">
        <w:t>et</w:t>
      </w:r>
      <w:r>
        <w:t xml:space="preserve"> </w:t>
      </w:r>
      <w:r w:rsidRPr="008516D1">
        <w:t>les</w:t>
      </w:r>
      <w:r>
        <w:t xml:space="preserve"> </w:t>
      </w:r>
      <w:r w:rsidRPr="008516D1">
        <w:t>héritiers</w:t>
      </w:r>
      <w:r>
        <w:t xml:space="preserve"> </w:t>
      </w:r>
      <w:r w:rsidRPr="008516D1">
        <w:t>(</w:t>
      </w:r>
      <w:r w:rsidR="006B3441">
        <w:t>…</w:t>
      </w:r>
      <w:r w:rsidRPr="008516D1">
        <w:t>)</w:t>
      </w:r>
      <w:r w:rsidRPr="006B3441">
        <w:t xml:space="preserve">. </w:t>
      </w:r>
      <w:r w:rsidR="006B3441" w:rsidRPr="006B3441">
        <w:t>À</w:t>
      </w:r>
      <w:r>
        <w:t xml:space="preserve"> </w:t>
      </w:r>
      <w:r w:rsidRPr="008516D1">
        <w:t>cet</w:t>
      </w:r>
      <w:r>
        <w:t xml:space="preserve"> </w:t>
      </w:r>
      <w:r w:rsidRPr="008516D1">
        <w:t>égard,</w:t>
      </w:r>
      <w:r>
        <w:t xml:space="preserve"> </w:t>
      </w:r>
      <w:r w:rsidRPr="008516D1">
        <w:t>la</w:t>
      </w:r>
      <w:r>
        <w:t xml:space="preserve"> </w:t>
      </w:r>
      <w:r w:rsidRPr="008516D1">
        <w:t>Cour</w:t>
      </w:r>
      <w:r>
        <w:t xml:space="preserve"> </w:t>
      </w:r>
      <w:r w:rsidRPr="008516D1">
        <w:t>interaméricaine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dans</w:t>
      </w:r>
      <w:r>
        <w:t xml:space="preserve"> </w:t>
      </w:r>
      <w:r w:rsidRPr="008516D1">
        <w:t>les</w:t>
      </w:r>
      <w:r>
        <w:t xml:space="preserve"> </w:t>
      </w:r>
      <w:r w:rsidRPr="008516D1">
        <w:t>affaires</w:t>
      </w:r>
      <w:r>
        <w:t xml:space="preserve"> </w:t>
      </w:r>
      <w:r w:rsidRPr="008516D1">
        <w:t>dont</w:t>
      </w:r>
      <w:r>
        <w:t xml:space="preserve"> </w:t>
      </w:r>
      <w:r w:rsidRPr="008516D1">
        <w:t>elle</w:t>
      </w:r>
      <w:r>
        <w:t xml:space="preserve"> </w:t>
      </w:r>
      <w:r w:rsidRPr="008516D1">
        <w:t>a</w:t>
      </w:r>
      <w:r>
        <w:t xml:space="preserve"> </w:t>
      </w:r>
      <w:r w:rsidRPr="008516D1">
        <w:t>été</w:t>
      </w:r>
      <w:r>
        <w:t xml:space="preserve"> </w:t>
      </w:r>
      <w:r w:rsidRPr="008516D1">
        <w:t>saisie,</w:t>
      </w:r>
      <w:r>
        <w:t xml:space="preserve"> </w:t>
      </w:r>
      <w:r w:rsidRPr="008516D1">
        <w:t>a</w:t>
      </w:r>
      <w:r>
        <w:t xml:space="preserve"> </w:t>
      </w:r>
      <w:r w:rsidRPr="008516D1">
        <w:t>jugé</w:t>
      </w:r>
      <w:r>
        <w:t xml:space="preserve"> </w:t>
      </w:r>
      <w:r w:rsidRPr="008516D1">
        <w:t>que</w:t>
      </w:r>
      <w:r>
        <w:t xml:space="preserve"> </w:t>
      </w:r>
      <w:r w:rsidRPr="008516D1">
        <w:t>les</w:t>
      </w:r>
      <w:r>
        <w:t xml:space="preserve"> </w:t>
      </w:r>
      <w:r w:rsidRPr="008516D1">
        <w:t>membres</w:t>
      </w:r>
      <w:r>
        <w:t xml:space="preserve"> </w:t>
      </w:r>
      <w:r w:rsidRPr="008516D1">
        <w:t>de</w:t>
      </w:r>
      <w:r>
        <w:t xml:space="preserve"> </w:t>
      </w:r>
      <w:r w:rsidRPr="008516D1">
        <w:t>la</w:t>
      </w:r>
      <w:r>
        <w:t xml:space="preserve"> </w:t>
      </w:r>
      <w:r w:rsidRPr="008516D1">
        <w:t>famille</w:t>
      </w:r>
      <w:r>
        <w:t xml:space="preserve"> </w:t>
      </w:r>
      <w:r w:rsidRPr="008516D1">
        <w:t>peuvent</w:t>
      </w:r>
      <w:r>
        <w:t xml:space="preserve"> </w:t>
      </w:r>
      <w:r w:rsidRPr="008516D1">
        <w:t>être</w:t>
      </w:r>
      <w:r>
        <w:t xml:space="preserve"> </w:t>
      </w:r>
      <w:r w:rsidRPr="008516D1">
        <w:t>considérés</w:t>
      </w:r>
      <w:r>
        <w:t xml:space="preserve"> </w:t>
      </w:r>
      <w:r w:rsidRPr="008516D1">
        <w:t>comme</w:t>
      </w:r>
      <w:r>
        <w:t xml:space="preserve"> </w:t>
      </w:r>
      <w:r w:rsidRPr="008516D1">
        <w:t>des</w:t>
      </w:r>
      <w:r>
        <w:t xml:space="preserve"> </w:t>
      </w:r>
      <w:r w:rsidRPr="008516D1">
        <w:t>victimes</w:t>
      </w:r>
      <w:r w:rsidRPr="008516D1">
        <w:rPr>
          <w:rStyle w:val="Appelnotedebasdep"/>
        </w:rPr>
        <w:footnoteReference w:id="112"/>
      </w:r>
      <w:r w:rsidRPr="008516D1">
        <w:t>,</w:t>
      </w:r>
      <w:r>
        <w:t xml:space="preserve"> </w:t>
      </w:r>
      <w:r w:rsidRPr="008516D1">
        <w:t>et</w:t>
      </w:r>
      <w:r>
        <w:t xml:space="preserve"> </w:t>
      </w:r>
      <w:r w:rsidRPr="008516D1">
        <w:t>que</w:t>
      </w:r>
      <w:r>
        <w:t xml:space="preserve"> </w:t>
      </w:r>
      <w:r w:rsidRPr="008516D1">
        <w:t>les</w:t>
      </w:r>
      <w:r>
        <w:t xml:space="preserve"> </w:t>
      </w:r>
      <w:r w:rsidRPr="008516D1">
        <w:t>mère</w:t>
      </w:r>
      <w:r>
        <w:t xml:space="preserve"> </w:t>
      </w:r>
      <w:r w:rsidRPr="008516D1">
        <w:t>et</w:t>
      </w:r>
      <w:r>
        <w:t xml:space="preserve"> </w:t>
      </w:r>
      <w:r w:rsidRPr="008516D1">
        <w:t>père,</w:t>
      </w:r>
      <w:r>
        <w:t xml:space="preserve"> </w:t>
      </w:r>
      <w:r w:rsidRPr="008516D1">
        <w:t>filles</w:t>
      </w:r>
      <w:r>
        <w:t xml:space="preserve"> </w:t>
      </w:r>
      <w:r w:rsidRPr="008516D1">
        <w:t>et</w:t>
      </w:r>
      <w:r>
        <w:t xml:space="preserve"> </w:t>
      </w:r>
      <w:r w:rsidRPr="008516D1">
        <w:t>fils,</w:t>
      </w:r>
      <w:r>
        <w:t xml:space="preserve"> </w:t>
      </w:r>
      <w:r w:rsidRPr="008516D1">
        <w:t>époux</w:t>
      </w:r>
      <w:r>
        <w:t xml:space="preserve"> </w:t>
      </w:r>
      <w:r w:rsidRPr="008516D1">
        <w:t>et</w:t>
      </w:r>
      <w:r>
        <w:t xml:space="preserve"> </w:t>
      </w:r>
      <w:r w:rsidRPr="008516D1">
        <w:t>épouse,</w:t>
      </w:r>
      <w:r>
        <w:t xml:space="preserve"> </w:t>
      </w:r>
      <w:r w:rsidRPr="008516D1">
        <w:t>partenaire</w:t>
      </w:r>
      <w:r>
        <w:t xml:space="preserve"> </w:t>
      </w:r>
      <w:r w:rsidRPr="008516D1">
        <w:t>en</w:t>
      </w:r>
      <w:r>
        <w:t xml:space="preserve"> </w:t>
      </w:r>
      <w:r w:rsidRPr="008516D1">
        <w:t>union</w:t>
      </w:r>
      <w:r>
        <w:t xml:space="preserve"> </w:t>
      </w:r>
      <w:r w:rsidRPr="008516D1">
        <w:t>libre,</w:t>
      </w:r>
      <w:r>
        <w:t xml:space="preserve"> </w:t>
      </w:r>
      <w:r w:rsidRPr="008516D1">
        <w:t>frères</w:t>
      </w:r>
      <w:r>
        <w:t xml:space="preserve"> </w:t>
      </w:r>
      <w:r w:rsidRPr="008516D1">
        <w:t>et</w:t>
      </w:r>
      <w:r>
        <w:t xml:space="preserve"> </w:t>
      </w:r>
      <w:r w:rsidRPr="008516D1">
        <w:t>sœurs</w:t>
      </w:r>
      <w:r>
        <w:t xml:space="preserve"> </w:t>
      </w:r>
      <w:r w:rsidRPr="008516D1">
        <w:t>bénéficient</w:t>
      </w:r>
      <w:r>
        <w:t xml:space="preserve"> </w:t>
      </w:r>
      <w:r w:rsidRPr="008516D1">
        <w:t>d</w:t>
      </w:r>
      <w:r>
        <w:t>’</w:t>
      </w:r>
      <w:r w:rsidRPr="008516D1">
        <w:t>une</w:t>
      </w:r>
      <w:r>
        <w:t xml:space="preserve"> </w:t>
      </w:r>
      <w:r w:rsidRPr="008516D1">
        <w:t>présomption</w:t>
      </w:r>
      <w:r>
        <w:t xml:space="preserve"> </w:t>
      </w:r>
      <w:r w:rsidRPr="008516D1">
        <w:t>réfragable</w:t>
      </w:r>
      <w:r w:rsidRPr="008516D1">
        <w:rPr>
          <w:rStyle w:val="Appelnotedebasdep"/>
        </w:rPr>
        <w:footnoteReference w:id="113"/>
      </w:r>
      <w:r w:rsidRPr="008516D1">
        <w:t>.</w:t>
      </w:r>
      <w:r>
        <w:t xml:space="preserve"> </w:t>
      </w:r>
      <w:r w:rsidRPr="008516D1">
        <w:t>En</w:t>
      </w:r>
      <w:r>
        <w:t xml:space="preserve"> </w:t>
      </w:r>
      <w:r w:rsidRPr="008516D1">
        <w:t>conséquence,</w:t>
      </w:r>
      <w:r>
        <w:t xml:space="preserve"> </w:t>
      </w:r>
      <w:r w:rsidRPr="008516D1">
        <w:t>la</w:t>
      </w:r>
      <w:r>
        <w:t xml:space="preserve"> </w:t>
      </w:r>
      <w:r w:rsidRPr="008516D1">
        <w:t>définition</w:t>
      </w:r>
      <w:r>
        <w:t xml:space="preserve"> </w:t>
      </w:r>
      <w:r w:rsidRPr="008516D1">
        <w:t>des</w:t>
      </w:r>
      <w:r>
        <w:t xml:space="preserve"> </w:t>
      </w:r>
      <w:r w:rsidRPr="008516D1">
        <w:t>victimes</w:t>
      </w:r>
      <w:r>
        <w:t xml:space="preserve"> </w:t>
      </w:r>
      <w:r w:rsidRPr="008516D1">
        <w:t>contenue</w:t>
      </w:r>
      <w:r>
        <w:t xml:space="preserve"> </w:t>
      </w:r>
      <w:r w:rsidRPr="008516D1">
        <w:t>dans</w:t>
      </w:r>
      <w:r>
        <w:t xml:space="preserve"> </w:t>
      </w:r>
      <w:r w:rsidRPr="008516D1">
        <w:t>le</w:t>
      </w:r>
      <w:r>
        <w:t xml:space="preserve"> </w:t>
      </w:r>
      <w:r w:rsidRPr="008516D1">
        <w:t>Code</w:t>
      </w:r>
      <w:r>
        <w:t xml:space="preserve"> </w:t>
      </w:r>
      <w:r w:rsidRPr="008516D1">
        <w:t>de</w:t>
      </w:r>
      <w:r>
        <w:t xml:space="preserve"> </w:t>
      </w:r>
      <w:r w:rsidRPr="008516D1">
        <w:t>procédure</w:t>
      </w:r>
      <w:r>
        <w:t xml:space="preserve"> </w:t>
      </w:r>
      <w:r w:rsidRPr="008516D1">
        <w:t>pénale</w:t>
      </w:r>
      <w:r>
        <w:t xml:space="preserve"> </w:t>
      </w:r>
      <w:r w:rsidRPr="008516D1">
        <w:t>est</w:t>
      </w:r>
      <w:r>
        <w:t xml:space="preserve"> </w:t>
      </w:r>
      <w:r w:rsidRPr="008516D1">
        <w:t>conforme</w:t>
      </w:r>
      <w:r>
        <w:t xml:space="preserve"> </w:t>
      </w:r>
      <w:r w:rsidRPr="008516D1">
        <w:t>à</w:t>
      </w:r>
      <w:r>
        <w:t xml:space="preserve"> </w:t>
      </w:r>
      <w:r w:rsidRPr="008516D1">
        <w:t>la</w:t>
      </w:r>
      <w:r>
        <w:t xml:space="preserve"> </w:t>
      </w:r>
      <w:r w:rsidRPr="008516D1">
        <w:t>jurisprudence</w:t>
      </w:r>
      <w:r>
        <w:t xml:space="preserve"> </w:t>
      </w:r>
      <w:r w:rsidRPr="008516D1">
        <w:t>du</w:t>
      </w:r>
      <w:r>
        <w:t xml:space="preserve"> </w:t>
      </w:r>
      <w:r w:rsidRPr="008516D1">
        <w:t>Système</w:t>
      </w:r>
      <w:r>
        <w:t xml:space="preserve"> </w:t>
      </w:r>
      <w:r w:rsidRPr="008516D1">
        <w:t>interaméricain</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684BCEC9" w14:textId="2D6442EB" w:rsidR="00286956" w:rsidRPr="008516D1" w:rsidRDefault="00286956" w:rsidP="00286956">
      <w:pPr>
        <w:pStyle w:val="SingleTxtG"/>
      </w:pPr>
      <w:r w:rsidRPr="008516D1">
        <w:t>182.</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37</w:t>
      </w:r>
      <w:r w:rsidR="00A74554">
        <w:t> b)</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mettre</w:t>
      </w:r>
      <w:r>
        <w:t xml:space="preserve"> </w:t>
      </w:r>
      <w:r w:rsidRPr="008516D1">
        <w:t>en</w:t>
      </w:r>
      <w:r>
        <w:t xml:space="preserve"> </w:t>
      </w:r>
      <w:r w:rsidRPr="008516D1">
        <w:t>place</w:t>
      </w:r>
      <w:r>
        <w:t xml:space="preserve"> </w:t>
      </w:r>
      <w:r w:rsidRPr="008516D1">
        <w:t>un</w:t>
      </w:r>
      <w:r>
        <w:t xml:space="preserve"> </w:t>
      </w:r>
      <w:r w:rsidRPr="008516D1">
        <w:t>système</w:t>
      </w:r>
      <w:r>
        <w:t xml:space="preserve"> </w:t>
      </w:r>
      <w:r w:rsidRPr="008516D1">
        <w:t>complet</w:t>
      </w:r>
      <w:r>
        <w:t xml:space="preserve"> </w:t>
      </w:r>
      <w:r w:rsidRPr="008516D1">
        <w:t>de</w:t>
      </w:r>
      <w:r>
        <w:t xml:space="preserve"> </w:t>
      </w:r>
      <w:r w:rsidRPr="008516D1">
        <w:t>réparation</w:t>
      </w:r>
      <w:r>
        <w:t xml:space="preserve"> </w:t>
      </w:r>
      <w:r w:rsidRPr="008516D1">
        <w:t>qui</w:t>
      </w:r>
      <w:r>
        <w:t xml:space="preserve"> </w:t>
      </w:r>
      <w:r w:rsidRPr="008516D1">
        <w:t>prenne</w:t>
      </w:r>
      <w:r>
        <w:t xml:space="preserve"> </w:t>
      </w:r>
      <w:r w:rsidRPr="008516D1">
        <w:t>en</w:t>
      </w:r>
      <w:r>
        <w:t xml:space="preserve"> </w:t>
      </w:r>
      <w:r w:rsidRPr="008516D1">
        <w:t>considération</w:t>
      </w:r>
      <w:r>
        <w:t xml:space="preserve"> </w:t>
      </w:r>
      <w:r w:rsidRPr="008516D1">
        <w:t>la</w:t>
      </w:r>
      <w:r>
        <w:t xml:space="preserve"> </w:t>
      </w:r>
      <w:r w:rsidRPr="008516D1">
        <w:t>situation</w:t>
      </w:r>
      <w:r>
        <w:t xml:space="preserve"> </w:t>
      </w:r>
      <w:r w:rsidRPr="008516D1">
        <w:t>de</w:t>
      </w:r>
      <w:r>
        <w:t xml:space="preserve"> </w:t>
      </w:r>
      <w:r w:rsidRPr="008516D1">
        <w:t>chaque</w:t>
      </w:r>
      <w:r>
        <w:t xml:space="preserve"> </w:t>
      </w:r>
      <w:r w:rsidRPr="008516D1">
        <w:t>victime,</w:t>
      </w:r>
      <w:r>
        <w:t xml:space="preserve"> </w:t>
      </w:r>
      <w:r w:rsidRPr="008516D1">
        <w:t>soit</w:t>
      </w:r>
      <w:r>
        <w:t xml:space="preserve"> </w:t>
      </w:r>
      <w:r w:rsidRPr="008516D1">
        <w:t>pleinement</w:t>
      </w:r>
      <w:r>
        <w:t xml:space="preserve"> </w:t>
      </w:r>
      <w:r w:rsidRPr="008516D1">
        <w:t>conforme</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24</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applicable</w:t>
      </w:r>
      <w:r>
        <w:t xml:space="preserve"> </w:t>
      </w:r>
      <w:r w:rsidRPr="008516D1">
        <w:t>quelle</w:t>
      </w:r>
      <w:r>
        <w:t xml:space="preserve"> </w:t>
      </w:r>
      <w:r w:rsidRPr="008516D1">
        <w:t>que</w:t>
      </w:r>
      <w:r>
        <w:t xml:space="preserve"> </w:t>
      </w:r>
      <w:r w:rsidRPr="008516D1">
        <w:t>soit</w:t>
      </w:r>
      <w:r>
        <w:t xml:space="preserve"> </w:t>
      </w:r>
      <w:r w:rsidRPr="008516D1">
        <w:t>la</w:t>
      </w:r>
      <w:r>
        <w:t xml:space="preserve"> </w:t>
      </w:r>
      <w:r w:rsidRPr="008516D1">
        <w:t>procédure</w:t>
      </w:r>
      <w:r>
        <w:t xml:space="preserve"> </w:t>
      </w:r>
      <w:r w:rsidRPr="008516D1">
        <w:t>pénale,</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que</w:t>
      </w:r>
      <w:r>
        <w:t xml:space="preserve"> </w:t>
      </w:r>
      <w:r w:rsidRPr="008516D1">
        <w:t>le</w:t>
      </w:r>
      <w:r>
        <w:t xml:space="preserve"> </w:t>
      </w:r>
      <w:r w:rsidRPr="008516D1">
        <w:t>projet</w:t>
      </w:r>
      <w:r>
        <w:t xml:space="preserve"> </w:t>
      </w:r>
      <w:r w:rsidRPr="008516D1">
        <w:t>de</w:t>
      </w:r>
      <w:r>
        <w:t xml:space="preserve"> </w:t>
      </w:r>
      <w:r w:rsidRPr="008516D1">
        <w:t>loi</w:t>
      </w:r>
      <w:r>
        <w:t xml:space="preserve"> </w:t>
      </w:r>
      <w:r w:rsidRPr="008516D1">
        <w:t>sur</w:t>
      </w:r>
      <w:r>
        <w:t xml:space="preserve"> </w:t>
      </w:r>
      <w:r w:rsidRPr="008516D1">
        <w:t>la</w:t>
      </w:r>
      <w:r>
        <w:t xml:space="preserve"> </w:t>
      </w:r>
      <w:r w:rsidRPr="008516D1">
        <w:t>réparation</w:t>
      </w:r>
      <w:r>
        <w:t xml:space="preserve"> </w:t>
      </w:r>
      <w:r w:rsidRPr="008516D1">
        <w:t>intégrale</w:t>
      </w:r>
      <w:r>
        <w:t xml:space="preserve"> </w:t>
      </w:r>
      <w:r w:rsidRPr="008516D1">
        <w:t>des</w:t>
      </w:r>
      <w:r>
        <w:t xml:space="preserve"> </w:t>
      </w:r>
      <w:r w:rsidRPr="008516D1">
        <w:t>victimes</w:t>
      </w:r>
      <w:r>
        <w:t xml:space="preserve"> </w:t>
      </w:r>
      <w:r w:rsidRPr="008516D1">
        <w:t>de</w:t>
      </w:r>
      <w:r>
        <w:t xml:space="preserve"> </w:t>
      </w:r>
      <w:r w:rsidRPr="008516D1">
        <w:t>violations</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du</w:t>
      </w:r>
      <w:r>
        <w:t xml:space="preserve"> </w:t>
      </w:r>
      <w:r w:rsidRPr="008516D1">
        <w:t>fait</w:t>
      </w:r>
      <w:r>
        <w:t xml:space="preserve"> </w:t>
      </w:r>
      <w:r w:rsidRPr="008516D1">
        <w:t>d</w:t>
      </w:r>
      <w:r>
        <w:t>’</w:t>
      </w:r>
      <w:r w:rsidRPr="008516D1">
        <w:t>actes</w:t>
      </w:r>
      <w:r>
        <w:t xml:space="preserve"> </w:t>
      </w:r>
      <w:r w:rsidRPr="008516D1">
        <w:t>ou</w:t>
      </w:r>
      <w:r>
        <w:t xml:space="preserve"> </w:t>
      </w:r>
      <w:r w:rsidRPr="008516D1">
        <w:t>d</w:t>
      </w:r>
      <w:r>
        <w:t>’</w:t>
      </w:r>
      <w:r w:rsidRPr="008516D1">
        <w:t>omissions</w:t>
      </w:r>
      <w:r>
        <w:t xml:space="preserve"> </w:t>
      </w:r>
      <w:r w:rsidRPr="008516D1">
        <w:t>imputables</w:t>
      </w:r>
      <w:r>
        <w:t xml:space="preserve"> </w:t>
      </w:r>
      <w:r w:rsidRPr="008516D1">
        <w:t>à</w:t>
      </w:r>
      <w:r>
        <w:t xml:space="preserve"> </w:t>
      </w:r>
      <w:r w:rsidRPr="008516D1">
        <w:t>l</w:t>
      </w:r>
      <w:r>
        <w:t>’</w:t>
      </w:r>
      <w:r w:rsidRPr="008516D1">
        <w:t>État,</w:t>
      </w:r>
      <w:r>
        <w:t xml:space="preserve"> </w:t>
      </w:r>
      <w:r w:rsidRPr="008516D1">
        <w:t>présenté</w:t>
      </w:r>
      <w:r>
        <w:t xml:space="preserve"> </w:t>
      </w:r>
      <w:r w:rsidRPr="008516D1">
        <w:t>à</w:t>
      </w:r>
      <w:r>
        <w:t xml:space="preserve"> </w:t>
      </w:r>
      <w:r w:rsidRPr="008516D1">
        <w:t>nouveau</w:t>
      </w:r>
      <w:r>
        <w:t xml:space="preserve"> </w:t>
      </w:r>
      <w:r w:rsidRPr="008516D1">
        <w:t>le</w:t>
      </w:r>
      <w:r>
        <w:t xml:space="preserve"> </w:t>
      </w:r>
      <w:r w:rsidRPr="008516D1">
        <w:t>16</w:t>
      </w:r>
      <w:r w:rsidR="006B3441">
        <w:t> </w:t>
      </w:r>
      <w:r w:rsidRPr="008516D1">
        <w:t>mai</w:t>
      </w:r>
      <w:r>
        <w:t xml:space="preserve"> </w:t>
      </w:r>
      <w:r w:rsidRPr="008516D1">
        <w:t>2018,</w:t>
      </w:r>
      <w:r>
        <w:t xml:space="preserve"> </w:t>
      </w:r>
      <w:r w:rsidRPr="008516D1">
        <w:t>est</w:t>
      </w:r>
      <w:r>
        <w:t xml:space="preserve"> </w:t>
      </w:r>
      <w:r w:rsidRPr="008516D1">
        <w:t>examiné</w:t>
      </w:r>
      <w:r>
        <w:t xml:space="preserve"> </w:t>
      </w:r>
      <w:r w:rsidRPr="008516D1">
        <w:t>par</w:t>
      </w:r>
      <w:r>
        <w:t xml:space="preserve"> </w:t>
      </w:r>
      <w:r w:rsidRPr="008516D1">
        <w:t>la</w:t>
      </w:r>
      <w:r>
        <w:t xml:space="preserve"> </w:t>
      </w:r>
      <w:r w:rsidRPr="008516D1">
        <w:t>Commission</w:t>
      </w:r>
      <w:r>
        <w:t xml:space="preserve"> </w:t>
      </w:r>
      <w:r w:rsidRPr="008516D1">
        <w:t>de</w:t>
      </w:r>
      <w:r>
        <w:t xml:space="preserve"> </w:t>
      </w:r>
      <w:r w:rsidRPr="008516D1">
        <w:t>la</w:t>
      </w:r>
      <w:r>
        <w:t xml:space="preserve"> </w:t>
      </w:r>
      <w:r w:rsidRPr="008516D1">
        <w:t>justice</w:t>
      </w:r>
      <w:r>
        <w:t xml:space="preserve"> </w:t>
      </w:r>
      <w:r w:rsidRPr="008516D1">
        <w:t>et</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pour</w:t>
      </w:r>
      <w:r>
        <w:t xml:space="preserve"> </w:t>
      </w:r>
      <w:r w:rsidRPr="008516D1">
        <w:t>avis</w:t>
      </w:r>
      <w:r>
        <w:t xml:space="preserve"> </w:t>
      </w:r>
      <w:r w:rsidRPr="008516D1">
        <w:t>et</w:t>
      </w:r>
      <w:r>
        <w:t xml:space="preserve"> </w:t>
      </w:r>
      <w:r w:rsidRPr="008516D1">
        <w:t>a</w:t>
      </w:r>
      <w:r>
        <w:t xml:space="preserve"> </w:t>
      </w:r>
      <w:r w:rsidRPr="008516D1">
        <w:t>été</w:t>
      </w:r>
      <w:r>
        <w:t xml:space="preserve"> </w:t>
      </w:r>
      <w:r w:rsidRPr="008516D1">
        <w:t>soumis</w:t>
      </w:r>
      <w:r>
        <w:t xml:space="preserve"> </w:t>
      </w:r>
      <w:r w:rsidRPr="008516D1">
        <w:t>aux</w:t>
      </w:r>
      <w:r>
        <w:t xml:space="preserve"> </w:t>
      </w:r>
      <w:r w:rsidRPr="008516D1">
        <w:t>secteurs</w:t>
      </w:r>
      <w:r>
        <w:t xml:space="preserve"> </w:t>
      </w:r>
      <w:r w:rsidRPr="008516D1">
        <w:t>concernés,</w:t>
      </w:r>
      <w:r>
        <w:t xml:space="preserve"> </w:t>
      </w:r>
      <w:r w:rsidRPr="008516D1">
        <w:t>pour</w:t>
      </w:r>
      <w:r>
        <w:t xml:space="preserve"> </w:t>
      </w:r>
      <w:r w:rsidRPr="008516D1">
        <w:t>avis</w:t>
      </w:r>
      <w:r>
        <w:t xml:space="preserve"> </w:t>
      </w:r>
      <w:r w:rsidRPr="008516D1">
        <w:t>technique,</w:t>
      </w:r>
      <w:r>
        <w:t xml:space="preserve"> </w:t>
      </w:r>
      <w:r w:rsidRPr="008516D1">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38</w:t>
      </w:r>
      <w:r>
        <w:t xml:space="preserve"> </w:t>
      </w:r>
      <w:r w:rsidRPr="008516D1">
        <w:t>de</w:t>
      </w:r>
      <w:r>
        <w:t xml:space="preserve"> </w:t>
      </w:r>
      <w:r w:rsidRPr="008516D1">
        <w:t>la</w:t>
      </w:r>
      <w:r>
        <w:t xml:space="preserve"> </w:t>
      </w:r>
      <w:r w:rsidRPr="008516D1">
        <w:t>loi</w:t>
      </w:r>
      <w:r>
        <w:t xml:space="preserve"> </w:t>
      </w:r>
      <w:r w:rsidRPr="008516D1">
        <w:t>organique</w:t>
      </w:r>
      <w:r>
        <w:t xml:space="preserve"> </w:t>
      </w:r>
      <w:r w:rsidRPr="008516D1">
        <w:t>relative</w:t>
      </w:r>
      <w:r>
        <w:t xml:space="preserve"> </w:t>
      </w:r>
      <w:r w:rsidRPr="008516D1">
        <w:t>au</w:t>
      </w:r>
      <w:r>
        <w:t xml:space="preserve"> </w:t>
      </w:r>
      <w:r w:rsidRPr="008516D1">
        <w:t>Congrès</w:t>
      </w:r>
      <w:r>
        <w:t xml:space="preserve"> </w:t>
      </w:r>
      <w:r w:rsidRPr="008516D1">
        <w:t>national.</w:t>
      </w:r>
    </w:p>
    <w:p w14:paraId="3F48E0D7" w14:textId="245FD063" w:rsidR="00286956" w:rsidRPr="008516D1" w:rsidRDefault="00286956" w:rsidP="00286956">
      <w:pPr>
        <w:pStyle w:val="SingleTxtG"/>
      </w:pPr>
      <w:r w:rsidRPr="008516D1">
        <w:t>183.</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37</w:t>
      </w:r>
      <w:r w:rsidR="00A74554">
        <w:t> c)</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garantir</w:t>
      </w:r>
      <w:r>
        <w:t xml:space="preserve"> </w:t>
      </w:r>
      <w:r w:rsidRPr="008516D1">
        <w:t>le</w:t>
      </w:r>
      <w:r>
        <w:t xml:space="preserve"> </w:t>
      </w:r>
      <w:r w:rsidRPr="008516D1">
        <w:t>droit</w:t>
      </w:r>
      <w:r>
        <w:t xml:space="preserve"> </w:t>
      </w:r>
      <w:r w:rsidRPr="008516D1">
        <w:t>à</w:t>
      </w:r>
      <w:r>
        <w:t xml:space="preserve"> </w:t>
      </w:r>
      <w:r w:rsidRPr="008516D1">
        <w:t>la</w:t>
      </w:r>
      <w:r>
        <w:t xml:space="preserve"> </w:t>
      </w:r>
      <w:r w:rsidRPr="008516D1">
        <w:t>vérité</w:t>
      </w:r>
      <w:r>
        <w:t xml:space="preserve"> </w:t>
      </w:r>
      <w:r w:rsidRPr="008516D1">
        <w:t>à</w:t>
      </w:r>
      <w:r>
        <w:t xml:space="preserve"> </w:t>
      </w:r>
      <w:r w:rsidRPr="008516D1">
        <w:t>toutes</w:t>
      </w:r>
      <w:r>
        <w:t xml:space="preserve"> </w:t>
      </w:r>
      <w:r w:rsidRPr="008516D1">
        <w:t>les</w:t>
      </w:r>
      <w:r>
        <w:t xml:space="preserve"> </w:t>
      </w:r>
      <w:r w:rsidRPr="008516D1">
        <w:t>victimes</w:t>
      </w:r>
      <w:r>
        <w:t xml:space="preserve"> </w:t>
      </w:r>
      <w:r w:rsidRPr="008516D1">
        <w:t>de</w:t>
      </w:r>
      <w:r>
        <w:t xml:space="preserve"> </w:t>
      </w:r>
      <w:r w:rsidRPr="008516D1">
        <w:t>disparitions</w:t>
      </w:r>
      <w:r>
        <w:t xml:space="preserve"> </w:t>
      </w:r>
      <w:r w:rsidRPr="008516D1">
        <w:t>forcées,</w:t>
      </w:r>
      <w:r>
        <w:t xml:space="preserve"> </w:t>
      </w:r>
      <w:r w:rsidRPr="008516D1">
        <w:t>y</w:t>
      </w:r>
      <w:r>
        <w:t xml:space="preserve"> </w:t>
      </w:r>
      <w:r w:rsidRPr="008516D1">
        <w:t>compris</w:t>
      </w:r>
      <w:r>
        <w:t xml:space="preserve"> </w:t>
      </w:r>
      <w:r w:rsidRPr="008516D1">
        <w:t>lorsqu</w:t>
      </w:r>
      <w:r>
        <w:t>’</w:t>
      </w:r>
      <w:r w:rsidRPr="008516D1">
        <w:t>elles</w:t>
      </w:r>
      <w:r>
        <w:t xml:space="preserve"> </w:t>
      </w:r>
      <w:r w:rsidRPr="008516D1">
        <w:t>ont</w:t>
      </w:r>
      <w:r>
        <w:t xml:space="preserve"> </w:t>
      </w:r>
      <w:r w:rsidRPr="008516D1">
        <w:t>été</w:t>
      </w:r>
      <w:r>
        <w:t xml:space="preserve"> </w:t>
      </w:r>
      <w:r w:rsidRPr="008516D1">
        <w:t>perpétrées</w:t>
      </w:r>
      <w:r>
        <w:t xml:space="preserve"> </w:t>
      </w:r>
      <w:r w:rsidRPr="008516D1">
        <w:t>dans</w:t>
      </w:r>
      <w:r>
        <w:t xml:space="preserve"> </w:t>
      </w:r>
      <w:r w:rsidRPr="008516D1">
        <w:t>les</w:t>
      </w:r>
      <w:r>
        <w:t xml:space="preserve"> </w:t>
      </w:r>
      <w:r w:rsidRPr="008516D1">
        <w:t>années</w:t>
      </w:r>
      <w:r>
        <w:t xml:space="preserve"> </w:t>
      </w:r>
      <w:r w:rsidRPr="008516D1">
        <w:t>1980</w:t>
      </w:r>
      <w:r>
        <w:t xml:space="preserve"> </w:t>
      </w:r>
      <w:r w:rsidRPr="008516D1">
        <w:t>et</w:t>
      </w:r>
      <w:r>
        <w:t xml:space="preserve"> </w:t>
      </w:r>
      <w:r w:rsidRPr="008516D1">
        <w:t>1990,</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les</w:t>
      </w:r>
      <w:r>
        <w:t xml:space="preserve"> </w:t>
      </w:r>
      <w:r w:rsidRPr="008516D1">
        <w:t>précisions</w:t>
      </w:r>
      <w:r>
        <w:t xml:space="preserve"> </w:t>
      </w:r>
      <w:r w:rsidRPr="008516D1">
        <w:t>fournies</w:t>
      </w:r>
      <w:r>
        <w:t xml:space="preserve"> </w:t>
      </w:r>
      <w:r w:rsidRPr="008516D1">
        <w:t>aux</w:t>
      </w:r>
      <w:r>
        <w:t xml:space="preserve"> </w:t>
      </w:r>
      <w:r w:rsidRPr="008516D1">
        <w:t>paragraphes</w:t>
      </w:r>
      <w:r>
        <w:t xml:space="preserve"> </w:t>
      </w:r>
      <w:r w:rsidRPr="008516D1">
        <w:t>58</w:t>
      </w:r>
      <w:r>
        <w:t xml:space="preserve"> </w:t>
      </w:r>
      <w:r w:rsidRPr="008516D1">
        <w:t>et</w:t>
      </w:r>
      <w:r>
        <w:t xml:space="preserve"> </w:t>
      </w:r>
      <w:r w:rsidRPr="008516D1">
        <w:t>59</w:t>
      </w:r>
      <w:r>
        <w:t xml:space="preserve"> </w:t>
      </w:r>
      <w:r w:rsidRPr="008516D1">
        <w:t>du</w:t>
      </w:r>
      <w:r>
        <w:t xml:space="preserve"> </w:t>
      </w:r>
      <w:r w:rsidRPr="008516D1">
        <w:t>présent</w:t>
      </w:r>
      <w:r>
        <w:t xml:space="preserve"> </w:t>
      </w:r>
      <w:r w:rsidRPr="008516D1">
        <w:t>rapport.</w:t>
      </w:r>
    </w:p>
    <w:p w14:paraId="69E6808E" w14:textId="77777777" w:rsidR="00286956" w:rsidRPr="008516D1" w:rsidRDefault="00286956" w:rsidP="00286956">
      <w:pPr>
        <w:pStyle w:val="SingleTxtG"/>
      </w:pPr>
      <w:r w:rsidRPr="008516D1">
        <w:t>184.</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39</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il</w:t>
      </w:r>
      <w:r>
        <w:t xml:space="preserve"> </w:t>
      </w:r>
      <w:r w:rsidRPr="008516D1">
        <w:t>est</w:t>
      </w:r>
      <w:r>
        <w:t xml:space="preserve"> </w:t>
      </w:r>
      <w:r w:rsidRPr="008516D1">
        <w:t>recommandé</w:t>
      </w:r>
      <w:r>
        <w:t xml:space="preserve"> </w:t>
      </w:r>
      <w:r w:rsidRPr="008516D1">
        <w:t>à</w:t>
      </w:r>
      <w:r>
        <w:t xml:space="preserve"> </w:t>
      </w:r>
      <w:r w:rsidRPr="008516D1">
        <w:t>l</w:t>
      </w:r>
      <w:r>
        <w:t>’</w:t>
      </w:r>
      <w:r w:rsidRPr="008516D1">
        <w:t>État</w:t>
      </w:r>
      <w:r>
        <w:t xml:space="preserve"> </w:t>
      </w:r>
      <w:r w:rsidRPr="008516D1">
        <w:t>de</w:t>
      </w:r>
      <w:r>
        <w:t xml:space="preserve"> </w:t>
      </w:r>
      <w:r w:rsidRPr="008516D1">
        <w:t>prendre</w:t>
      </w:r>
      <w:r>
        <w:t xml:space="preserve"> </w:t>
      </w:r>
      <w:r w:rsidRPr="008516D1">
        <w:t>les</w:t>
      </w:r>
      <w:r>
        <w:t xml:space="preserve"> </w:t>
      </w:r>
      <w:r w:rsidRPr="008516D1">
        <w:t>mesures</w:t>
      </w:r>
      <w:r>
        <w:t xml:space="preserve"> </w:t>
      </w:r>
      <w:r w:rsidRPr="008516D1">
        <w:t>législatives</w:t>
      </w:r>
      <w:r>
        <w:t xml:space="preserve"> </w:t>
      </w:r>
      <w:r w:rsidRPr="008516D1">
        <w:t>nécessaires</w:t>
      </w:r>
      <w:r>
        <w:t xml:space="preserve"> </w:t>
      </w:r>
      <w:r w:rsidRPr="008516D1">
        <w:t>pour</w:t>
      </w:r>
      <w:r>
        <w:t xml:space="preserve"> </w:t>
      </w:r>
      <w:r w:rsidRPr="008516D1">
        <w:t>réglementer,</w:t>
      </w:r>
      <w:r>
        <w:t xml:space="preserve"> </w:t>
      </w:r>
      <w:r w:rsidRPr="008516D1">
        <w:t>conformément</w:t>
      </w:r>
      <w:r>
        <w:t xml:space="preserve"> </w:t>
      </w:r>
      <w:r w:rsidRPr="008516D1">
        <w:t>à</w:t>
      </w:r>
      <w:r>
        <w:t xml:space="preserve"> </w:t>
      </w:r>
      <w:r w:rsidRPr="008516D1">
        <w:t>l</w:t>
      </w:r>
      <w:r>
        <w:t>’</w:t>
      </w:r>
      <w:r w:rsidRPr="008516D1">
        <w:t>article</w:t>
      </w:r>
      <w:r>
        <w:t xml:space="preserve"> </w:t>
      </w:r>
      <w:r w:rsidRPr="008516D1">
        <w:t>24</w:t>
      </w:r>
      <w:r>
        <w:t xml:space="preserve"> </w:t>
      </w:r>
      <w:r w:rsidRPr="008516D1">
        <w:t>de</w:t>
      </w:r>
      <w:r>
        <w:t xml:space="preserve"> </w:t>
      </w:r>
      <w:r w:rsidRPr="008516D1">
        <w:t>la</w:t>
      </w:r>
      <w:r>
        <w:t xml:space="preserve"> </w:t>
      </w:r>
      <w:r w:rsidRPr="008516D1">
        <w:t>Convention,</w:t>
      </w:r>
      <w:r>
        <w:t xml:space="preserve"> </w:t>
      </w:r>
      <w:r w:rsidRPr="008516D1">
        <w:t>la</w:t>
      </w:r>
      <w:r>
        <w:t xml:space="preserve"> </w:t>
      </w:r>
      <w:r w:rsidRPr="008516D1">
        <w:t>situation</w:t>
      </w:r>
      <w:r>
        <w:t xml:space="preserve"> </w:t>
      </w:r>
      <w:r w:rsidRPr="008516D1">
        <w:t>légale</w:t>
      </w:r>
      <w:r>
        <w:t xml:space="preserve"> </w:t>
      </w:r>
      <w:r w:rsidRPr="008516D1">
        <w:t>des</w:t>
      </w:r>
      <w:r>
        <w:t xml:space="preserve"> </w:t>
      </w:r>
      <w:r w:rsidRPr="008516D1">
        <w:t>personnes</w:t>
      </w:r>
      <w:r>
        <w:t xml:space="preserve"> </w:t>
      </w:r>
      <w:r w:rsidRPr="008516D1">
        <w:t>disparues</w:t>
      </w:r>
      <w:r>
        <w:t xml:space="preserve"> </w:t>
      </w:r>
      <w:r w:rsidRPr="008516D1">
        <w:t>sans</w:t>
      </w:r>
      <w:r>
        <w:t xml:space="preserve"> </w:t>
      </w:r>
      <w:r w:rsidRPr="008516D1">
        <w:t>avoir</w:t>
      </w:r>
      <w:r>
        <w:t xml:space="preserve"> </w:t>
      </w:r>
      <w:r w:rsidRPr="008516D1">
        <w:t>à</w:t>
      </w:r>
      <w:r>
        <w:t xml:space="preserve"> </w:t>
      </w:r>
      <w:r w:rsidRPr="008516D1">
        <w:t>déclarer</w:t>
      </w:r>
      <w:r>
        <w:t xml:space="preserve"> </w:t>
      </w:r>
      <w:r w:rsidRPr="008516D1">
        <w:t>la</w:t>
      </w:r>
      <w:r>
        <w:t xml:space="preserve"> </w:t>
      </w:r>
      <w:r w:rsidRPr="008516D1">
        <w:t>mort</w:t>
      </w:r>
      <w:r>
        <w:t xml:space="preserve"> </w:t>
      </w:r>
      <w:r w:rsidRPr="008516D1">
        <w:t>présumée</w:t>
      </w:r>
      <w:r>
        <w:t xml:space="preserve"> </w:t>
      </w:r>
      <w:r w:rsidRPr="008516D1">
        <w:t>de</w:t>
      </w:r>
      <w:r>
        <w:t xml:space="preserve"> </w:t>
      </w:r>
      <w:r w:rsidRPr="008516D1">
        <w:t>la</w:t>
      </w:r>
      <w:r>
        <w:t xml:space="preserve"> </w:t>
      </w:r>
      <w:r w:rsidRPr="008516D1">
        <w:t>personne</w:t>
      </w:r>
      <w:r>
        <w:t xml:space="preserve"> </w:t>
      </w:r>
      <w:r w:rsidRPr="008516D1">
        <w:t>disparue</w:t>
      </w:r>
      <w:r>
        <w:t xml:space="preserve"> </w:t>
      </w:r>
      <w:r w:rsidRPr="008516D1">
        <w:t>et</w:t>
      </w:r>
      <w:r>
        <w:t xml:space="preserve"> </w:t>
      </w:r>
      <w:r w:rsidRPr="008516D1">
        <w:t>de</w:t>
      </w:r>
      <w:r>
        <w:t xml:space="preserve"> </w:t>
      </w:r>
      <w:r w:rsidRPr="008516D1">
        <w:t>prévoir</w:t>
      </w:r>
      <w:r>
        <w:t xml:space="preserve"> </w:t>
      </w:r>
      <w:r w:rsidRPr="008516D1">
        <w:t>dans</w:t>
      </w:r>
      <w:r>
        <w:t xml:space="preserve"> </w:t>
      </w:r>
      <w:r w:rsidRPr="008516D1">
        <w:t>sa</w:t>
      </w:r>
      <w:r>
        <w:t xml:space="preserve"> </w:t>
      </w:r>
      <w:r w:rsidRPr="008516D1">
        <w:t>législation</w:t>
      </w:r>
      <w:r>
        <w:t xml:space="preserve"> </w:t>
      </w:r>
      <w:r w:rsidRPr="008516D1">
        <w:t>une</w:t>
      </w:r>
      <w:r>
        <w:t xml:space="preserve"> </w:t>
      </w:r>
      <w:r w:rsidRPr="008516D1">
        <w:t>déclaration</w:t>
      </w:r>
      <w:r>
        <w:t xml:space="preserve"> </w:t>
      </w:r>
      <w:r w:rsidRPr="008516D1">
        <w:t>d</w:t>
      </w:r>
      <w:r>
        <w:t>’</w:t>
      </w:r>
      <w:r w:rsidRPr="008516D1">
        <w:t>absence</w:t>
      </w:r>
      <w:r>
        <w:t xml:space="preserve"> </w:t>
      </w:r>
      <w:r w:rsidRPr="008516D1">
        <w:t>pour</w:t>
      </w:r>
      <w:r>
        <w:t xml:space="preserve"> </w:t>
      </w:r>
      <w:r w:rsidRPr="008516D1">
        <w:t>disparition</w:t>
      </w:r>
      <w:r>
        <w:t xml:space="preserve"> </w:t>
      </w:r>
      <w:r w:rsidRPr="008516D1">
        <w:t>forcée,</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w:t>
      </w:r>
      <w:r>
        <w:t>’</w:t>
      </w:r>
      <w:r w:rsidRPr="008516D1">
        <w:t>il</w:t>
      </w:r>
      <w:r>
        <w:t xml:space="preserve"> </w:t>
      </w:r>
      <w:r w:rsidRPr="008516D1">
        <w:t>n</w:t>
      </w:r>
      <w:r>
        <w:t>’</w:t>
      </w:r>
      <w:r w:rsidRPr="008516D1">
        <w:t>y</w:t>
      </w:r>
      <w:r>
        <w:t xml:space="preserve"> </w:t>
      </w:r>
      <w:r w:rsidRPr="008516D1">
        <w:t>a</w:t>
      </w:r>
      <w:r>
        <w:t xml:space="preserve"> </w:t>
      </w:r>
      <w:r w:rsidRPr="008516D1">
        <w:t>pas</w:t>
      </w:r>
      <w:r>
        <w:t xml:space="preserve"> </w:t>
      </w:r>
      <w:r w:rsidRPr="008516D1">
        <w:t>d</w:t>
      </w:r>
      <w:r>
        <w:t>’</w:t>
      </w:r>
      <w:r w:rsidRPr="008516D1">
        <w:t>informations</w:t>
      </w:r>
      <w:r>
        <w:t xml:space="preserve"> </w:t>
      </w:r>
      <w:r w:rsidRPr="008516D1">
        <w:t>nouvelles</w:t>
      </w:r>
      <w:r>
        <w:t xml:space="preserve"> </w:t>
      </w:r>
      <w:r w:rsidRPr="008516D1">
        <w:t>autres</w:t>
      </w:r>
      <w:r>
        <w:t xml:space="preserve"> </w:t>
      </w:r>
      <w:r w:rsidRPr="008516D1">
        <w:t>que</w:t>
      </w:r>
      <w:r>
        <w:t xml:space="preserve"> </w:t>
      </w:r>
      <w:r w:rsidRPr="008516D1">
        <w:t>celles</w:t>
      </w:r>
      <w:r>
        <w:t xml:space="preserve"> </w:t>
      </w:r>
      <w:r w:rsidRPr="008516D1">
        <w:t>qui</w:t>
      </w:r>
      <w:r>
        <w:t xml:space="preserve"> </w:t>
      </w:r>
      <w:r w:rsidRPr="008516D1">
        <w:t>figurent</w:t>
      </w:r>
      <w:r>
        <w:t xml:space="preserve"> </w:t>
      </w:r>
      <w:r w:rsidRPr="008516D1">
        <w:t>au</w:t>
      </w:r>
      <w:r>
        <w:t xml:space="preserve"> </w:t>
      </w:r>
      <w:r w:rsidRPr="008516D1">
        <w:t>paragraphe</w:t>
      </w:r>
      <w:r>
        <w:t xml:space="preserve"> </w:t>
      </w:r>
      <w:r w:rsidRPr="008516D1">
        <w:t>157</w:t>
      </w:r>
      <w:r>
        <w:t xml:space="preserve"> </w:t>
      </w:r>
      <w:r w:rsidRPr="008516D1">
        <w:t>du</w:t>
      </w:r>
      <w:r>
        <w:t xml:space="preserve"> </w:t>
      </w:r>
      <w:r w:rsidRPr="008516D1">
        <w:t>rapport</w:t>
      </w:r>
      <w:r>
        <w:t xml:space="preserve"> </w:t>
      </w:r>
      <w:r w:rsidRPr="008516D1">
        <w:t>soumis</w:t>
      </w:r>
      <w:r>
        <w:t xml:space="preserve"> </w:t>
      </w:r>
      <w:r w:rsidRPr="008516D1">
        <w:t>par</w:t>
      </w:r>
      <w:r>
        <w:t xml:space="preserve"> </w:t>
      </w:r>
      <w:r w:rsidRPr="008516D1">
        <w:t>le</w:t>
      </w:r>
      <w:r>
        <w:t xml:space="preserve"> </w:t>
      </w:r>
      <w:r w:rsidRPr="008516D1">
        <w:t>Honduras</w:t>
      </w:r>
      <w:r>
        <w:t xml:space="preserve"> </w:t>
      </w:r>
      <w:r w:rsidRPr="008516D1">
        <w:t>en</w:t>
      </w:r>
      <w:r>
        <w:t xml:space="preserve"> </w:t>
      </w:r>
      <w:r w:rsidRPr="008516D1">
        <w:t>2016.</w:t>
      </w:r>
    </w:p>
    <w:p w14:paraId="4ADEA95E" w14:textId="6BFA8255" w:rsidR="00286956" w:rsidRPr="008516D1" w:rsidRDefault="00286956" w:rsidP="00286956">
      <w:pPr>
        <w:pStyle w:val="H1G"/>
      </w:pPr>
      <w:bookmarkStart w:id="30" w:name="_Toc76740435"/>
      <w:r w:rsidRPr="008516D1">
        <w:tab/>
        <w:t>O.</w:t>
      </w:r>
      <w:r w:rsidRPr="008516D1">
        <w:tab/>
        <w:t>Règles</w:t>
      </w:r>
      <w:r>
        <w:t xml:space="preserve"> </w:t>
      </w:r>
      <w:r w:rsidRPr="008516D1">
        <w:t>applicables</w:t>
      </w:r>
      <w:r>
        <w:t xml:space="preserve"> </w:t>
      </w:r>
      <w:r w:rsidRPr="008516D1">
        <w:t>aux</w:t>
      </w:r>
      <w:r>
        <w:t xml:space="preserve"> </w:t>
      </w:r>
      <w:r w:rsidRPr="008516D1">
        <w:t>communications</w:t>
      </w:r>
      <w:r>
        <w:t xml:space="preserve"> </w:t>
      </w:r>
      <w:r w:rsidRPr="008516D1">
        <w:t>(</w:t>
      </w:r>
      <w:r w:rsidR="003A61DD">
        <w:t>art. </w:t>
      </w:r>
      <w:r w:rsidRPr="008516D1">
        <w:t>30,</w:t>
      </w:r>
      <w:r>
        <w:t xml:space="preserve"> </w:t>
      </w:r>
      <w:r w:rsidRPr="008516D1">
        <w:t>31</w:t>
      </w:r>
      <w:r>
        <w:t xml:space="preserve"> </w:t>
      </w:r>
      <w:r w:rsidRPr="008516D1">
        <w:t>et</w:t>
      </w:r>
      <w:r>
        <w:t xml:space="preserve"> </w:t>
      </w:r>
      <w:r w:rsidRPr="008516D1">
        <w:t>32)</w:t>
      </w:r>
      <w:bookmarkEnd w:id="30"/>
    </w:p>
    <w:p w14:paraId="5B14568F" w14:textId="0EEE8CDE" w:rsidR="00286956" w:rsidRPr="008516D1" w:rsidRDefault="00286956" w:rsidP="00286956">
      <w:pPr>
        <w:pStyle w:val="SingleTxtG"/>
      </w:pPr>
      <w:r w:rsidRPr="008516D1">
        <w:t>185.</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11</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l</w:t>
      </w:r>
      <w:r>
        <w:t>’</w:t>
      </w:r>
      <w:r w:rsidRPr="008516D1">
        <w:t>État</w:t>
      </w:r>
      <w:r>
        <w:t xml:space="preserve"> </w:t>
      </w:r>
      <w:r w:rsidRPr="008516D1">
        <w:t>est</w:t>
      </w:r>
      <w:r>
        <w:t xml:space="preserve"> </w:t>
      </w:r>
      <w:r w:rsidRPr="008516D1">
        <w:t>encouragé</w:t>
      </w:r>
      <w:r>
        <w:t xml:space="preserve"> </w:t>
      </w:r>
      <w:r w:rsidRPr="008516D1">
        <w:t>à</w:t>
      </w:r>
      <w:r>
        <w:t xml:space="preserve"> </w:t>
      </w:r>
      <w:r w:rsidRPr="008516D1">
        <w:t>reconnaître</w:t>
      </w:r>
      <w:r>
        <w:t xml:space="preserve"> </w:t>
      </w:r>
      <w:r w:rsidRPr="008516D1">
        <w:t>la</w:t>
      </w:r>
      <w:r>
        <w:t xml:space="preserve"> </w:t>
      </w:r>
      <w:r w:rsidRPr="008516D1">
        <w:t>compétence</w:t>
      </w:r>
      <w:r>
        <w:t xml:space="preserve"> </w:t>
      </w:r>
      <w:r w:rsidRPr="008516D1">
        <w:t>du</w:t>
      </w:r>
      <w:r>
        <w:t xml:space="preserve"> </w:t>
      </w:r>
      <w:r w:rsidRPr="008516D1">
        <w:t>Comité</w:t>
      </w:r>
      <w:r>
        <w:t xml:space="preserve"> </w:t>
      </w:r>
      <w:r w:rsidRPr="008516D1">
        <w:t>pour</w:t>
      </w:r>
      <w:r>
        <w:t xml:space="preserve"> </w:t>
      </w:r>
      <w:r w:rsidRPr="008516D1">
        <w:t>recevoir</w:t>
      </w:r>
      <w:r>
        <w:t xml:space="preserve"> </w:t>
      </w:r>
      <w:r w:rsidRPr="008516D1">
        <w:t>et</w:t>
      </w:r>
      <w:r>
        <w:t xml:space="preserve"> </w:t>
      </w:r>
      <w:r w:rsidRPr="008516D1">
        <w:t>examiner</w:t>
      </w:r>
      <w:r>
        <w:t xml:space="preserve"> </w:t>
      </w:r>
      <w:r w:rsidRPr="008516D1">
        <w:t>les</w:t>
      </w:r>
      <w:r>
        <w:t xml:space="preserve"> </w:t>
      </w:r>
      <w:r w:rsidRPr="008516D1">
        <w:t>communications</w:t>
      </w:r>
      <w:r>
        <w:t xml:space="preserve"> </w:t>
      </w:r>
      <w:r w:rsidRPr="008516D1">
        <w:t>émanant</w:t>
      </w:r>
      <w:r>
        <w:t xml:space="preserve"> </w:t>
      </w:r>
      <w:r w:rsidRPr="008516D1">
        <w:t>de</w:t>
      </w:r>
      <w:r>
        <w:t xml:space="preserve"> </w:t>
      </w:r>
      <w:r w:rsidRPr="008516D1">
        <w:t>particuliers</w:t>
      </w:r>
      <w:r>
        <w:t xml:space="preserve"> </w:t>
      </w:r>
      <w:r w:rsidRPr="008516D1">
        <w:t>et</w:t>
      </w:r>
      <w:r>
        <w:t xml:space="preserve"> </w:t>
      </w:r>
      <w:r w:rsidRPr="008516D1">
        <w:t>d</w:t>
      </w:r>
      <w:r>
        <w:t>’</w:t>
      </w:r>
      <w:r w:rsidRPr="008516D1">
        <w:t>États,</w:t>
      </w:r>
      <w:r>
        <w:t xml:space="preserve"> </w:t>
      </w:r>
      <w:r w:rsidRPr="008516D1">
        <w:t>il</w:t>
      </w:r>
      <w:r>
        <w:t xml:space="preserve"> </w:t>
      </w:r>
      <w:r w:rsidRPr="008516D1">
        <w:t>convient</w:t>
      </w:r>
      <w:r>
        <w:t xml:space="preserve"> </w:t>
      </w:r>
      <w:r w:rsidRPr="008516D1">
        <w:t>de</w:t>
      </w:r>
      <w:r>
        <w:t xml:space="preserve"> </w:t>
      </w:r>
      <w:r w:rsidRPr="008516D1">
        <w:t>signaler</w:t>
      </w:r>
      <w:r>
        <w:t xml:space="preserve"> </w:t>
      </w:r>
      <w:r w:rsidRPr="008516D1">
        <w:t>que</w:t>
      </w:r>
      <w:r>
        <w:t xml:space="preserve"> </w:t>
      </w:r>
      <w:r w:rsidRPr="008516D1">
        <w:t>le</w:t>
      </w:r>
      <w:r>
        <w:t xml:space="preserve"> </w:t>
      </w:r>
      <w:r w:rsidRPr="008516D1">
        <w:t>Honduras</w:t>
      </w:r>
      <w:r>
        <w:t xml:space="preserve"> </w:t>
      </w:r>
      <w:r w:rsidRPr="008516D1">
        <w:t>examine</w:t>
      </w:r>
      <w:r>
        <w:t xml:space="preserve"> </w:t>
      </w:r>
      <w:r w:rsidRPr="008516D1">
        <w:t>et</w:t>
      </w:r>
      <w:r>
        <w:t xml:space="preserve"> </w:t>
      </w:r>
      <w:r w:rsidRPr="008516D1">
        <w:t>évalue</w:t>
      </w:r>
      <w:r>
        <w:t xml:space="preserve"> </w:t>
      </w:r>
      <w:r w:rsidRPr="008516D1">
        <w:t>en</w:t>
      </w:r>
      <w:r>
        <w:t xml:space="preserve"> </w:t>
      </w:r>
      <w:r w:rsidRPr="008516D1">
        <w:t>permanence</w:t>
      </w:r>
      <w:r>
        <w:t xml:space="preserve"> </w:t>
      </w:r>
      <w:r w:rsidRPr="008516D1">
        <w:t>les</w:t>
      </w:r>
      <w:r>
        <w:t xml:space="preserve"> </w:t>
      </w:r>
      <w:r w:rsidRPr="008516D1">
        <w:t>instruments</w:t>
      </w:r>
      <w:r>
        <w:t xml:space="preserve"> </w:t>
      </w:r>
      <w:r w:rsidRPr="008516D1">
        <w:t>internationaux</w:t>
      </w:r>
      <w:r>
        <w:t xml:space="preserve"> </w:t>
      </w:r>
      <w:r w:rsidRPr="008516D1">
        <w:t>additionnels</w:t>
      </w:r>
      <w:r>
        <w:t xml:space="preserve"> </w:t>
      </w:r>
      <w:r w:rsidRPr="008516D1">
        <w:t>mais</w:t>
      </w:r>
      <w:r>
        <w:t xml:space="preserve"> </w:t>
      </w:r>
      <w:r w:rsidRPr="008516D1">
        <w:t>n</w:t>
      </w:r>
      <w:r>
        <w:t>’</w:t>
      </w:r>
      <w:r w:rsidRPr="008516D1">
        <w:t>a</w:t>
      </w:r>
      <w:r>
        <w:t xml:space="preserve"> </w:t>
      </w:r>
      <w:r w:rsidRPr="008516D1">
        <w:t>cependant</w:t>
      </w:r>
      <w:r>
        <w:t xml:space="preserve"> </w:t>
      </w:r>
      <w:r w:rsidRPr="008516D1">
        <w:t>pas</w:t>
      </w:r>
      <w:r>
        <w:t xml:space="preserve"> </w:t>
      </w:r>
      <w:r w:rsidRPr="008516D1">
        <w:t>encore</w:t>
      </w:r>
      <w:r>
        <w:t xml:space="preserve"> </w:t>
      </w:r>
      <w:r w:rsidRPr="008516D1">
        <w:t>pris</w:t>
      </w:r>
      <w:r>
        <w:t xml:space="preserve"> </w:t>
      </w:r>
      <w:r w:rsidRPr="008516D1">
        <w:t>la</w:t>
      </w:r>
      <w:r>
        <w:t xml:space="preserve"> </w:t>
      </w:r>
      <w:r w:rsidRPr="008516D1">
        <w:t>décision</w:t>
      </w:r>
      <w:r>
        <w:t xml:space="preserve"> </w:t>
      </w:r>
      <w:r w:rsidRPr="008516D1">
        <w:t>de</w:t>
      </w:r>
      <w:r>
        <w:t xml:space="preserve"> </w:t>
      </w:r>
      <w:r w:rsidRPr="008516D1">
        <w:t>faire</w:t>
      </w:r>
      <w:r>
        <w:t xml:space="preserve"> </w:t>
      </w:r>
      <w:r w:rsidRPr="008516D1">
        <w:t>une</w:t>
      </w:r>
      <w:r>
        <w:t xml:space="preserve"> </w:t>
      </w:r>
      <w:r w:rsidRPr="008516D1">
        <w:t>déclaration</w:t>
      </w:r>
      <w:r>
        <w:t xml:space="preserve"> </w:t>
      </w:r>
      <w:r w:rsidRPr="008516D1">
        <w:t>concernant</w:t>
      </w:r>
      <w:r>
        <w:t xml:space="preserve"> </w:t>
      </w:r>
      <w:r w:rsidRPr="008516D1">
        <w:t>les</w:t>
      </w:r>
      <w:r>
        <w:t xml:space="preserve"> </w:t>
      </w:r>
      <w:r w:rsidRPr="008516D1">
        <w:t>règles</w:t>
      </w:r>
      <w:r>
        <w:t xml:space="preserve"> </w:t>
      </w:r>
      <w:r w:rsidRPr="008516D1">
        <w:t>applicables</w:t>
      </w:r>
      <w:r>
        <w:t xml:space="preserve"> </w:t>
      </w:r>
      <w:r w:rsidRPr="008516D1">
        <w:t>aux</w:t>
      </w:r>
      <w:r>
        <w:t xml:space="preserve"> </w:t>
      </w:r>
      <w:r w:rsidRPr="008516D1">
        <w:t>communications</w:t>
      </w:r>
      <w:r>
        <w:t xml:space="preserve"> </w:t>
      </w:r>
      <w:r w:rsidRPr="008516D1">
        <w:t>établies</w:t>
      </w:r>
      <w:r>
        <w:t xml:space="preserve"> </w:t>
      </w:r>
      <w:r w:rsidRPr="008516D1">
        <w:t>par</w:t>
      </w:r>
      <w:r>
        <w:t xml:space="preserve"> </w:t>
      </w:r>
      <w:r w:rsidRPr="008516D1">
        <w:t>le</w:t>
      </w:r>
      <w:r>
        <w:t xml:space="preserve"> </w:t>
      </w:r>
      <w:r w:rsidRPr="008516D1">
        <w:t>Comité</w:t>
      </w:r>
      <w:r>
        <w:t xml:space="preserve"> </w:t>
      </w:r>
      <w:r w:rsidRPr="008516D1">
        <w:t>(</w:t>
      </w:r>
      <w:r w:rsidR="003A61DD">
        <w:t>art. </w:t>
      </w:r>
      <w:r w:rsidRPr="008516D1">
        <w:t>31</w:t>
      </w:r>
      <w:r>
        <w:t xml:space="preserve"> </w:t>
      </w:r>
      <w:r w:rsidRPr="008516D1">
        <w:t>et</w:t>
      </w:r>
      <w:r>
        <w:t xml:space="preserve"> </w:t>
      </w:r>
      <w:r w:rsidRPr="008516D1">
        <w:t>32</w:t>
      </w:r>
      <w:r>
        <w:t xml:space="preserve"> </w:t>
      </w:r>
      <w:r w:rsidRPr="008516D1">
        <w:t>de</w:t>
      </w:r>
      <w:r>
        <w:t xml:space="preserve"> </w:t>
      </w:r>
      <w:r w:rsidRPr="008516D1">
        <w:t>la</w:t>
      </w:r>
      <w:r>
        <w:t xml:space="preserve"> </w:t>
      </w:r>
      <w:r w:rsidRPr="008516D1">
        <w:t>Convention).</w:t>
      </w:r>
      <w:r>
        <w:t xml:space="preserve"> </w:t>
      </w:r>
      <w:r w:rsidRPr="008516D1">
        <w:t>Il</w:t>
      </w:r>
      <w:r>
        <w:t xml:space="preserve"> </w:t>
      </w:r>
      <w:r w:rsidRPr="008516D1">
        <w:t>est</w:t>
      </w:r>
      <w:r>
        <w:t xml:space="preserve"> </w:t>
      </w:r>
      <w:r w:rsidRPr="008516D1">
        <w:t>important</w:t>
      </w:r>
      <w:r>
        <w:t xml:space="preserve"> </w:t>
      </w:r>
      <w:r w:rsidRPr="008516D1">
        <w:t>de</w:t>
      </w:r>
      <w:r>
        <w:t xml:space="preserve"> </w:t>
      </w:r>
      <w:r w:rsidRPr="008516D1">
        <w:t>souligner</w:t>
      </w:r>
      <w:r>
        <w:t xml:space="preserve"> </w:t>
      </w:r>
      <w:r w:rsidRPr="008516D1">
        <w:t>que</w:t>
      </w:r>
      <w:r>
        <w:t xml:space="preserve"> </w:t>
      </w:r>
      <w:r w:rsidRPr="008516D1">
        <w:t>les</w:t>
      </w:r>
      <w:r>
        <w:t xml:space="preserve"> </w:t>
      </w:r>
      <w:r w:rsidRPr="008516D1">
        <w:t>victimes</w:t>
      </w:r>
      <w:r>
        <w:t xml:space="preserve"> </w:t>
      </w:r>
      <w:r w:rsidRPr="008516D1">
        <w:t>disposent</w:t>
      </w:r>
      <w:r>
        <w:t xml:space="preserve"> </w:t>
      </w:r>
      <w:r w:rsidRPr="008516D1">
        <w:t>néanmoins</w:t>
      </w:r>
      <w:r>
        <w:t xml:space="preserve"> </w:t>
      </w:r>
      <w:r w:rsidRPr="008516D1">
        <w:t>d</w:t>
      </w:r>
      <w:r>
        <w:t>’</w:t>
      </w:r>
      <w:r w:rsidRPr="008516D1">
        <w:t>un</w:t>
      </w:r>
      <w:r>
        <w:t xml:space="preserve"> </w:t>
      </w:r>
      <w:r w:rsidRPr="008516D1">
        <w:t>recours</w:t>
      </w:r>
      <w:r>
        <w:t xml:space="preserve"> </w:t>
      </w:r>
      <w:r w:rsidRPr="008516D1">
        <w:t>international</w:t>
      </w:r>
      <w:r>
        <w:t xml:space="preserve"> </w:t>
      </w:r>
      <w:r w:rsidRPr="008516D1">
        <w:t>et</w:t>
      </w:r>
      <w:r>
        <w:t xml:space="preserve"> </w:t>
      </w:r>
      <w:r w:rsidRPr="008516D1">
        <w:t>peuvent</w:t>
      </w:r>
      <w:r>
        <w:t xml:space="preserve"> </w:t>
      </w:r>
      <w:r w:rsidRPr="008516D1">
        <w:t>présenter</w:t>
      </w:r>
      <w:r>
        <w:t xml:space="preserve"> </w:t>
      </w:r>
      <w:r w:rsidRPr="008516D1">
        <w:t>leurs</w:t>
      </w:r>
      <w:r>
        <w:t xml:space="preserve"> </w:t>
      </w:r>
      <w:r w:rsidRPr="008516D1">
        <w:t>plaintes</w:t>
      </w:r>
      <w:r>
        <w:t xml:space="preserve"> </w:t>
      </w:r>
      <w:r w:rsidRPr="008516D1">
        <w:t>devant</w:t>
      </w:r>
      <w:r>
        <w:t xml:space="preserve"> </w:t>
      </w:r>
      <w:r w:rsidRPr="008516D1">
        <w:t>le</w:t>
      </w:r>
      <w:r>
        <w:t xml:space="preserve"> </w:t>
      </w:r>
      <w:r w:rsidRPr="008516D1">
        <w:t>Système</w:t>
      </w:r>
      <w:r>
        <w:t xml:space="preserve"> </w:t>
      </w:r>
      <w:r w:rsidRPr="008516D1">
        <w:t>interaméricain</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la</w:t>
      </w:r>
      <w:r>
        <w:t xml:space="preserve"> </w:t>
      </w:r>
      <w:r w:rsidRPr="008516D1">
        <w:t>Cour</w:t>
      </w:r>
      <w:r>
        <w:t xml:space="preserve"> </w:t>
      </w:r>
      <w:r w:rsidRPr="008516D1">
        <w:t>pénale</w:t>
      </w:r>
      <w:r>
        <w:t xml:space="preserve"> </w:t>
      </w:r>
      <w:r w:rsidRPr="008516D1">
        <w:t>internationale,</w:t>
      </w:r>
      <w:r>
        <w:t xml:space="preserve"> </w:t>
      </w:r>
      <w:r w:rsidRPr="008516D1">
        <w:t>après</w:t>
      </w:r>
      <w:r>
        <w:t xml:space="preserve"> </w:t>
      </w:r>
      <w:r w:rsidRPr="008516D1">
        <w:t>avoir</w:t>
      </w:r>
      <w:r>
        <w:t xml:space="preserve"> </w:t>
      </w:r>
      <w:r w:rsidRPr="008516D1">
        <w:t>épuisé</w:t>
      </w:r>
      <w:r>
        <w:t xml:space="preserve"> </w:t>
      </w:r>
      <w:r w:rsidRPr="008516D1">
        <w:t>tous</w:t>
      </w:r>
      <w:r>
        <w:t xml:space="preserve"> </w:t>
      </w:r>
      <w:r w:rsidRPr="008516D1">
        <w:t>les</w:t>
      </w:r>
      <w:r>
        <w:t xml:space="preserve"> </w:t>
      </w:r>
      <w:r w:rsidRPr="008516D1">
        <w:t>recours</w:t>
      </w:r>
      <w:r>
        <w:t xml:space="preserve"> </w:t>
      </w:r>
      <w:r w:rsidRPr="008516D1">
        <w:t>internes,</w:t>
      </w:r>
      <w:r>
        <w:t xml:space="preserve"> </w:t>
      </w:r>
      <w:r w:rsidRPr="008516D1">
        <w:t>ce</w:t>
      </w:r>
      <w:r>
        <w:t xml:space="preserve"> </w:t>
      </w:r>
      <w:r w:rsidRPr="008516D1">
        <w:t>qui</w:t>
      </w:r>
      <w:r>
        <w:t xml:space="preserve"> </w:t>
      </w:r>
      <w:r w:rsidRPr="008516D1">
        <w:t>renforce</w:t>
      </w:r>
      <w:r>
        <w:t xml:space="preserve"> </w:t>
      </w:r>
      <w:r w:rsidRPr="008516D1">
        <w:t>les</w:t>
      </w:r>
      <w:r>
        <w:t xml:space="preserve"> </w:t>
      </w:r>
      <w:r w:rsidRPr="008516D1">
        <w:t>mécanismes</w:t>
      </w:r>
      <w:r>
        <w:t xml:space="preserve"> </w:t>
      </w:r>
      <w:r w:rsidRPr="008516D1">
        <w:t>de</w:t>
      </w:r>
      <w:r>
        <w:t xml:space="preserve"> </w:t>
      </w:r>
      <w:r w:rsidRPr="008516D1">
        <w:t>protection</w:t>
      </w:r>
      <w:r>
        <w:t xml:space="preserve"> </w:t>
      </w:r>
      <w:r w:rsidRPr="008516D1">
        <w:t>des</w:t>
      </w:r>
      <w:r>
        <w:t xml:space="preserve"> </w:t>
      </w:r>
      <w:r w:rsidRPr="008516D1">
        <w:t>personnes</w:t>
      </w:r>
      <w:r>
        <w:t xml:space="preserve"> </w:t>
      </w:r>
      <w:r w:rsidRPr="008516D1">
        <w:t>contre</w:t>
      </w:r>
      <w:r>
        <w:t xml:space="preserve"> </w:t>
      </w:r>
      <w:r w:rsidRPr="008516D1">
        <w:t>toute</w:t>
      </w:r>
      <w:r>
        <w:t xml:space="preserve"> </w:t>
      </w:r>
      <w:r w:rsidRPr="008516D1">
        <w:t>violation</w:t>
      </w:r>
      <w:r>
        <w:t xml:space="preserve"> </w:t>
      </w:r>
      <w:r w:rsidRPr="008516D1">
        <w:t>des</w:t>
      </w:r>
      <w:r>
        <w:t xml:space="preserve"> </w:t>
      </w:r>
      <w:r w:rsidRPr="008516D1">
        <w:t>droits,</w:t>
      </w:r>
      <w:r>
        <w:t xml:space="preserve"> </w:t>
      </w:r>
      <w:r w:rsidRPr="008516D1">
        <w:t>y</w:t>
      </w:r>
      <w:r>
        <w:t xml:space="preserve"> </w:t>
      </w:r>
      <w:r w:rsidRPr="008516D1">
        <w:t>compris</w:t>
      </w:r>
      <w:r>
        <w:t xml:space="preserve"> </w:t>
      </w:r>
      <w:r w:rsidRPr="008516D1">
        <w:t>la</w:t>
      </w:r>
      <w:r>
        <w:t xml:space="preserve"> </w:t>
      </w:r>
      <w:r w:rsidRPr="008516D1">
        <w:t>disparition</w:t>
      </w:r>
      <w:r>
        <w:t xml:space="preserve"> </w:t>
      </w:r>
      <w:r w:rsidRPr="008516D1">
        <w:t>forcée.</w:t>
      </w:r>
    </w:p>
    <w:p w14:paraId="36499CDE" w14:textId="59308088" w:rsidR="00286956" w:rsidRPr="008516D1" w:rsidRDefault="00286956" w:rsidP="00286956">
      <w:pPr>
        <w:pStyle w:val="SingleTxtG"/>
      </w:pPr>
      <w:r w:rsidRPr="008516D1">
        <w:lastRenderedPageBreak/>
        <w:t>186.</w:t>
      </w:r>
      <w:r w:rsidRPr="008516D1">
        <w:tab/>
        <w:t>Conformément</w:t>
      </w:r>
      <w:r>
        <w:t xml:space="preserve"> </w:t>
      </w:r>
      <w:r w:rsidRPr="008516D1">
        <w:t>aux</w:t>
      </w:r>
      <w:r>
        <w:t xml:space="preserve"> </w:t>
      </w:r>
      <w:r w:rsidRPr="008516D1">
        <w:t>dispositions</w:t>
      </w:r>
      <w:r>
        <w:t xml:space="preserve"> </w:t>
      </w:r>
      <w:r w:rsidRPr="008516D1">
        <w:t>de</w:t>
      </w:r>
      <w:r>
        <w:t xml:space="preserve"> </w:t>
      </w:r>
      <w:r w:rsidRPr="008516D1">
        <w:t>l</w:t>
      </w:r>
      <w:r>
        <w:t>’</w:t>
      </w:r>
      <w:r w:rsidRPr="008516D1">
        <w:t>article</w:t>
      </w:r>
      <w:r>
        <w:t xml:space="preserve"> </w:t>
      </w:r>
      <w:r w:rsidRPr="008516D1">
        <w:t>30</w:t>
      </w:r>
      <w:r>
        <w:t xml:space="preserve"> </w:t>
      </w:r>
      <w:r w:rsidRPr="008516D1">
        <w:t>de</w:t>
      </w:r>
      <w:r>
        <w:t xml:space="preserve"> </w:t>
      </w:r>
      <w:r w:rsidRPr="008516D1">
        <w:t>la</w:t>
      </w:r>
      <w:r>
        <w:t xml:space="preserve"> </w:t>
      </w:r>
      <w:r w:rsidRPr="008516D1">
        <w:t>Convention,</w:t>
      </w:r>
      <w:r>
        <w:t xml:space="preserve"> </w:t>
      </w:r>
      <w:r w:rsidRPr="008516D1">
        <w:t>le</w:t>
      </w:r>
      <w:r>
        <w:t xml:space="preserve"> </w:t>
      </w:r>
      <w:r w:rsidRPr="008516D1">
        <w:t>Comité</w:t>
      </w:r>
      <w:r>
        <w:t xml:space="preserve"> </w:t>
      </w:r>
      <w:r w:rsidRPr="008516D1">
        <w:t>peut</w:t>
      </w:r>
      <w:r>
        <w:t xml:space="preserve"> </w:t>
      </w:r>
      <w:r w:rsidRPr="008516D1">
        <w:t>être</w:t>
      </w:r>
      <w:r>
        <w:t xml:space="preserve"> </w:t>
      </w:r>
      <w:r w:rsidRPr="008516D1">
        <w:t>saisi,</w:t>
      </w:r>
      <w:r>
        <w:t xml:space="preserve"> </w:t>
      </w:r>
      <w:r w:rsidRPr="008516D1">
        <w:t>en</w:t>
      </w:r>
      <w:r>
        <w:t xml:space="preserve"> </w:t>
      </w:r>
      <w:r w:rsidRPr="008516D1">
        <w:t>urgence,</w:t>
      </w:r>
      <w:r>
        <w:t xml:space="preserve"> </w:t>
      </w:r>
      <w:r w:rsidRPr="008516D1">
        <w:t>par</w:t>
      </w:r>
      <w:r>
        <w:t xml:space="preserve"> </w:t>
      </w:r>
      <w:r w:rsidRPr="008516D1">
        <w:t>les</w:t>
      </w:r>
      <w:r>
        <w:t xml:space="preserve"> </w:t>
      </w:r>
      <w:r w:rsidRPr="008516D1">
        <w:t>proches,</w:t>
      </w:r>
      <w:r>
        <w:t xml:space="preserve"> </w:t>
      </w:r>
      <w:r w:rsidRPr="008516D1">
        <w:t>les</w:t>
      </w:r>
      <w:r>
        <w:t xml:space="preserve"> </w:t>
      </w:r>
      <w:r w:rsidRPr="008516D1">
        <w:t>représentants</w:t>
      </w:r>
      <w:r>
        <w:t xml:space="preserve"> </w:t>
      </w:r>
      <w:r w:rsidRPr="008516D1">
        <w:t>légaux</w:t>
      </w:r>
      <w:r>
        <w:t xml:space="preserve"> </w:t>
      </w:r>
      <w:r w:rsidRPr="008516D1">
        <w:t>ou</w:t>
      </w:r>
      <w:r>
        <w:t xml:space="preserve"> </w:t>
      </w:r>
      <w:r w:rsidRPr="008516D1">
        <w:t>les</w:t>
      </w:r>
      <w:r>
        <w:t xml:space="preserve"> </w:t>
      </w:r>
      <w:r w:rsidRPr="008516D1">
        <w:t>avocats</w:t>
      </w:r>
      <w:r>
        <w:t xml:space="preserve"> </w:t>
      </w:r>
      <w:r w:rsidRPr="008516D1">
        <w:t>d</w:t>
      </w:r>
      <w:r>
        <w:t>’</w:t>
      </w:r>
      <w:r w:rsidRPr="008516D1">
        <w:t>une</w:t>
      </w:r>
      <w:r>
        <w:t xml:space="preserve"> </w:t>
      </w:r>
      <w:r w:rsidRPr="008516D1">
        <w:t>personne</w:t>
      </w:r>
      <w:r>
        <w:t xml:space="preserve"> </w:t>
      </w:r>
      <w:r w:rsidRPr="008516D1">
        <w:t>disparue,</w:t>
      </w:r>
      <w:r>
        <w:t xml:space="preserve"> </w:t>
      </w:r>
      <w:r w:rsidRPr="008516D1">
        <w:t>ainsi</w:t>
      </w:r>
      <w:r>
        <w:t xml:space="preserve"> </w:t>
      </w:r>
      <w:r w:rsidRPr="008516D1">
        <w:t>que</w:t>
      </w:r>
      <w:r>
        <w:t xml:space="preserve"> </w:t>
      </w:r>
      <w:r w:rsidRPr="008516D1">
        <w:t>par</w:t>
      </w:r>
      <w:r>
        <w:t xml:space="preserve"> </w:t>
      </w:r>
      <w:r w:rsidRPr="008516D1">
        <w:t>toute</w:t>
      </w:r>
      <w:r>
        <w:t xml:space="preserve"> </w:t>
      </w:r>
      <w:r w:rsidRPr="008516D1">
        <w:t>autre</w:t>
      </w:r>
      <w:r>
        <w:t xml:space="preserve"> </w:t>
      </w:r>
      <w:r w:rsidRPr="008516D1">
        <w:t>personne</w:t>
      </w:r>
      <w:r>
        <w:t xml:space="preserve"> </w:t>
      </w:r>
      <w:r w:rsidRPr="008516D1">
        <w:t>ayant</w:t>
      </w:r>
      <w:r>
        <w:t xml:space="preserve"> </w:t>
      </w:r>
      <w:r w:rsidRPr="008516D1">
        <w:t>un</w:t>
      </w:r>
      <w:r>
        <w:t xml:space="preserve"> </w:t>
      </w:r>
      <w:r w:rsidRPr="008516D1">
        <w:t>intérêt</w:t>
      </w:r>
      <w:r>
        <w:t xml:space="preserve"> </w:t>
      </w:r>
      <w:r w:rsidRPr="008516D1">
        <w:t>légitime,</w:t>
      </w:r>
      <w:r>
        <w:t xml:space="preserve"> </w:t>
      </w:r>
      <w:r w:rsidRPr="008516D1">
        <w:t>d</w:t>
      </w:r>
      <w:r>
        <w:t>’</w:t>
      </w:r>
      <w:r w:rsidRPr="008516D1">
        <w:t>une</w:t>
      </w:r>
      <w:r>
        <w:t xml:space="preserve"> </w:t>
      </w:r>
      <w:r w:rsidRPr="008516D1">
        <w:t>demande</w:t>
      </w:r>
      <w:r>
        <w:t xml:space="preserve"> </w:t>
      </w:r>
      <w:r w:rsidRPr="008516D1">
        <w:t>appelant</w:t>
      </w:r>
      <w:r>
        <w:t xml:space="preserve"> </w:t>
      </w:r>
      <w:r w:rsidRPr="008516D1">
        <w:t>l</w:t>
      </w:r>
      <w:r>
        <w:t>’</w:t>
      </w:r>
      <w:r w:rsidRPr="008516D1">
        <w:t>État</w:t>
      </w:r>
      <w:r>
        <w:t xml:space="preserve"> </w:t>
      </w:r>
      <w:r w:rsidRPr="008516D1">
        <w:t>à</w:t>
      </w:r>
      <w:r>
        <w:t xml:space="preserve"> </w:t>
      </w:r>
      <w:r w:rsidRPr="008516D1">
        <w:t>prendre</w:t>
      </w:r>
      <w:r>
        <w:t xml:space="preserve"> </w:t>
      </w:r>
      <w:r w:rsidRPr="008516D1">
        <w:t>des</w:t>
      </w:r>
      <w:r>
        <w:t xml:space="preserve"> </w:t>
      </w:r>
      <w:r w:rsidRPr="008516D1">
        <w:t>mesures</w:t>
      </w:r>
      <w:r>
        <w:t xml:space="preserve"> </w:t>
      </w:r>
      <w:r w:rsidRPr="008516D1">
        <w:t>pour</w:t>
      </w:r>
      <w:r>
        <w:t xml:space="preserve"> </w:t>
      </w:r>
      <w:r w:rsidRPr="008516D1">
        <w:t>accélérer</w:t>
      </w:r>
      <w:r>
        <w:t xml:space="preserve"> </w:t>
      </w:r>
      <w:r w:rsidRPr="008516D1">
        <w:t>la</w:t>
      </w:r>
      <w:r>
        <w:t xml:space="preserve"> </w:t>
      </w:r>
      <w:r w:rsidRPr="008516D1">
        <w:t>recherche</w:t>
      </w:r>
      <w:r>
        <w:t xml:space="preserve"> </w:t>
      </w:r>
      <w:r w:rsidRPr="008516D1">
        <w:t>et</w:t>
      </w:r>
      <w:r>
        <w:t xml:space="preserve"> </w:t>
      </w:r>
      <w:r w:rsidRPr="008516D1">
        <w:t>la</w:t>
      </w:r>
      <w:r>
        <w:t xml:space="preserve"> </w:t>
      </w:r>
      <w:r w:rsidRPr="008516D1">
        <w:t>localisation</w:t>
      </w:r>
      <w:r>
        <w:t xml:space="preserve"> </w:t>
      </w:r>
      <w:r w:rsidRPr="008516D1">
        <w:t>d</w:t>
      </w:r>
      <w:r>
        <w:t>’</w:t>
      </w:r>
      <w:r w:rsidRPr="008516D1">
        <w:t>une</w:t>
      </w:r>
      <w:r>
        <w:t xml:space="preserve"> </w:t>
      </w:r>
      <w:r w:rsidRPr="008516D1">
        <w:t>personne</w:t>
      </w:r>
      <w:r>
        <w:t xml:space="preserve"> </w:t>
      </w:r>
      <w:r w:rsidRPr="008516D1">
        <w:t>disparue</w:t>
      </w:r>
      <w:r>
        <w:t xml:space="preserve"> </w:t>
      </w:r>
      <w:r w:rsidRPr="008516D1">
        <w:t>et</w:t>
      </w:r>
      <w:r>
        <w:t xml:space="preserve"> </w:t>
      </w:r>
      <w:r w:rsidRPr="008516D1">
        <w:t>à</w:t>
      </w:r>
      <w:r>
        <w:t xml:space="preserve"> </w:t>
      </w:r>
      <w:r w:rsidRPr="008516D1">
        <w:t>fournir,</w:t>
      </w:r>
      <w:r>
        <w:t xml:space="preserve"> </w:t>
      </w:r>
      <w:r w:rsidRPr="008516D1">
        <w:t>dans</w:t>
      </w:r>
      <w:r>
        <w:t xml:space="preserve"> </w:t>
      </w:r>
      <w:r w:rsidRPr="008516D1">
        <w:t>un</w:t>
      </w:r>
      <w:r>
        <w:t xml:space="preserve"> </w:t>
      </w:r>
      <w:r w:rsidRPr="008516D1">
        <w:t>délai</w:t>
      </w:r>
      <w:r>
        <w:t xml:space="preserve"> </w:t>
      </w:r>
      <w:r w:rsidRPr="008516D1">
        <w:t>raisonnable,</w:t>
      </w:r>
      <w:r>
        <w:t xml:space="preserve"> </w:t>
      </w:r>
      <w:r w:rsidRPr="008516D1">
        <w:t>des</w:t>
      </w:r>
      <w:r>
        <w:t xml:space="preserve"> </w:t>
      </w:r>
      <w:r w:rsidRPr="008516D1">
        <w:t>informations</w:t>
      </w:r>
      <w:r>
        <w:t xml:space="preserve"> </w:t>
      </w:r>
      <w:r w:rsidRPr="008516D1">
        <w:t>sur</w:t>
      </w:r>
      <w:r>
        <w:t xml:space="preserve"> </w:t>
      </w:r>
      <w:r w:rsidRPr="008516D1">
        <w:t>sa</w:t>
      </w:r>
      <w:r>
        <w:t xml:space="preserve"> </w:t>
      </w:r>
      <w:r w:rsidRPr="008516D1">
        <w:t>situation.</w:t>
      </w:r>
      <w:r>
        <w:t xml:space="preserve"> </w:t>
      </w:r>
      <w:r w:rsidRPr="008516D1">
        <w:t>À</w:t>
      </w:r>
      <w:r>
        <w:t xml:space="preserve"> </w:t>
      </w:r>
      <w:r w:rsidRPr="008516D1">
        <w:t>cet</w:t>
      </w:r>
      <w:r>
        <w:t xml:space="preserve"> </w:t>
      </w:r>
      <w:r w:rsidRPr="008516D1">
        <w:t>égard,</w:t>
      </w:r>
      <w:r>
        <w:t xml:space="preserve"> </w:t>
      </w:r>
      <w:r w:rsidRPr="008516D1">
        <w:t>entre</w:t>
      </w:r>
      <w:r>
        <w:t xml:space="preserve"> </w:t>
      </w:r>
      <w:r w:rsidRPr="008516D1">
        <w:t>2019</w:t>
      </w:r>
      <w:r>
        <w:t xml:space="preserve"> </w:t>
      </w:r>
      <w:r w:rsidRPr="008516D1">
        <w:t>et</w:t>
      </w:r>
      <w:r>
        <w:t xml:space="preserve"> </w:t>
      </w:r>
      <w:r w:rsidRPr="008516D1">
        <w:t>juin</w:t>
      </w:r>
      <w:r>
        <w:t xml:space="preserve"> </w:t>
      </w:r>
      <w:r w:rsidRPr="008516D1">
        <w:t>2021,</w:t>
      </w:r>
      <w:r>
        <w:t xml:space="preserve"> </w:t>
      </w:r>
      <w:r w:rsidRPr="008516D1">
        <w:t>le</w:t>
      </w:r>
      <w:r>
        <w:t xml:space="preserve"> </w:t>
      </w:r>
      <w:r w:rsidRPr="008516D1">
        <w:t>Honduras</w:t>
      </w:r>
      <w:r>
        <w:t xml:space="preserve"> </w:t>
      </w:r>
      <w:r w:rsidRPr="008516D1">
        <w:t>a</w:t>
      </w:r>
      <w:r>
        <w:t xml:space="preserve"> </w:t>
      </w:r>
      <w:r w:rsidRPr="008516D1">
        <w:t>collaboré</w:t>
      </w:r>
      <w:r>
        <w:t xml:space="preserve"> </w:t>
      </w:r>
      <w:r w:rsidRPr="008516D1">
        <w:t>avec</w:t>
      </w:r>
      <w:r>
        <w:t xml:space="preserve"> </w:t>
      </w:r>
      <w:r w:rsidRPr="008516D1">
        <w:t>le</w:t>
      </w:r>
      <w:r>
        <w:t xml:space="preserve"> </w:t>
      </w:r>
      <w:r w:rsidRPr="008516D1">
        <w:t>Comité,</w:t>
      </w:r>
      <w:r>
        <w:t xml:space="preserve"> </w:t>
      </w:r>
      <w:r w:rsidRPr="008516D1">
        <w:t>en</w:t>
      </w:r>
      <w:r>
        <w:t xml:space="preserve"> </w:t>
      </w:r>
      <w:r w:rsidRPr="008516D1">
        <w:t>répondant</w:t>
      </w:r>
      <w:r>
        <w:t xml:space="preserve"> </w:t>
      </w:r>
      <w:r w:rsidRPr="008516D1">
        <w:t>en</w:t>
      </w:r>
      <w:r>
        <w:t xml:space="preserve"> </w:t>
      </w:r>
      <w:r w:rsidRPr="008516D1">
        <w:t>temps</w:t>
      </w:r>
      <w:r>
        <w:t xml:space="preserve"> </w:t>
      </w:r>
      <w:r w:rsidRPr="008516D1">
        <w:t>opportun</w:t>
      </w:r>
      <w:r>
        <w:t xml:space="preserve"> </w:t>
      </w:r>
      <w:r w:rsidRPr="008516D1">
        <w:t>à</w:t>
      </w:r>
      <w:r>
        <w:t xml:space="preserve"> </w:t>
      </w:r>
      <w:r w:rsidRPr="008516D1">
        <w:t>toutes</w:t>
      </w:r>
      <w:r>
        <w:t xml:space="preserve"> </w:t>
      </w:r>
      <w:r w:rsidRPr="008516D1">
        <w:t>les</w:t>
      </w:r>
      <w:r>
        <w:t xml:space="preserve"> </w:t>
      </w:r>
      <w:r w:rsidRPr="008516D1">
        <w:t>demandes</w:t>
      </w:r>
      <w:r>
        <w:t xml:space="preserve"> </w:t>
      </w:r>
      <w:r w:rsidRPr="008516D1">
        <w:t>formulées</w:t>
      </w:r>
      <w:r>
        <w:t xml:space="preserve"> </w:t>
      </w:r>
      <w:r w:rsidRPr="008516D1">
        <w:t>par</w:t>
      </w:r>
      <w:r>
        <w:t xml:space="preserve"> </w:t>
      </w:r>
      <w:r w:rsidRPr="008516D1">
        <w:t>le</w:t>
      </w:r>
      <w:r>
        <w:t xml:space="preserve"> </w:t>
      </w:r>
      <w:r w:rsidRPr="008516D1">
        <w:t>Comité</w:t>
      </w:r>
      <w:r>
        <w:t xml:space="preserve"> </w:t>
      </w:r>
      <w:r w:rsidRPr="008516D1">
        <w:t>et</w:t>
      </w:r>
      <w:r>
        <w:t xml:space="preserve"> </w:t>
      </w:r>
      <w:r w:rsidRPr="008516D1">
        <w:t>le</w:t>
      </w:r>
      <w:r>
        <w:t xml:space="preserve"> </w:t>
      </w:r>
      <w:r w:rsidRPr="008516D1">
        <w:t>Haut-Commissariat</w:t>
      </w:r>
      <w:r>
        <w:t xml:space="preserve"> </w:t>
      </w:r>
      <w:r w:rsidRPr="008516D1">
        <w:t>des</w:t>
      </w:r>
      <w:r>
        <w:t xml:space="preserve"> </w:t>
      </w:r>
      <w:r w:rsidRPr="008516D1">
        <w:t>Nations</w:t>
      </w:r>
      <w:r>
        <w:t xml:space="preserve"> </w:t>
      </w:r>
      <w:r w:rsidRPr="008516D1">
        <w:t>Unies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rendant</w:t>
      </w:r>
      <w:r>
        <w:t xml:space="preserve"> </w:t>
      </w:r>
      <w:r w:rsidRPr="008516D1">
        <w:t>compte</w:t>
      </w:r>
      <w:r>
        <w:t xml:space="preserve"> </w:t>
      </w:r>
      <w:r w:rsidRPr="008516D1">
        <w:t>des</w:t>
      </w:r>
      <w:r>
        <w:t xml:space="preserve"> </w:t>
      </w:r>
      <w:r w:rsidRPr="008516D1">
        <w:t>progrès</w:t>
      </w:r>
      <w:r>
        <w:t xml:space="preserve"> </w:t>
      </w:r>
      <w:r w:rsidRPr="008516D1">
        <w:t>faits</w:t>
      </w:r>
      <w:r>
        <w:t xml:space="preserve"> </w:t>
      </w:r>
      <w:r w:rsidRPr="008516D1">
        <w:t>dans</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des</w:t>
      </w:r>
      <w:r>
        <w:t xml:space="preserve"> </w:t>
      </w:r>
      <w:r w:rsidRPr="008516D1">
        <w:t>mesures</w:t>
      </w:r>
      <w:r>
        <w:t xml:space="preserve"> </w:t>
      </w:r>
      <w:r w:rsidRPr="008516D1">
        <w:t>spécifiques</w:t>
      </w:r>
      <w:r>
        <w:t xml:space="preserve"> </w:t>
      </w:r>
      <w:r w:rsidRPr="008516D1">
        <w:t>concernant</w:t>
      </w:r>
      <w:r>
        <w:t xml:space="preserve"> </w:t>
      </w:r>
      <w:r w:rsidRPr="008516D1">
        <w:t>la</w:t>
      </w:r>
      <w:r>
        <w:t xml:space="preserve"> </w:t>
      </w:r>
      <w:r w:rsidRPr="008516D1">
        <w:t>recherche</w:t>
      </w:r>
      <w:r>
        <w:t xml:space="preserve"> </w:t>
      </w:r>
      <w:r w:rsidRPr="008516D1">
        <w:t>des</w:t>
      </w:r>
      <w:r>
        <w:t xml:space="preserve"> </w:t>
      </w:r>
      <w:r w:rsidRPr="008516D1">
        <w:t>personnes</w:t>
      </w:r>
      <w:r>
        <w:t xml:space="preserve"> </w:t>
      </w:r>
      <w:r w:rsidRPr="008516D1">
        <w:t>disparues,</w:t>
      </w:r>
      <w:r>
        <w:t xml:space="preserve"> </w:t>
      </w:r>
      <w:r w:rsidRPr="008516D1">
        <w:t>ainsi</w:t>
      </w:r>
      <w:r>
        <w:t xml:space="preserve"> </w:t>
      </w:r>
      <w:r w:rsidRPr="008516D1">
        <w:t>que</w:t>
      </w:r>
      <w:r>
        <w:t xml:space="preserve"> </w:t>
      </w:r>
      <w:r w:rsidRPr="008516D1">
        <w:t>des</w:t>
      </w:r>
      <w:r>
        <w:t xml:space="preserve"> </w:t>
      </w:r>
      <w:r w:rsidRPr="008516D1">
        <w:t>efforts</w:t>
      </w:r>
      <w:r>
        <w:t xml:space="preserve"> </w:t>
      </w:r>
      <w:r w:rsidRPr="008516D1">
        <w:t>déployés</w:t>
      </w:r>
      <w:r>
        <w:t xml:space="preserve"> </w:t>
      </w:r>
      <w:r w:rsidRPr="008516D1">
        <w:t>pour</w:t>
      </w:r>
      <w:r>
        <w:t xml:space="preserve"> </w:t>
      </w:r>
      <w:r w:rsidRPr="008516D1">
        <w:t>localiser</w:t>
      </w:r>
      <w:r>
        <w:t xml:space="preserve"> </w:t>
      </w:r>
      <w:r w:rsidRPr="008516D1">
        <w:t>ces</w:t>
      </w:r>
      <w:r>
        <w:t xml:space="preserve"> </w:t>
      </w:r>
      <w:r w:rsidRPr="008516D1">
        <w:t>personnes</w:t>
      </w:r>
      <w:r>
        <w:t xml:space="preserve"> </w:t>
      </w:r>
      <w:r w:rsidRPr="008516D1">
        <w:t>et</w:t>
      </w:r>
      <w:r>
        <w:t xml:space="preserve"> </w:t>
      </w:r>
      <w:r w:rsidRPr="008516D1">
        <w:t>des</w:t>
      </w:r>
      <w:r>
        <w:t xml:space="preserve"> </w:t>
      </w:r>
      <w:r w:rsidRPr="008516D1">
        <w:t>mesures</w:t>
      </w:r>
      <w:r>
        <w:t xml:space="preserve"> </w:t>
      </w:r>
      <w:r w:rsidRPr="008516D1">
        <w:t>de</w:t>
      </w:r>
      <w:r>
        <w:t xml:space="preserve"> </w:t>
      </w:r>
      <w:r w:rsidRPr="008516D1">
        <w:t>protection</w:t>
      </w:r>
      <w:r>
        <w:t xml:space="preserve"> </w:t>
      </w:r>
      <w:r w:rsidRPr="008516D1">
        <w:t>prises,</w:t>
      </w:r>
      <w:r>
        <w:t xml:space="preserve"> </w:t>
      </w:r>
      <w:r w:rsidRPr="008516D1">
        <w:t>et</w:t>
      </w:r>
      <w:r>
        <w:t xml:space="preserve"> </w:t>
      </w:r>
      <w:r w:rsidRPr="008516D1">
        <w:t>en</w:t>
      </w:r>
      <w:r>
        <w:t xml:space="preserve"> </w:t>
      </w:r>
      <w:r w:rsidRPr="008516D1">
        <w:t>soumettant,</w:t>
      </w:r>
      <w:r>
        <w:t xml:space="preserve"> </w:t>
      </w:r>
      <w:r w:rsidRPr="008516D1">
        <w:t>en</w:t>
      </w:r>
      <w:r>
        <w:t xml:space="preserve"> </w:t>
      </w:r>
      <w:r w:rsidRPr="008516D1">
        <w:t>application</w:t>
      </w:r>
      <w:r>
        <w:t xml:space="preserve"> </w:t>
      </w:r>
      <w:r w:rsidRPr="008516D1">
        <w:t>de</w:t>
      </w:r>
      <w:r>
        <w:t xml:space="preserve"> </w:t>
      </w:r>
      <w:r w:rsidRPr="008516D1">
        <w:t>l</w:t>
      </w:r>
      <w:r>
        <w:t>’</w:t>
      </w:r>
      <w:r w:rsidRPr="008516D1">
        <w:t>article</w:t>
      </w:r>
      <w:r>
        <w:t xml:space="preserve"> </w:t>
      </w:r>
      <w:r w:rsidRPr="008516D1">
        <w:t>30</w:t>
      </w:r>
      <w:r>
        <w:t xml:space="preserve"> </w:t>
      </w:r>
      <w:r w:rsidRPr="008516D1">
        <w:t>de</w:t>
      </w:r>
      <w:r>
        <w:t xml:space="preserve"> </w:t>
      </w:r>
      <w:r w:rsidRPr="008516D1">
        <w:t>la</w:t>
      </w:r>
      <w:r>
        <w:t xml:space="preserve"> </w:t>
      </w:r>
      <w:r w:rsidRPr="008516D1">
        <w:t>Convention,</w:t>
      </w:r>
      <w:r>
        <w:t xml:space="preserve"> </w:t>
      </w:r>
      <w:r w:rsidR="005F691A">
        <w:t>13 </w:t>
      </w:r>
      <w:r w:rsidRPr="008516D1">
        <w:t>rapports</w:t>
      </w:r>
      <w:r>
        <w:t xml:space="preserve"> </w:t>
      </w:r>
      <w:r w:rsidRPr="008516D1">
        <w:t>de</w:t>
      </w:r>
      <w:r>
        <w:t xml:space="preserve"> </w:t>
      </w:r>
      <w:r w:rsidRPr="008516D1">
        <w:t>contribution</w:t>
      </w:r>
      <w:r>
        <w:t xml:space="preserve"> </w:t>
      </w:r>
      <w:r w:rsidRPr="008516D1">
        <w:t>aux</w:t>
      </w:r>
      <w:r>
        <w:t xml:space="preserve"> </w:t>
      </w:r>
      <w:r w:rsidRPr="008516D1">
        <w:t>demandes</w:t>
      </w:r>
      <w:r>
        <w:t xml:space="preserve"> </w:t>
      </w:r>
      <w:r w:rsidRPr="008516D1">
        <w:t>d</w:t>
      </w:r>
      <w:r>
        <w:t>’</w:t>
      </w:r>
      <w:r w:rsidRPr="008516D1">
        <w:t>information,</w:t>
      </w:r>
      <w:r>
        <w:t xml:space="preserve"> </w:t>
      </w:r>
      <w:r w:rsidRPr="008516D1">
        <w:t>préparés</w:t>
      </w:r>
      <w:r>
        <w:t xml:space="preserve"> </w:t>
      </w:r>
      <w:r w:rsidRPr="008516D1">
        <w:t>par</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coordination</w:t>
      </w:r>
      <w:r>
        <w:t xml:space="preserve"> </w:t>
      </w:r>
      <w:r w:rsidRPr="008516D1">
        <w:t>avec</w:t>
      </w:r>
      <w:r>
        <w:t xml:space="preserve"> </w:t>
      </w:r>
      <w:r w:rsidRPr="008516D1">
        <w:t>les</w:t>
      </w:r>
      <w:r>
        <w:t xml:space="preserve"> </w:t>
      </w:r>
      <w:r w:rsidRPr="008516D1">
        <w:t>institutions</w:t>
      </w:r>
      <w:r>
        <w:t xml:space="preserve"> </w:t>
      </w:r>
      <w:r w:rsidRPr="008516D1">
        <w:t>compétentes.</w:t>
      </w:r>
    </w:p>
    <w:p w14:paraId="4113C039" w14:textId="77777777" w:rsidR="00286956" w:rsidRPr="008516D1" w:rsidRDefault="00286956" w:rsidP="00286956">
      <w:pPr>
        <w:pStyle w:val="H1G"/>
      </w:pPr>
      <w:bookmarkStart w:id="31" w:name="_Toc76740436"/>
      <w:r w:rsidRPr="008516D1">
        <w:tab/>
        <w:t>P.</w:t>
      </w:r>
      <w:r w:rsidRPr="008516D1">
        <w:tab/>
        <w:t>Diffusion</w:t>
      </w:r>
      <w:r>
        <w:t xml:space="preserve"> </w:t>
      </w:r>
      <w:r w:rsidRPr="008516D1">
        <w:t>et</w:t>
      </w:r>
      <w:r>
        <w:t xml:space="preserve"> </w:t>
      </w:r>
      <w:r w:rsidRPr="008516D1">
        <w:t>suivi</w:t>
      </w:r>
      <w:bookmarkEnd w:id="31"/>
    </w:p>
    <w:p w14:paraId="2DC220CD" w14:textId="77777777" w:rsidR="00286956" w:rsidRPr="008516D1" w:rsidRDefault="00286956" w:rsidP="00286956">
      <w:pPr>
        <w:pStyle w:val="SingleTxtG"/>
      </w:pPr>
      <w:bookmarkStart w:id="32" w:name="_Hlk72472651"/>
      <w:r w:rsidRPr="008516D1">
        <w:t>187.</w:t>
      </w:r>
      <w:r w:rsidRPr="008516D1">
        <w:tab/>
        <w:t>Au</w:t>
      </w:r>
      <w:r>
        <w:t xml:space="preserve"> </w:t>
      </w:r>
      <w:r w:rsidRPr="008516D1">
        <w:t>sujet</w:t>
      </w:r>
      <w:r>
        <w:t xml:space="preserve"> </w:t>
      </w:r>
      <w:r w:rsidRPr="008516D1">
        <w:t>du</w:t>
      </w:r>
      <w:r>
        <w:t xml:space="preserve"> </w:t>
      </w:r>
      <w:r w:rsidRPr="008516D1">
        <w:t>paragraphe</w:t>
      </w:r>
      <w:r>
        <w:t xml:space="preserve"> </w:t>
      </w:r>
      <w:r w:rsidRPr="008516D1">
        <w:t>46</w:t>
      </w:r>
      <w:r>
        <w:t xml:space="preserve"> </w:t>
      </w:r>
      <w:r w:rsidRPr="008516D1">
        <w:t>des</w:t>
      </w:r>
      <w:r>
        <w:t xml:space="preserve"> </w:t>
      </w:r>
      <w:r w:rsidRPr="008516D1">
        <w:t>observations</w:t>
      </w:r>
      <w:r>
        <w:t xml:space="preserve"> </w:t>
      </w:r>
      <w:r w:rsidRPr="008516D1">
        <w:t>finales,</w:t>
      </w:r>
      <w:r>
        <w:t xml:space="preserve"> </w:t>
      </w:r>
      <w:r w:rsidRPr="008516D1">
        <w:t>dans</w:t>
      </w:r>
      <w:r>
        <w:t xml:space="preserve"> </w:t>
      </w:r>
      <w:r w:rsidRPr="008516D1">
        <w:t>lequel</w:t>
      </w:r>
      <w:r>
        <w:t xml:space="preserve"> </w:t>
      </w:r>
      <w:r w:rsidRPr="008516D1">
        <w:t>l</w:t>
      </w:r>
      <w:r>
        <w:t>’</w:t>
      </w:r>
      <w:r w:rsidRPr="008516D1">
        <w:t>État</w:t>
      </w:r>
      <w:r>
        <w:t xml:space="preserve"> </w:t>
      </w:r>
      <w:r w:rsidRPr="008516D1">
        <w:t>est</w:t>
      </w:r>
      <w:r>
        <w:t xml:space="preserve"> </w:t>
      </w:r>
      <w:r w:rsidRPr="008516D1">
        <w:t>invité</w:t>
      </w:r>
      <w:r>
        <w:t xml:space="preserve"> </w:t>
      </w:r>
      <w:r w:rsidRPr="008516D1">
        <w:t>à</w:t>
      </w:r>
      <w:r>
        <w:t xml:space="preserve"> </w:t>
      </w:r>
      <w:r w:rsidRPr="008516D1">
        <w:t>diffuser</w:t>
      </w:r>
      <w:r>
        <w:t xml:space="preserve"> </w:t>
      </w:r>
      <w:r w:rsidRPr="008516D1">
        <w:t>largement</w:t>
      </w:r>
      <w:r>
        <w:t xml:space="preserve"> </w:t>
      </w:r>
      <w:r w:rsidRPr="008516D1">
        <w:t>la</w:t>
      </w:r>
      <w:r>
        <w:t xml:space="preserve"> </w:t>
      </w:r>
      <w:r w:rsidRPr="008516D1">
        <w:t>Convention,</w:t>
      </w:r>
      <w:r>
        <w:t xml:space="preserve"> </w:t>
      </w:r>
      <w:r w:rsidRPr="008516D1">
        <w:t>le</w:t>
      </w:r>
      <w:r>
        <w:t xml:space="preserve"> </w:t>
      </w:r>
      <w:r w:rsidRPr="008516D1">
        <w:t>rapport</w:t>
      </w:r>
      <w:r>
        <w:t xml:space="preserve"> </w:t>
      </w:r>
      <w:r w:rsidRPr="008516D1">
        <w:t>qu</w:t>
      </w:r>
      <w:r>
        <w:t>’</w:t>
      </w:r>
      <w:r w:rsidRPr="008516D1">
        <w:t>il</w:t>
      </w:r>
      <w:r>
        <w:t xml:space="preserve"> </w:t>
      </w:r>
      <w:r w:rsidRPr="008516D1">
        <w:t>a</w:t>
      </w:r>
      <w:r>
        <w:t xml:space="preserve"> </w:t>
      </w:r>
      <w:r w:rsidRPr="008516D1">
        <w:t>soumis,</w:t>
      </w:r>
      <w:r>
        <w:t xml:space="preserve"> </w:t>
      </w:r>
      <w:r w:rsidRPr="008516D1">
        <w:t>ses</w:t>
      </w:r>
      <w:r>
        <w:t xml:space="preserve"> </w:t>
      </w:r>
      <w:r w:rsidRPr="008516D1">
        <w:t>réponses</w:t>
      </w:r>
      <w:r>
        <w:t xml:space="preserve"> </w:t>
      </w:r>
      <w:r w:rsidRPr="008516D1">
        <w:t>à</w:t>
      </w:r>
      <w:r>
        <w:t xml:space="preserve"> </w:t>
      </w:r>
      <w:r w:rsidRPr="008516D1">
        <w:t>la</w:t>
      </w:r>
      <w:r>
        <w:t xml:space="preserve"> </w:t>
      </w:r>
      <w:r w:rsidRPr="008516D1">
        <w:t>liste</w:t>
      </w:r>
      <w:r>
        <w:t xml:space="preserve"> </w:t>
      </w:r>
      <w:r w:rsidRPr="008516D1">
        <w:t>de</w:t>
      </w:r>
      <w:r>
        <w:t xml:space="preserve"> </w:t>
      </w:r>
      <w:r w:rsidRPr="008516D1">
        <w:t>points</w:t>
      </w:r>
      <w:r>
        <w:t xml:space="preserve"> </w:t>
      </w:r>
      <w:r w:rsidRPr="008516D1">
        <w:t>élaborée</w:t>
      </w:r>
      <w:r>
        <w:t xml:space="preserve"> </w:t>
      </w:r>
      <w:r w:rsidRPr="008516D1">
        <w:t>par</w:t>
      </w:r>
      <w:r>
        <w:t xml:space="preserve"> </w:t>
      </w:r>
      <w:r w:rsidRPr="008516D1">
        <w:t>le</w:t>
      </w:r>
      <w:r>
        <w:t xml:space="preserve"> </w:t>
      </w:r>
      <w:r w:rsidRPr="008516D1">
        <w:t>Comité,</w:t>
      </w:r>
      <w:r>
        <w:t xml:space="preserve"> </w:t>
      </w:r>
      <w:r w:rsidRPr="008516D1">
        <w:t>ainsi</w:t>
      </w:r>
      <w:r>
        <w:t xml:space="preserve"> </w:t>
      </w:r>
      <w:r w:rsidRPr="008516D1">
        <w:t>que</w:t>
      </w:r>
      <w:r>
        <w:t xml:space="preserve"> </w:t>
      </w:r>
      <w:r w:rsidRPr="008516D1">
        <w:t>les</w:t>
      </w:r>
      <w:r>
        <w:t xml:space="preserve"> </w:t>
      </w:r>
      <w:r w:rsidRPr="008516D1">
        <w:t>observations</w:t>
      </w:r>
      <w:r>
        <w:t xml:space="preserve"> </w:t>
      </w:r>
      <w:r w:rsidRPr="008516D1">
        <w:t>finales,</w:t>
      </w:r>
      <w:r>
        <w:t xml:space="preserve"> </w:t>
      </w:r>
      <w:r w:rsidRPr="008516D1">
        <w:t>il</w:t>
      </w:r>
      <w:r>
        <w:t xml:space="preserve"> </w:t>
      </w:r>
      <w:r w:rsidRPr="008516D1">
        <w:t>convient</w:t>
      </w:r>
      <w:r>
        <w:t xml:space="preserve"> </w:t>
      </w:r>
      <w:r w:rsidRPr="008516D1">
        <w:t>de</w:t>
      </w:r>
      <w:r>
        <w:t xml:space="preserve"> </w:t>
      </w:r>
      <w:r w:rsidRPr="008516D1">
        <w:t>préciser</w:t>
      </w:r>
      <w:r>
        <w:t xml:space="preserve"> </w:t>
      </w:r>
      <w:r w:rsidRPr="008516D1">
        <w:t>qu</w:t>
      </w:r>
      <w:r>
        <w:t>’</w:t>
      </w:r>
      <w:r w:rsidRPr="008516D1">
        <w:t>afin</w:t>
      </w:r>
      <w:r>
        <w:t xml:space="preserve"> </w:t>
      </w:r>
      <w:r w:rsidRPr="008516D1">
        <w:t>de</w:t>
      </w:r>
      <w:r>
        <w:t xml:space="preserve"> </w:t>
      </w:r>
      <w:r w:rsidRPr="008516D1">
        <w:t>sensibiliser</w:t>
      </w:r>
      <w:r>
        <w:t xml:space="preserve"> </w:t>
      </w:r>
      <w:r w:rsidRPr="008516D1">
        <w:t>les</w:t>
      </w:r>
      <w:r>
        <w:t xml:space="preserve"> </w:t>
      </w:r>
      <w:r w:rsidRPr="008516D1">
        <w:t>autorités</w:t>
      </w:r>
      <w:r>
        <w:t xml:space="preserve"> </w:t>
      </w:r>
      <w:r w:rsidRPr="008516D1">
        <w:t>judiciaires,</w:t>
      </w:r>
      <w:r>
        <w:t xml:space="preserve"> </w:t>
      </w:r>
      <w:r w:rsidRPr="008516D1">
        <w:t>législatives</w:t>
      </w:r>
      <w:r>
        <w:t xml:space="preserve"> </w:t>
      </w:r>
      <w:r w:rsidRPr="008516D1">
        <w:t>et</w:t>
      </w:r>
      <w:r>
        <w:t xml:space="preserve"> </w:t>
      </w:r>
      <w:r w:rsidRPr="008516D1">
        <w:t>administratives,</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et</w:t>
      </w:r>
      <w:r>
        <w:t xml:space="preserve"> </w:t>
      </w:r>
      <w:r w:rsidRPr="008516D1">
        <w:t>le</w:t>
      </w:r>
      <w:r>
        <w:t xml:space="preserve"> </w:t>
      </w:r>
      <w:r w:rsidRPr="008516D1">
        <w:t>grand</w:t>
      </w:r>
      <w:r>
        <w:t xml:space="preserve"> </w:t>
      </w:r>
      <w:r w:rsidRPr="008516D1">
        <w:t>public,</w:t>
      </w:r>
      <w:r>
        <w:t xml:space="preserve"> </w:t>
      </w:r>
      <w:r w:rsidRPr="008516D1">
        <w:t>ces</w:t>
      </w:r>
      <w:r>
        <w:t xml:space="preserve"> </w:t>
      </w:r>
      <w:r w:rsidRPr="008516D1">
        <w:t>documents</w:t>
      </w:r>
      <w:r>
        <w:t xml:space="preserve"> </w:t>
      </w:r>
      <w:r w:rsidRPr="008516D1">
        <w:t>sont</w:t>
      </w:r>
      <w:r>
        <w:t xml:space="preserve"> </w:t>
      </w:r>
      <w:r w:rsidRPr="008516D1">
        <w:t>disponibles</w:t>
      </w:r>
      <w:r>
        <w:t xml:space="preserve"> </w:t>
      </w:r>
      <w:r w:rsidRPr="008516D1">
        <w:t>via</w:t>
      </w:r>
      <w:r>
        <w:t xml:space="preserve"> </w:t>
      </w:r>
      <w:r w:rsidRPr="008516D1">
        <w:t>le</w:t>
      </w:r>
      <w:r>
        <w:t xml:space="preserve"> </w:t>
      </w:r>
      <w:r w:rsidRPr="008516D1">
        <w:t>Système</w:t>
      </w:r>
      <w:r>
        <w:t xml:space="preserve"> </w:t>
      </w:r>
      <w:r w:rsidRPr="008516D1">
        <w:t>hondurien</w:t>
      </w:r>
      <w:r>
        <w:t xml:space="preserve"> </w:t>
      </w:r>
      <w:r w:rsidRPr="008516D1">
        <w:t>de</w:t>
      </w:r>
      <w:r>
        <w:t xml:space="preserve"> </w:t>
      </w:r>
      <w:r w:rsidRPr="008516D1">
        <w:t>suivi</w:t>
      </w:r>
      <w:r>
        <w:t xml:space="preserve"> </w:t>
      </w:r>
      <w:r w:rsidRPr="008516D1">
        <w:t>des</w:t>
      </w:r>
      <w:r>
        <w:t xml:space="preserve"> </w:t>
      </w:r>
      <w:r w:rsidRPr="008516D1">
        <w:t>recommandations,</w:t>
      </w:r>
      <w:r>
        <w:t xml:space="preserve"> </w:t>
      </w:r>
      <w:r w:rsidRPr="008516D1">
        <w:t>qui</w:t>
      </w:r>
      <w:r>
        <w:t xml:space="preserve"> </w:t>
      </w:r>
      <w:r w:rsidRPr="008516D1">
        <w:t>assure</w:t>
      </w:r>
      <w:r>
        <w:t xml:space="preserve"> </w:t>
      </w:r>
      <w:r w:rsidRPr="008516D1">
        <w:t>le</w:t>
      </w:r>
      <w:r>
        <w:t xml:space="preserve"> </w:t>
      </w:r>
      <w:r w:rsidRPr="008516D1">
        <w:t>suivi</w:t>
      </w:r>
      <w:r>
        <w:t xml:space="preserve"> </w:t>
      </w:r>
      <w:r w:rsidRPr="008516D1">
        <w:t>des</w:t>
      </w:r>
      <w:r>
        <w:t xml:space="preserve"> </w:t>
      </w:r>
      <w:r w:rsidRPr="008516D1">
        <w:t>recommandations</w:t>
      </w:r>
      <w:r>
        <w:t xml:space="preserve"> </w:t>
      </w:r>
      <w:r w:rsidRPr="008516D1">
        <w:t>faites</w:t>
      </w:r>
      <w:r>
        <w:t xml:space="preserve"> </w:t>
      </w:r>
      <w:r w:rsidRPr="008516D1">
        <w:t>à</w:t>
      </w:r>
      <w:r>
        <w:t xml:space="preserve"> </w:t>
      </w:r>
      <w:r w:rsidRPr="008516D1">
        <w:t>l</w:t>
      </w:r>
      <w:r>
        <w:t>’</w:t>
      </w:r>
      <w:r w:rsidRPr="008516D1">
        <w:t>État</w:t>
      </w:r>
      <w:r>
        <w:t xml:space="preserve"> </w:t>
      </w:r>
      <w:r w:rsidRPr="008516D1">
        <w:t>par</w:t>
      </w:r>
      <w:r>
        <w:t xml:space="preserve"> </w:t>
      </w:r>
      <w:r w:rsidRPr="008516D1">
        <w:t>les</w:t>
      </w:r>
      <w:r>
        <w:t xml:space="preserve"> </w:t>
      </w:r>
      <w:r w:rsidRPr="008516D1">
        <w:t>neuf</w:t>
      </w:r>
      <w:r>
        <w:t xml:space="preserve"> </w:t>
      </w:r>
      <w:r w:rsidRPr="008516D1">
        <w:t>organes</w:t>
      </w:r>
      <w:r>
        <w:t xml:space="preserve"> </w:t>
      </w:r>
      <w:r w:rsidRPr="008516D1">
        <w:t>conventionnels</w:t>
      </w:r>
      <w:r>
        <w:t xml:space="preserve"> </w:t>
      </w:r>
      <w:r w:rsidRPr="008516D1">
        <w:t>dans</w:t>
      </w:r>
      <w:r>
        <w:t xml:space="preserve"> </w:t>
      </w:r>
      <w:r w:rsidRPr="008516D1">
        <w:t>le</w:t>
      </w:r>
      <w:r>
        <w:t xml:space="preserve"> </w:t>
      </w:r>
      <w:r w:rsidRPr="008516D1">
        <w:t>cadre</w:t>
      </w:r>
      <w:r>
        <w:t xml:space="preserve"> </w:t>
      </w:r>
      <w:r w:rsidRPr="008516D1">
        <w:t>de</w:t>
      </w:r>
      <w:r>
        <w:t xml:space="preserve"> </w:t>
      </w:r>
      <w:r w:rsidRPr="008516D1">
        <w:t>l</w:t>
      </w:r>
      <w:r>
        <w:t>’</w:t>
      </w:r>
      <w:r w:rsidRPr="008516D1">
        <w:t>Examen</w:t>
      </w:r>
      <w:r>
        <w:t xml:space="preserve"> </w:t>
      </w:r>
      <w:r w:rsidRPr="008516D1">
        <w:t>périodique</w:t>
      </w:r>
      <w:r>
        <w:t xml:space="preserve"> </w:t>
      </w:r>
      <w:r w:rsidRPr="008516D1">
        <w:t>universel</w:t>
      </w:r>
      <w:r>
        <w:t xml:space="preserve"> </w:t>
      </w:r>
      <w:r w:rsidRPr="008516D1">
        <w:t>du</w:t>
      </w:r>
      <w:r>
        <w:t xml:space="preserve"> </w:t>
      </w:r>
      <w:r w:rsidRPr="008516D1">
        <w:t>Conseil</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ainsi</w:t>
      </w:r>
      <w:r>
        <w:t xml:space="preserve"> </w:t>
      </w:r>
      <w:r w:rsidRPr="008516D1">
        <w:t>que</w:t>
      </w:r>
      <w:r>
        <w:t xml:space="preserve"> </w:t>
      </w:r>
      <w:r w:rsidRPr="008516D1">
        <w:t>le</w:t>
      </w:r>
      <w:r>
        <w:t xml:space="preserve"> </w:t>
      </w:r>
      <w:r w:rsidRPr="008516D1">
        <w:t>suivi</w:t>
      </w:r>
      <w:r>
        <w:t xml:space="preserve"> </w:t>
      </w:r>
      <w:r w:rsidRPr="008516D1">
        <w:t>des</w:t>
      </w:r>
      <w:r>
        <w:t xml:space="preserve"> </w:t>
      </w:r>
      <w:r w:rsidRPr="008516D1">
        <w:t>décisions</w:t>
      </w:r>
      <w:r>
        <w:t xml:space="preserve"> </w:t>
      </w:r>
      <w:r w:rsidRPr="008516D1">
        <w:t>des</w:t>
      </w:r>
      <w:r>
        <w:t xml:space="preserve"> </w:t>
      </w:r>
      <w:r w:rsidRPr="008516D1">
        <w:t>juridictions</w:t>
      </w:r>
      <w:r>
        <w:t xml:space="preserve"> </w:t>
      </w:r>
      <w:r w:rsidRPr="008516D1">
        <w:t>internationales</w:t>
      </w:r>
      <w:r>
        <w:t xml:space="preserve"> </w:t>
      </w:r>
      <w:r w:rsidRPr="008516D1">
        <w:t>et</w:t>
      </w:r>
      <w:r>
        <w:t xml:space="preserve"> </w:t>
      </w:r>
      <w:r w:rsidRPr="008516D1">
        <w:t>des</w:t>
      </w:r>
      <w:r>
        <w:t xml:space="preserve"> </w:t>
      </w:r>
      <w:r w:rsidRPr="008516D1">
        <w:t>recommandations</w:t>
      </w:r>
      <w:r>
        <w:t xml:space="preserve"> </w:t>
      </w:r>
      <w:r w:rsidRPr="008516D1">
        <w:t>formulées</w:t>
      </w:r>
      <w:r>
        <w:t xml:space="preserve"> </w:t>
      </w:r>
      <w:r w:rsidRPr="008516D1">
        <w:t>à</w:t>
      </w:r>
      <w:r>
        <w:t xml:space="preserve"> </w:t>
      </w:r>
      <w:r w:rsidRPr="008516D1">
        <w:t>l</w:t>
      </w:r>
      <w:r>
        <w:t>’</w:t>
      </w:r>
      <w:r w:rsidRPr="008516D1">
        <w:t>occasion</w:t>
      </w:r>
      <w:r>
        <w:t xml:space="preserve"> </w:t>
      </w:r>
      <w:r w:rsidRPr="008516D1">
        <w:t>des</w:t>
      </w:r>
      <w:r>
        <w:t xml:space="preserve"> </w:t>
      </w:r>
      <w:r w:rsidRPr="008516D1">
        <w:t>visites</w:t>
      </w:r>
      <w:r>
        <w:t xml:space="preserve"> </w:t>
      </w:r>
      <w:r w:rsidRPr="008516D1">
        <w:t>effectuées</w:t>
      </w:r>
      <w:r>
        <w:t xml:space="preserve"> </w:t>
      </w:r>
      <w:r w:rsidRPr="008516D1">
        <w:t>sur</w:t>
      </w:r>
      <w:r>
        <w:t xml:space="preserve"> </w:t>
      </w:r>
      <w:r w:rsidRPr="008516D1">
        <w:t>place</w:t>
      </w:r>
      <w:r>
        <w:t xml:space="preserve"> </w:t>
      </w:r>
      <w:r w:rsidRPr="008516D1">
        <w:t>par</w:t>
      </w:r>
      <w:r>
        <w:t xml:space="preserve"> </w:t>
      </w:r>
      <w:r w:rsidRPr="008516D1">
        <w:t>la</w:t>
      </w:r>
      <w:r>
        <w:t xml:space="preserve"> </w:t>
      </w:r>
      <w:r w:rsidRPr="008516D1">
        <w:t>Commission</w:t>
      </w:r>
      <w:r>
        <w:t xml:space="preserve"> </w:t>
      </w:r>
      <w:r w:rsidRPr="008516D1">
        <w:t>interaméricaine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p>
    <w:p w14:paraId="0B712700" w14:textId="0995704B" w:rsidR="00286956" w:rsidRPr="008516D1" w:rsidRDefault="00286956" w:rsidP="00286956">
      <w:pPr>
        <w:pStyle w:val="SingleTxtG"/>
      </w:pPr>
      <w:r w:rsidRPr="008516D1">
        <w:t>188.</w:t>
      </w:r>
      <w:r w:rsidRPr="008516D1">
        <w:tab/>
        <w:t>En</w:t>
      </w:r>
      <w:r>
        <w:t xml:space="preserve"> </w:t>
      </w:r>
      <w:r w:rsidRPr="008516D1">
        <w:t>octobre</w:t>
      </w:r>
      <w:r>
        <w:t xml:space="preserve"> </w:t>
      </w:r>
      <w:r w:rsidRPr="008516D1">
        <w:t>2018,</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d</w:t>
      </w:r>
      <w:r>
        <w:t>’</w:t>
      </w:r>
      <w:r w:rsidRPr="008516D1">
        <w:t>autres</w:t>
      </w:r>
      <w:r>
        <w:t xml:space="preserve"> </w:t>
      </w:r>
      <w:r w:rsidRPr="008516D1">
        <w:t>institutions</w:t>
      </w:r>
      <w:r>
        <w:t xml:space="preserve"> </w:t>
      </w:r>
      <w:r w:rsidRPr="008516D1">
        <w:t>de</w:t>
      </w:r>
      <w:r>
        <w:t xml:space="preserve"> </w:t>
      </w:r>
      <w:r w:rsidRPr="008516D1">
        <w:t>l</w:t>
      </w:r>
      <w:r>
        <w:t>’</w:t>
      </w:r>
      <w:r w:rsidRPr="008516D1">
        <w:t>État</w:t>
      </w:r>
      <w:r>
        <w:t xml:space="preserve"> </w:t>
      </w:r>
      <w:r w:rsidRPr="008516D1">
        <w:t>ont</w:t>
      </w:r>
      <w:r>
        <w:t xml:space="preserve"> </w:t>
      </w:r>
      <w:r w:rsidRPr="008516D1">
        <w:t>organisé</w:t>
      </w:r>
      <w:r>
        <w:t xml:space="preserve"> </w:t>
      </w:r>
      <w:r w:rsidRPr="008516D1">
        <w:t>une</w:t>
      </w:r>
      <w:r>
        <w:t xml:space="preserve"> </w:t>
      </w:r>
      <w:r w:rsidRPr="008516D1">
        <w:t>réunion</w:t>
      </w:r>
      <w:r>
        <w:t xml:space="preserve"> </w:t>
      </w:r>
      <w:r w:rsidRPr="008516D1">
        <w:t>avec</w:t>
      </w:r>
      <w:r>
        <w:t xml:space="preserve"> </w:t>
      </w:r>
      <w:r w:rsidRPr="008516D1">
        <w:t>l</w:t>
      </w:r>
      <w:r>
        <w:t>’</w:t>
      </w:r>
      <w:r w:rsidRPr="008516D1">
        <w:t>expert</w:t>
      </w:r>
      <w:r>
        <w:t xml:space="preserve"> </w:t>
      </w:r>
      <w:r w:rsidRPr="008516D1">
        <w:t>du</w:t>
      </w:r>
      <w:r>
        <w:t xml:space="preserve"> </w:t>
      </w:r>
      <w:r w:rsidRPr="008516D1">
        <w:t>Comité</w:t>
      </w:r>
      <w:r>
        <w:t xml:space="preserve"> </w:t>
      </w:r>
      <w:r w:rsidRPr="008516D1">
        <w:t>des</w:t>
      </w:r>
      <w:r>
        <w:t xml:space="preserve"> </w:t>
      </w:r>
      <w:r w:rsidRPr="008516D1">
        <w:t>disparitions</w:t>
      </w:r>
      <w:r>
        <w:t xml:space="preserve"> </w:t>
      </w:r>
      <w:r w:rsidRPr="008516D1">
        <w:t>forcées</w:t>
      </w:r>
      <w:r>
        <w:t xml:space="preserve"> </w:t>
      </w:r>
      <w:r w:rsidRPr="008516D1">
        <w:t>et</w:t>
      </w:r>
      <w:r>
        <w:t xml:space="preserve"> </w:t>
      </w:r>
      <w:r w:rsidRPr="008516D1">
        <w:t>des</w:t>
      </w:r>
      <w:r>
        <w:t xml:space="preserve"> </w:t>
      </w:r>
      <w:r w:rsidRPr="008516D1">
        <w:t>représentants</w:t>
      </w:r>
      <w:r>
        <w:t xml:space="preserve"> </w:t>
      </w:r>
      <w:r w:rsidRPr="008516D1">
        <w:t>du</w:t>
      </w:r>
      <w:r>
        <w:t xml:space="preserve"> </w:t>
      </w:r>
      <w:r w:rsidRPr="008516D1">
        <w:t>Haut-Commissariat</w:t>
      </w:r>
      <w:r>
        <w:t xml:space="preserve"> </w:t>
      </w:r>
      <w:r w:rsidRPr="008516D1">
        <w:t>des</w:t>
      </w:r>
      <w:r>
        <w:t xml:space="preserve"> </w:t>
      </w:r>
      <w:r w:rsidRPr="008516D1">
        <w:t>Nations</w:t>
      </w:r>
      <w:r>
        <w:t xml:space="preserve"> </w:t>
      </w:r>
      <w:r w:rsidRPr="008516D1">
        <w:t>Unies</w:t>
      </w:r>
      <w:r>
        <w:t xml:space="preserve"> </w:t>
      </w:r>
      <w:r w:rsidRPr="008516D1">
        <w:t>aux</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au</w:t>
      </w:r>
      <w:r>
        <w:t xml:space="preserve"> </w:t>
      </w:r>
      <w:r w:rsidRPr="008516D1">
        <w:t>Honduras,</w:t>
      </w:r>
      <w:r>
        <w:t xml:space="preserve"> </w:t>
      </w:r>
      <w:r w:rsidRPr="008516D1">
        <w:t>à</w:t>
      </w:r>
      <w:r>
        <w:t xml:space="preserve"> </w:t>
      </w:r>
      <w:r w:rsidRPr="008516D1">
        <w:t>l</w:t>
      </w:r>
      <w:r>
        <w:t>’</w:t>
      </w:r>
      <w:r w:rsidRPr="008516D1">
        <w:t>occasion</w:t>
      </w:r>
      <w:r>
        <w:t xml:space="preserve"> </w:t>
      </w:r>
      <w:r w:rsidRPr="008516D1">
        <w:t>de</w:t>
      </w:r>
      <w:r>
        <w:t xml:space="preserve"> </w:t>
      </w:r>
      <w:r w:rsidRPr="008516D1">
        <w:t>la</w:t>
      </w:r>
      <w:r>
        <w:t xml:space="preserve"> </w:t>
      </w:r>
      <w:r w:rsidRPr="008516D1">
        <w:t>clôture</w:t>
      </w:r>
      <w:r>
        <w:t xml:space="preserve"> </w:t>
      </w:r>
      <w:r w:rsidRPr="008516D1">
        <w:t>de</w:t>
      </w:r>
      <w:r>
        <w:t xml:space="preserve"> </w:t>
      </w:r>
      <w:r w:rsidRPr="008516D1">
        <w:t>leur</w:t>
      </w:r>
      <w:r>
        <w:t xml:space="preserve"> </w:t>
      </w:r>
      <w:r w:rsidRPr="008516D1">
        <w:t>visite</w:t>
      </w:r>
      <w:r>
        <w:t xml:space="preserve"> </w:t>
      </w:r>
      <w:r w:rsidRPr="008516D1">
        <w:t>non</w:t>
      </w:r>
      <w:r>
        <w:t xml:space="preserve"> </w:t>
      </w:r>
      <w:r w:rsidRPr="008516D1">
        <w:t>officielle</w:t>
      </w:r>
      <w:r>
        <w:t xml:space="preserve"> </w:t>
      </w:r>
      <w:r w:rsidRPr="008516D1">
        <w:t>dans</w:t>
      </w:r>
      <w:r>
        <w:t xml:space="preserve"> </w:t>
      </w:r>
      <w:r w:rsidRPr="008516D1">
        <w:t>le</w:t>
      </w:r>
      <w:r>
        <w:t xml:space="preserve"> </w:t>
      </w:r>
      <w:r w:rsidRPr="008516D1">
        <w:t>pays,</w:t>
      </w:r>
      <w:r>
        <w:t xml:space="preserve"> </w:t>
      </w:r>
      <w:r w:rsidRPr="008516D1">
        <w:t>qui</w:t>
      </w:r>
      <w:r>
        <w:t xml:space="preserve"> </w:t>
      </w:r>
      <w:r w:rsidRPr="008516D1">
        <w:t>a</w:t>
      </w:r>
      <w:r>
        <w:t xml:space="preserve"> </w:t>
      </w:r>
      <w:r w:rsidRPr="008516D1">
        <w:t>permis</w:t>
      </w:r>
      <w:r>
        <w:t xml:space="preserve"> </w:t>
      </w:r>
      <w:r w:rsidRPr="008516D1">
        <w:t>de</w:t>
      </w:r>
      <w:r>
        <w:t xml:space="preserve"> </w:t>
      </w:r>
      <w:r w:rsidRPr="008516D1">
        <w:t>rencontrer</w:t>
      </w:r>
      <w:r>
        <w:t xml:space="preserve"> </w:t>
      </w:r>
      <w:r w:rsidRPr="008516D1">
        <w:t>des</w:t>
      </w:r>
      <w:r>
        <w:t xml:space="preserve"> </w:t>
      </w:r>
      <w:r w:rsidRPr="008516D1">
        <w:t>acteurs</w:t>
      </w:r>
      <w:r>
        <w:t xml:space="preserve"> </w:t>
      </w:r>
      <w:r w:rsidRPr="008516D1">
        <w:t>cl</w:t>
      </w:r>
      <w:r w:rsidR="005F691A">
        <w:t>ef</w:t>
      </w:r>
      <w:r w:rsidRPr="008516D1">
        <w:t>s</w:t>
      </w:r>
      <w:r>
        <w:t xml:space="preserve"> </w:t>
      </w:r>
      <w:r w:rsidRPr="008516D1">
        <w:t>de</w:t>
      </w:r>
      <w:r>
        <w:t xml:space="preserve"> </w:t>
      </w:r>
      <w:r w:rsidRPr="008516D1">
        <w:t>l</w:t>
      </w:r>
      <w:r>
        <w:t>’</w:t>
      </w:r>
      <w:r w:rsidRPr="008516D1">
        <w:t>État</w:t>
      </w:r>
      <w:r>
        <w:t xml:space="preserve"> </w:t>
      </w:r>
      <w:r w:rsidRPr="008516D1">
        <w:t>et</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pour</w:t>
      </w:r>
      <w:r>
        <w:t xml:space="preserve"> </w:t>
      </w:r>
      <w:r w:rsidRPr="008516D1">
        <w:t>leur</w:t>
      </w:r>
      <w:r>
        <w:t xml:space="preserve"> </w:t>
      </w:r>
      <w:r w:rsidRPr="008516D1">
        <w:t>présenter</w:t>
      </w:r>
      <w:r>
        <w:t xml:space="preserve"> </w:t>
      </w:r>
      <w:r w:rsidRPr="008516D1">
        <w:t>le</w:t>
      </w:r>
      <w:r>
        <w:t xml:space="preserve"> </w:t>
      </w:r>
      <w:r w:rsidRPr="008516D1">
        <w:t>contenu</w:t>
      </w:r>
      <w:r>
        <w:t xml:space="preserve"> </w:t>
      </w:r>
      <w:r w:rsidRPr="008516D1">
        <w:t>de</w:t>
      </w:r>
      <w:r>
        <w:t xml:space="preserve"> </w:t>
      </w:r>
      <w:r w:rsidRPr="008516D1">
        <w:t>la</w:t>
      </w:r>
      <w:r>
        <w:t xml:space="preserve"> </w:t>
      </w:r>
      <w:r w:rsidRPr="008516D1">
        <w:t>Convention</w:t>
      </w:r>
      <w:r>
        <w:t xml:space="preserve"> </w:t>
      </w:r>
      <w:r w:rsidRPr="008516D1">
        <w:t>et</w:t>
      </w:r>
      <w:r>
        <w:t xml:space="preserve"> </w:t>
      </w:r>
      <w:r w:rsidRPr="008516D1">
        <w:t>des</w:t>
      </w:r>
      <w:r>
        <w:t xml:space="preserve"> </w:t>
      </w:r>
      <w:r w:rsidRPr="008516D1">
        <w:t>observations</w:t>
      </w:r>
      <w:r>
        <w:t xml:space="preserve"> </w:t>
      </w:r>
      <w:r w:rsidRPr="008516D1">
        <w:t>finales,</w:t>
      </w:r>
      <w:r>
        <w:t xml:space="preserve"> </w:t>
      </w:r>
      <w:r w:rsidRPr="008516D1">
        <w:t>de</w:t>
      </w:r>
      <w:r>
        <w:t xml:space="preserve"> </w:t>
      </w:r>
      <w:r w:rsidRPr="008516D1">
        <w:t>faciliter</w:t>
      </w:r>
      <w:r>
        <w:t xml:space="preserve"> </w:t>
      </w:r>
      <w:r w:rsidRPr="008516D1">
        <w:t>le</w:t>
      </w:r>
      <w:r>
        <w:t xml:space="preserve"> </w:t>
      </w:r>
      <w:r w:rsidRPr="008516D1">
        <w:t>dialogue</w:t>
      </w:r>
      <w:r>
        <w:t xml:space="preserve"> </w:t>
      </w:r>
      <w:r w:rsidRPr="008516D1">
        <w:t>entre</w:t>
      </w:r>
      <w:r>
        <w:t xml:space="preserve"> </w:t>
      </w:r>
      <w:r w:rsidRPr="008516D1">
        <w:t>les</w:t>
      </w:r>
      <w:r>
        <w:t xml:space="preserve"> </w:t>
      </w:r>
      <w:r w:rsidRPr="008516D1">
        <w:t>organisations</w:t>
      </w:r>
      <w:r>
        <w:t xml:space="preserve"> </w:t>
      </w:r>
      <w:r w:rsidRPr="008516D1">
        <w:t>de</w:t>
      </w:r>
      <w:r>
        <w:t xml:space="preserve"> </w:t>
      </w:r>
      <w:r w:rsidRPr="008516D1">
        <w:t>la</w:t>
      </w:r>
      <w:r>
        <w:t xml:space="preserve"> </w:t>
      </w:r>
      <w:r w:rsidRPr="008516D1">
        <w:t>société</w:t>
      </w:r>
      <w:r>
        <w:t xml:space="preserve"> </w:t>
      </w:r>
      <w:r w:rsidRPr="008516D1">
        <w:t>civile,</w:t>
      </w:r>
      <w:r>
        <w:t xml:space="preserve"> </w:t>
      </w:r>
      <w:r w:rsidRPr="008516D1">
        <w:t>les</w:t>
      </w:r>
      <w:r>
        <w:t xml:space="preserve"> </w:t>
      </w:r>
      <w:r w:rsidRPr="008516D1">
        <w:t>victimes</w:t>
      </w:r>
      <w:r>
        <w:t xml:space="preserve"> </w:t>
      </w:r>
      <w:r w:rsidRPr="008516D1">
        <w:t>et</w:t>
      </w:r>
      <w:r>
        <w:t xml:space="preserve"> </w:t>
      </w:r>
      <w:r w:rsidRPr="008516D1">
        <w:t>les</w:t>
      </w:r>
      <w:r>
        <w:t xml:space="preserve"> </w:t>
      </w:r>
      <w:r w:rsidRPr="008516D1">
        <w:t>autorités,</w:t>
      </w:r>
      <w:r>
        <w:t xml:space="preserve"> </w:t>
      </w:r>
      <w:r w:rsidRPr="008516D1">
        <w:t>et</w:t>
      </w:r>
      <w:r>
        <w:t xml:space="preserve"> </w:t>
      </w:r>
      <w:r w:rsidRPr="008516D1">
        <w:t>d</w:t>
      </w:r>
      <w:r>
        <w:t>’</w:t>
      </w:r>
      <w:r w:rsidRPr="008516D1">
        <w:t>élaborer</w:t>
      </w:r>
      <w:r>
        <w:t xml:space="preserve"> </w:t>
      </w:r>
      <w:r w:rsidRPr="008516D1">
        <w:t>une</w:t>
      </w:r>
      <w:r>
        <w:t xml:space="preserve"> </w:t>
      </w:r>
      <w:r w:rsidRPr="008516D1">
        <w:t>feuille</w:t>
      </w:r>
      <w:r>
        <w:t xml:space="preserve"> </w:t>
      </w:r>
      <w:r w:rsidRPr="008516D1">
        <w:t>de</w:t>
      </w:r>
      <w:r>
        <w:t xml:space="preserve"> </w:t>
      </w:r>
      <w:r w:rsidRPr="008516D1">
        <w:t>route</w:t>
      </w:r>
      <w:r>
        <w:t xml:space="preserve"> </w:t>
      </w:r>
      <w:r w:rsidRPr="008516D1">
        <w:t>pour</w:t>
      </w:r>
      <w:r>
        <w:t xml:space="preserve"> </w:t>
      </w:r>
      <w:r w:rsidRPr="008516D1">
        <w:t>la</w:t>
      </w:r>
      <w:r>
        <w:t xml:space="preserve"> </w:t>
      </w:r>
      <w:r w:rsidRPr="008516D1">
        <w:t>mise</w:t>
      </w:r>
      <w:r>
        <w:t xml:space="preserve"> </w:t>
      </w:r>
      <w:r w:rsidRPr="008516D1">
        <w:t>en</w:t>
      </w:r>
      <w:r>
        <w:t xml:space="preserve"> </w:t>
      </w:r>
      <w:r w:rsidRPr="008516D1">
        <w:t>œuvre</w:t>
      </w:r>
      <w:r>
        <w:t xml:space="preserve"> </w:t>
      </w:r>
      <w:r w:rsidRPr="008516D1">
        <w:t>des</w:t>
      </w:r>
      <w:r>
        <w:t xml:space="preserve"> </w:t>
      </w:r>
      <w:r w:rsidRPr="008516D1">
        <w:t>recommandations.</w:t>
      </w:r>
    </w:p>
    <w:p w14:paraId="0EF1EC44" w14:textId="77777777" w:rsidR="00286956" w:rsidRPr="008516D1" w:rsidRDefault="00286956" w:rsidP="00286956">
      <w:pPr>
        <w:pStyle w:val="SingleTxtG"/>
      </w:pPr>
      <w:r w:rsidRPr="008516D1">
        <w:t>189.</w:t>
      </w:r>
      <w:r w:rsidRPr="008516D1">
        <w:tab/>
        <w:t>Pour</w:t>
      </w:r>
      <w:r>
        <w:t xml:space="preserve"> </w:t>
      </w:r>
      <w:r w:rsidRPr="008516D1">
        <w:t>l</w:t>
      </w:r>
      <w:r>
        <w:t>’</w:t>
      </w:r>
      <w:r w:rsidRPr="008516D1">
        <w:t>expert</w:t>
      </w:r>
      <w:r>
        <w:t xml:space="preserve"> </w:t>
      </w:r>
      <w:r w:rsidRPr="008516D1">
        <w:t>du</w:t>
      </w:r>
      <w:r>
        <w:t xml:space="preserve"> </w:t>
      </w:r>
      <w:r w:rsidRPr="008516D1">
        <w:t>Comité,</w:t>
      </w:r>
      <w:r>
        <w:t xml:space="preserve"> </w:t>
      </w:r>
      <w:r w:rsidRPr="008516D1">
        <w:t>cette</w:t>
      </w:r>
      <w:r>
        <w:t xml:space="preserve"> </w:t>
      </w:r>
      <w:r w:rsidRPr="008516D1">
        <w:t>visite</w:t>
      </w:r>
      <w:r>
        <w:t xml:space="preserve"> </w:t>
      </w:r>
      <w:r w:rsidRPr="008516D1">
        <w:t>a</w:t>
      </w:r>
      <w:r>
        <w:t xml:space="preserve"> </w:t>
      </w:r>
      <w:r w:rsidRPr="008516D1">
        <w:t>été</w:t>
      </w:r>
      <w:r>
        <w:t xml:space="preserve"> </w:t>
      </w:r>
      <w:r w:rsidRPr="008516D1">
        <w:t>l</w:t>
      </w:r>
      <w:r>
        <w:t>’</w:t>
      </w:r>
      <w:r w:rsidRPr="008516D1">
        <w:t>occasion</w:t>
      </w:r>
      <w:r>
        <w:t xml:space="preserve"> </w:t>
      </w:r>
      <w:r w:rsidRPr="008516D1">
        <w:t>de</w:t>
      </w:r>
      <w:r>
        <w:t xml:space="preserve"> </w:t>
      </w:r>
      <w:r w:rsidRPr="008516D1">
        <w:t>recueillir</w:t>
      </w:r>
      <w:r>
        <w:t xml:space="preserve"> </w:t>
      </w:r>
      <w:r w:rsidRPr="008516D1">
        <w:t>des</w:t>
      </w:r>
      <w:r>
        <w:t xml:space="preserve"> </w:t>
      </w:r>
      <w:r w:rsidRPr="008516D1">
        <w:t>informations</w:t>
      </w:r>
      <w:r>
        <w:t xml:space="preserve"> </w:t>
      </w:r>
      <w:r w:rsidRPr="008516D1">
        <w:t>de</w:t>
      </w:r>
      <w:r>
        <w:t xml:space="preserve"> </w:t>
      </w:r>
      <w:r w:rsidRPr="008516D1">
        <w:t>première</w:t>
      </w:r>
      <w:r>
        <w:t xml:space="preserve"> </w:t>
      </w:r>
      <w:r w:rsidRPr="008516D1">
        <w:t>main</w:t>
      </w:r>
      <w:r>
        <w:t xml:space="preserve"> </w:t>
      </w:r>
      <w:r w:rsidRPr="008516D1">
        <w:t>sur</w:t>
      </w:r>
      <w:r>
        <w:t xml:space="preserve"> </w:t>
      </w:r>
      <w:r w:rsidRPr="008516D1">
        <w:t>les</w:t>
      </w:r>
      <w:r>
        <w:t xml:space="preserve"> </w:t>
      </w:r>
      <w:r w:rsidRPr="008516D1">
        <w:t>efforts</w:t>
      </w:r>
      <w:r>
        <w:t xml:space="preserve"> </w:t>
      </w:r>
      <w:r w:rsidRPr="008516D1">
        <w:t>faits,</w:t>
      </w:r>
      <w:r>
        <w:t xml:space="preserve"> </w:t>
      </w:r>
      <w:r w:rsidRPr="008516D1">
        <w:t>les</w:t>
      </w:r>
      <w:r>
        <w:t xml:space="preserve"> </w:t>
      </w:r>
      <w:r w:rsidRPr="008516D1">
        <w:t>défis</w:t>
      </w:r>
      <w:r>
        <w:t xml:space="preserve"> </w:t>
      </w:r>
      <w:r w:rsidRPr="008516D1">
        <w:t>à</w:t>
      </w:r>
      <w:r>
        <w:t xml:space="preserve"> </w:t>
      </w:r>
      <w:r w:rsidRPr="008516D1">
        <w:t>relever</w:t>
      </w:r>
      <w:r>
        <w:t xml:space="preserve"> </w:t>
      </w:r>
      <w:r w:rsidRPr="008516D1">
        <w:t>et</w:t>
      </w:r>
      <w:r>
        <w:t xml:space="preserve"> </w:t>
      </w:r>
      <w:r w:rsidRPr="008516D1">
        <w:t>les</w:t>
      </w:r>
      <w:r>
        <w:t xml:space="preserve"> </w:t>
      </w:r>
      <w:r w:rsidRPr="008516D1">
        <w:t>difficultés</w:t>
      </w:r>
      <w:r>
        <w:t xml:space="preserve"> </w:t>
      </w:r>
      <w:r w:rsidRPr="008516D1">
        <w:t>rencontrées</w:t>
      </w:r>
      <w:r>
        <w:t xml:space="preserve"> </w:t>
      </w:r>
      <w:r w:rsidRPr="008516D1">
        <w:t>pour</w:t>
      </w:r>
      <w:r>
        <w:t xml:space="preserve"> </w:t>
      </w:r>
      <w:r w:rsidRPr="008516D1">
        <w:t>mettre</w:t>
      </w:r>
      <w:r>
        <w:t xml:space="preserve"> </w:t>
      </w:r>
      <w:r w:rsidRPr="008516D1">
        <w:t>en</w:t>
      </w:r>
      <w:r>
        <w:t xml:space="preserve"> </w:t>
      </w:r>
      <w:r w:rsidRPr="008516D1">
        <w:t>œuvre</w:t>
      </w:r>
      <w:r>
        <w:t xml:space="preserve"> </w:t>
      </w:r>
      <w:r w:rsidRPr="008516D1">
        <w:t>la</w:t>
      </w:r>
      <w:r>
        <w:t xml:space="preserve"> </w:t>
      </w:r>
      <w:r w:rsidRPr="008516D1">
        <w:t>Convention.</w:t>
      </w:r>
      <w:r>
        <w:t xml:space="preserve"> </w:t>
      </w:r>
      <w:r w:rsidRPr="008516D1">
        <w:t>Elle</w:t>
      </w:r>
      <w:r>
        <w:t xml:space="preserve"> </w:t>
      </w:r>
      <w:r w:rsidRPr="008516D1">
        <w:t>constitue</w:t>
      </w:r>
      <w:r>
        <w:t xml:space="preserve"> </w:t>
      </w:r>
      <w:r w:rsidRPr="008516D1">
        <w:t>aussi</w:t>
      </w:r>
      <w:r>
        <w:t xml:space="preserve"> </w:t>
      </w:r>
      <w:r w:rsidRPr="008516D1">
        <w:t>une</w:t>
      </w:r>
      <w:r>
        <w:t xml:space="preserve"> </w:t>
      </w:r>
      <w:r w:rsidRPr="008516D1">
        <w:t>bonne</w:t>
      </w:r>
      <w:r>
        <w:t xml:space="preserve"> </w:t>
      </w:r>
      <w:r w:rsidRPr="008516D1">
        <w:t>pratique</w:t>
      </w:r>
      <w:r>
        <w:t xml:space="preserve"> </w:t>
      </w:r>
      <w:r w:rsidRPr="008516D1">
        <w:t>du</w:t>
      </w:r>
      <w:r>
        <w:t xml:space="preserve"> </w:t>
      </w:r>
      <w:r w:rsidRPr="008516D1">
        <w:t>Comité</w:t>
      </w:r>
      <w:r>
        <w:t xml:space="preserve"> </w:t>
      </w:r>
      <w:r w:rsidRPr="008516D1">
        <w:t>pour</w:t>
      </w:r>
      <w:r>
        <w:t xml:space="preserve"> </w:t>
      </w:r>
      <w:r w:rsidRPr="008516D1">
        <w:t>favoriser</w:t>
      </w:r>
      <w:r>
        <w:t xml:space="preserve"> </w:t>
      </w:r>
      <w:r w:rsidRPr="008516D1">
        <w:t>le</w:t>
      </w:r>
      <w:r>
        <w:t xml:space="preserve"> </w:t>
      </w:r>
      <w:r w:rsidRPr="008516D1">
        <w:t>rapprochement</w:t>
      </w:r>
      <w:r>
        <w:t xml:space="preserve"> </w:t>
      </w:r>
      <w:r w:rsidRPr="008516D1">
        <w:t>avec</w:t>
      </w:r>
      <w:r>
        <w:t xml:space="preserve"> </w:t>
      </w:r>
      <w:r w:rsidRPr="008516D1">
        <w:t>l</w:t>
      </w:r>
      <w:r>
        <w:t>’</w:t>
      </w:r>
      <w:r w:rsidRPr="008516D1">
        <w:t>État</w:t>
      </w:r>
      <w:r>
        <w:t xml:space="preserve"> </w:t>
      </w:r>
      <w:r w:rsidRPr="008516D1">
        <w:t>partie.</w:t>
      </w:r>
    </w:p>
    <w:p w14:paraId="7201A832" w14:textId="77777777" w:rsidR="00286956" w:rsidRPr="008516D1" w:rsidRDefault="00286956" w:rsidP="00286956">
      <w:pPr>
        <w:pStyle w:val="SingleTxtG"/>
      </w:pPr>
      <w:r w:rsidRPr="008516D1">
        <w:t>190.</w:t>
      </w:r>
      <w:r w:rsidRPr="008516D1">
        <w:tab/>
        <w:t>Au</w:t>
      </w:r>
      <w:r>
        <w:t xml:space="preserve"> </w:t>
      </w:r>
      <w:r w:rsidRPr="008516D1">
        <w:t>cours</w:t>
      </w:r>
      <w:r>
        <w:t xml:space="preserve"> </w:t>
      </w:r>
      <w:r w:rsidRPr="008516D1">
        <w:t>de</w:t>
      </w:r>
      <w:r>
        <w:t xml:space="preserve"> </w:t>
      </w:r>
      <w:r w:rsidRPr="008516D1">
        <w:t>la</w:t>
      </w:r>
      <w:r>
        <w:t xml:space="preserve"> </w:t>
      </w:r>
      <w:r w:rsidRPr="008516D1">
        <w:t>réunion,</w:t>
      </w:r>
      <w:r>
        <w:t xml:space="preserve"> </w:t>
      </w:r>
      <w:r w:rsidRPr="008516D1">
        <w:t>l</w:t>
      </w:r>
      <w:r>
        <w:t>’</w:t>
      </w:r>
      <w:r w:rsidRPr="008516D1">
        <w:t>accent</w:t>
      </w:r>
      <w:r>
        <w:t xml:space="preserve"> </w:t>
      </w:r>
      <w:r w:rsidRPr="008516D1">
        <w:t>a</w:t>
      </w:r>
      <w:r>
        <w:t xml:space="preserve"> </w:t>
      </w:r>
      <w:r w:rsidRPr="008516D1">
        <w:t>été</w:t>
      </w:r>
      <w:r>
        <w:t xml:space="preserve"> </w:t>
      </w:r>
      <w:r w:rsidRPr="008516D1">
        <w:t>mis</w:t>
      </w:r>
      <w:r>
        <w:t xml:space="preserve"> </w:t>
      </w:r>
      <w:r w:rsidRPr="008516D1">
        <w:t>sur</w:t>
      </w:r>
      <w:r>
        <w:t xml:space="preserve"> </w:t>
      </w:r>
      <w:r w:rsidRPr="008516D1">
        <w:t>les</w:t>
      </w:r>
      <w:r>
        <w:t xml:space="preserve"> </w:t>
      </w:r>
      <w:r w:rsidRPr="008516D1">
        <w:t>points</w:t>
      </w:r>
      <w:r>
        <w:t xml:space="preserve"> </w:t>
      </w:r>
      <w:r w:rsidRPr="008516D1">
        <w:t>positifs</w:t>
      </w:r>
      <w:r>
        <w:t xml:space="preserve"> </w:t>
      </w:r>
      <w:r w:rsidRPr="008516D1">
        <w:t>que</w:t>
      </w:r>
      <w:r>
        <w:t xml:space="preserve"> </w:t>
      </w:r>
      <w:r w:rsidRPr="008516D1">
        <w:t>représentent</w:t>
      </w:r>
      <w:r>
        <w:t xml:space="preserve"> </w:t>
      </w:r>
      <w:r w:rsidRPr="008516D1">
        <w:t>l</w:t>
      </w:r>
      <w:r>
        <w:t>’</w:t>
      </w:r>
      <w:r w:rsidRPr="008516D1">
        <w:t>élaboration</w:t>
      </w:r>
      <w:r>
        <w:t xml:space="preserve"> </w:t>
      </w:r>
      <w:r w:rsidRPr="008516D1">
        <w:t>du</w:t>
      </w:r>
      <w:r>
        <w:t xml:space="preserve"> </w:t>
      </w:r>
      <w:r w:rsidRPr="008516D1">
        <w:t>Protocole</w:t>
      </w:r>
      <w:r>
        <w:t xml:space="preserve"> </w:t>
      </w:r>
      <w:r w:rsidRPr="008516D1">
        <w:t>pour</w:t>
      </w:r>
      <w:r>
        <w:t xml:space="preserve"> </w:t>
      </w:r>
      <w:r w:rsidRPr="008516D1">
        <w:t>la</w:t>
      </w:r>
      <w:r>
        <w:t xml:space="preserve"> </w:t>
      </w:r>
      <w:r w:rsidRPr="008516D1">
        <w:t>recherche</w:t>
      </w:r>
      <w:r>
        <w:t xml:space="preserve"> </w:t>
      </w:r>
      <w:r w:rsidRPr="008516D1">
        <w:t>de</w:t>
      </w:r>
      <w:r>
        <w:t xml:space="preserve"> </w:t>
      </w:r>
      <w:r w:rsidRPr="008516D1">
        <w:t>migrants</w:t>
      </w:r>
      <w:r>
        <w:t xml:space="preserve"> </w:t>
      </w:r>
      <w:r w:rsidRPr="008516D1">
        <w:t>disparus</w:t>
      </w:r>
      <w:r>
        <w:t xml:space="preserve"> </w:t>
      </w:r>
      <w:r w:rsidRPr="008516D1">
        <w:t>par</w:t>
      </w:r>
      <w:r>
        <w:t xml:space="preserve"> </w:t>
      </w:r>
      <w:r w:rsidRPr="008516D1">
        <w:t>le</w:t>
      </w:r>
      <w:r>
        <w:t xml:space="preserve"> </w:t>
      </w:r>
      <w:r w:rsidRPr="008516D1">
        <w:t>Ministère</w:t>
      </w:r>
      <w:r>
        <w:t xml:space="preserve"> </w:t>
      </w:r>
      <w:r w:rsidRPr="008516D1">
        <w:t>des</w:t>
      </w:r>
      <w:r>
        <w:t xml:space="preserve"> </w:t>
      </w:r>
      <w:r w:rsidRPr="008516D1">
        <w:t>relations</w:t>
      </w:r>
      <w:r>
        <w:t xml:space="preserve"> </w:t>
      </w:r>
      <w:r w:rsidRPr="008516D1">
        <w:t>extérieures</w:t>
      </w:r>
      <w:r>
        <w:t xml:space="preserve"> </w:t>
      </w:r>
      <w:r w:rsidRPr="008516D1">
        <w:t>et</w:t>
      </w:r>
      <w:r>
        <w:t xml:space="preserve"> </w:t>
      </w:r>
      <w:r w:rsidRPr="008516D1">
        <w:t>de</w:t>
      </w:r>
      <w:r>
        <w:t xml:space="preserve"> </w:t>
      </w:r>
      <w:r w:rsidRPr="008516D1">
        <w:t>la</w:t>
      </w:r>
      <w:r>
        <w:t xml:space="preserve"> </w:t>
      </w:r>
      <w:r w:rsidRPr="008516D1">
        <w:t>coopération</w:t>
      </w:r>
      <w:r>
        <w:t xml:space="preserve"> </w:t>
      </w:r>
      <w:r w:rsidRPr="008516D1">
        <w:t>internationale,</w:t>
      </w:r>
      <w:r>
        <w:t xml:space="preserve"> </w:t>
      </w:r>
      <w:r w:rsidRPr="008516D1">
        <w:t>la</w:t>
      </w:r>
      <w:r>
        <w:t xml:space="preserve"> </w:t>
      </w:r>
      <w:r w:rsidRPr="008516D1">
        <w:t>création,</w:t>
      </w:r>
      <w:r>
        <w:t xml:space="preserve"> </w:t>
      </w:r>
      <w:r w:rsidRPr="008516D1">
        <w:t>au</w:t>
      </w:r>
      <w:r>
        <w:t xml:space="preserve"> </w:t>
      </w:r>
      <w:r w:rsidRPr="008516D1">
        <w:t>sein</w:t>
      </w:r>
      <w:r>
        <w:t xml:space="preserve"> </w:t>
      </w:r>
      <w:r w:rsidRPr="008516D1">
        <w:t>du</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de</w:t>
      </w:r>
      <w:r>
        <w:t xml:space="preserve"> </w:t>
      </w:r>
      <w:r w:rsidRPr="008516D1">
        <w:t>la</w:t>
      </w:r>
      <w:r>
        <w:t xml:space="preserve"> </w:t>
      </w:r>
      <w:r w:rsidRPr="008516D1">
        <w:t>Direction</w:t>
      </w:r>
      <w:r>
        <w:t xml:space="preserve"> </w:t>
      </w:r>
      <w:r w:rsidRPr="008516D1">
        <w:t>du</w:t>
      </w:r>
      <w:r>
        <w:t xml:space="preserve"> </w:t>
      </w:r>
      <w:r w:rsidRPr="008516D1">
        <w:t>contrôle</w:t>
      </w:r>
      <w:r>
        <w:t xml:space="preserve"> </w:t>
      </w:r>
      <w:r w:rsidRPr="008516D1">
        <w:t>de</w:t>
      </w:r>
      <w:r>
        <w:t xml:space="preserve"> </w:t>
      </w:r>
      <w:r w:rsidRPr="008516D1">
        <w:t>conventionnalité</w:t>
      </w:r>
      <w:r>
        <w:t xml:space="preserve"> </w:t>
      </w:r>
      <w:r w:rsidRPr="008516D1">
        <w:t>et</w:t>
      </w:r>
      <w:r>
        <w:t xml:space="preserve"> </w:t>
      </w:r>
      <w:r w:rsidRPr="008516D1">
        <w:t>la</w:t>
      </w:r>
      <w:r>
        <w:t xml:space="preserve"> </w:t>
      </w:r>
      <w:r w:rsidRPr="008516D1">
        <w:t>mise</w:t>
      </w:r>
      <w:r>
        <w:t xml:space="preserve"> </w:t>
      </w:r>
      <w:r w:rsidRPr="008516D1">
        <w:t>en</w:t>
      </w:r>
      <w:r>
        <w:t xml:space="preserve"> </w:t>
      </w:r>
      <w:r w:rsidRPr="008516D1">
        <w:t>place</w:t>
      </w:r>
      <w:r>
        <w:t xml:space="preserve"> </w:t>
      </w:r>
      <w:r w:rsidRPr="008516D1">
        <w:t>du</w:t>
      </w:r>
      <w:r>
        <w:t xml:space="preserve"> </w:t>
      </w:r>
      <w:r w:rsidRPr="008516D1">
        <w:t>Système</w:t>
      </w:r>
      <w:r>
        <w:t xml:space="preserve"> </w:t>
      </w:r>
      <w:r w:rsidRPr="008516D1">
        <w:t>hondurien</w:t>
      </w:r>
      <w:r>
        <w:t xml:space="preserve"> </w:t>
      </w:r>
      <w:r w:rsidRPr="008516D1">
        <w:t>de</w:t>
      </w:r>
      <w:r>
        <w:t xml:space="preserve"> </w:t>
      </w:r>
      <w:r w:rsidRPr="008516D1">
        <w:t>suivi</w:t>
      </w:r>
      <w:r>
        <w:t xml:space="preserve"> </w:t>
      </w:r>
      <w:r w:rsidRPr="008516D1">
        <w:t>des</w:t>
      </w:r>
      <w:r>
        <w:t xml:space="preserve"> </w:t>
      </w:r>
      <w:r w:rsidRPr="008516D1">
        <w:t>recommandations.</w:t>
      </w:r>
      <w:bookmarkEnd w:id="32"/>
    </w:p>
    <w:p w14:paraId="449E688C" w14:textId="77777777" w:rsidR="00286956" w:rsidRPr="008516D1" w:rsidRDefault="00286956" w:rsidP="00286956">
      <w:pPr>
        <w:pStyle w:val="SingleTxtG"/>
      </w:pPr>
      <w:r w:rsidRPr="008516D1">
        <w:t>191.</w:t>
      </w:r>
      <w:r w:rsidRPr="008516D1">
        <w:tab/>
        <w:t>En</w:t>
      </w:r>
      <w:r>
        <w:t xml:space="preserve"> </w:t>
      </w:r>
      <w:r w:rsidRPr="008516D1">
        <w:t>ce</w:t>
      </w:r>
      <w:r>
        <w:t xml:space="preserve"> </w:t>
      </w:r>
      <w:r w:rsidRPr="008516D1">
        <w:t>qui</w:t>
      </w:r>
      <w:r>
        <w:t xml:space="preserve"> </w:t>
      </w:r>
      <w:r w:rsidRPr="008516D1">
        <w:t>concerne</w:t>
      </w:r>
      <w:r>
        <w:t xml:space="preserve"> </w:t>
      </w:r>
      <w:r w:rsidRPr="008516D1">
        <w:t>les</w:t>
      </w:r>
      <w:r>
        <w:t xml:space="preserve"> </w:t>
      </w:r>
      <w:r w:rsidRPr="008516D1">
        <w:t>processus</w:t>
      </w:r>
      <w:r>
        <w:t xml:space="preserve"> </w:t>
      </w:r>
      <w:r w:rsidRPr="008516D1">
        <w:t>de</w:t>
      </w:r>
      <w:r>
        <w:t xml:space="preserve"> </w:t>
      </w:r>
      <w:r w:rsidRPr="008516D1">
        <w:t>formation,</w:t>
      </w:r>
      <w:r>
        <w:t xml:space="preserve"> </w:t>
      </w:r>
      <w:r w:rsidRPr="008516D1">
        <w:t>d</w:t>
      </w:r>
      <w:r>
        <w:t>’</w:t>
      </w:r>
      <w:r w:rsidRPr="008516D1">
        <w:t>éducation</w:t>
      </w:r>
      <w:r>
        <w:t xml:space="preserve"> </w:t>
      </w:r>
      <w:r w:rsidRPr="008516D1">
        <w:t>et</w:t>
      </w:r>
      <w:r>
        <w:t xml:space="preserve"> </w:t>
      </w:r>
      <w:r w:rsidRPr="008516D1">
        <w:t>de</w:t>
      </w:r>
      <w:r>
        <w:t xml:space="preserve"> </w:t>
      </w:r>
      <w:r w:rsidRPr="008516D1">
        <w:t>sensibilisation</w:t>
      </w:r>
      <w:r>
        <w:t xml:space="preserve"> </w:t>
      </w:r>
      <w:r w:rsidRPr="008516D1">
        <w:t>à</w:t>
      </w:r>
      <w:r>
        <w:t xml:space="preserve"> </w:t>
      </w:r>
      <w:r w:rsidRPr="008516D1">
        <w:t>la</w:t>
      </w:r>
      <w:r>
        <w:t xml:space="preserve"> </w:t>
      </w:r>
      <w:r w:rsidRPr="008516D1">
        <w:t>Convention,</w:t>
      </w:r>
      <w:r>
        <w:t xml:space="preserve"> </w:t>
      </w:r>
      <w:r w:rsidRPr="008516D1">
        <w:t>il</w:t>
      </w:r>
      <w:r>
        <w:t xml:space="preserve"> </w:t>
      </w:r>
      <w:r w:rsidRPr="008516D1">
        <w:t>convient</w:t>
      </w:r>
      <w:r>
        <w:t xml:space="preserve"> </w:t>
      </w:r>
      <w:r w:rsidRPr="008516D1">
        <w:t>de</w:t>
      </w:r>
      <w:r>
        <w:t xml:space="preserve"> </w:t>
      </w:r>
      <w:r w:rsidRPr="008516D1">
        <w:t>consulter</w:t>
      </w:r>
      <w:r>
        <w:t xml:space="preserve"> </w:t>
      </w:r>
      <w:r w:rsidRPr="008516D1">
        <w:t>la</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35</w:t>
      </w:r>
      <w:r>
        <w:t xml:space="preserve"> </w:t>
      </w:r>
      <w:r w:rsidRPr="008516D1">
        <w:t>développée</w:t>
      </w:r>
      <w:r>
        <w:t xml:space="preserve"> </w:t>
      </w:r>
      <w:r w:rsidRPr="008516D1">
        <w:t>dans</w:t>
      </w:r>
      <w:r>
        <w:t xml:space="preserve"> </w:t>
      </w:r>
      <w:r w:rsidRPr="008516D1">
        <w:t>le</w:t>
      </w:r>
      <w:r>
        <w:t xml:space="preserve"> </w:t>
      </w:r>
      <w:r w:rsidRPr="008516D1">
        <w:t>présent</w:t>
      </w:r>
      <w:r>
        <w:t xml:space="preserve"> </w:t>
      </w:r>
      <w:r w:rsidRPr="008516D1">
        <w:t>rapport.</w:t>
      </w:r>
    </w:p>
    <w:p w14:paraId="0C1D895F" w14:textId="46EAD6AC" w:rsidR="00286956" w:rsidRPr="008516D1" w:rsidRDefault="00286956" w:rsidP="00286956">
      <w:pPr>
        <w:pStyle w:val="SingleTxtG"/>
      </w:pPr>
      <w:r w:rsidRPr="008516D1">
        <w:t>192.</w:t>
      </w:r>
      <w:r w:rsidRPr="008516D1">
        <w:tab/>
        <w:t>Enfin,</w:t>
      </w:r>
      <w:r>
        <w:t xml:space="preserve"> </w:t>
      </w:r>
      <w:r w:rsidRPr="008516D1">
        <w:t>en</w:t>
      </w:r>
      <w:r>
        <w:t xml:space="preserve"> </w:t>
      </w:r>
      <w:r w:rsidRPr="008516D1">
        <w:t>réponse</w:t>
      </w:r>
      <w:r>
        <w:t xml:space="preserve"> </w:t>
      </w:r>
      <w:r w:rsidRPr="008516D1">
        <w:t>à</w:t>
      </w:r>
      <w:r>
        <w:t xml:space="preserve"> </w:t>
      </w:r>
      <w:r w:rsidRPr="008516D1">
        <w:t>la</w:t>
      </w:r>
      <w:r>
        <w:t xml:space="preserve"> </w:t>
      </w:r>
      <w:r w:rsidRPr="008516D1">
        <w:t>recommandation</w:t>
      </w:r>
      <w:r>
        <w:t xml:space="preserve"> </w:t>
      </w:r>
      <w:r w:rsidRPr="008516D1">
        <w:t>formulée</w:t>
      </w:r>
      <w:r>
        <w:t xml:space="preserve"> </w:t>
      </w:r>
      <w:r w:rsidRPr="008516D1">
        <w:t>au</w:t>
      </w:r>
      <w:r>
        <w:t xml:space="preserve"> </w:t>
      </w:r>
      <w:r w:rsidRPr="008516D1">
        <w:t>paragraphe</w:t>
      </w:r>
      <w:r>
        <w:t xml:space="preserve"> </w:t>
      </w:r>
      <w:r w:rsidRPr="008516D1">
        <w:t>47</w:t>
      </w:r>
      <w:r>
        <w:t xml:space="preserve"> </w:t>
      </w:r>
      <w:r w:rsidRPr="008516D1">
        <w:t>des</w:t>
      </w:r>
      <w:r>
        <w:t xml:space="preserve"> </w:t>
      </w:r>
      <w:r w:rsidRPr="008516D1">
        <w:t>observations</w:t>
      </w:r>
      <w:r>
        <w:t xml:space="preserve"> </w:t>
      </w:r>
      <w:r w:rsidRPr="008516D1">
        <w:t>finales,</w:t>
      </w:r>
      <w:r>
        <w:t xml:space="preserve"> </w:t>
      </w:r>
      <w:r w:rsidRPr="008516D1">
        <w:t>le</w:t>
      </w:r>
      <w:r>
        <w:t xml:space="preserve"> </w:t>
      </w:r>
      <w:r w:rsidRPr="008516D1">
        <w:t>10</w:t>
      </w:r>
      <w:r w:rsidR="006B3441">
        <w:t> </w:t>
      </w:r>
      <w:r w:rsidRPr="008516D1">
        <w:t>juin</w:t>
      </w:r>
      <w:r>
        <w:t xml:space="preserve"> </w:t>
      </w:r>
      <w:r w:rsidRPr="008516D1">
        <w:t>2019,</w:t>
      </w:r>
      <w:r>
        <w:t xml:space="preserve"> </w:t>
      </w:r>
      <w:r w:rsidRPr="008516D1">
        <w:t>le</w:t>
      </w:r>
      <w:r>
        <w:t xml:space="preserve"> </w:t>
      </w:r>
      <w:r w:rsidRPr="008516D1">
        <w:t>Honduras</w:t>
      </w:r>
      <w:r>
        <w:t xml:space="preserve"> </w:t>
      </w:r>
      <w:r w:rsidRPr="008516D1">
        <w:t>a</w:t>
      </w:r>
      <w:r>
        <w:t xml:space="preserve"> </w:t>
      </w:r>
      <w:r w:rsidRPr="008516D1">
        <w:t>soumis</w:t>
      </w:r>
      <w:r>
        <w:t xml:space="preserve"> </w:t>
      </w:r>
      <w:r w:rsidRPr="008516D1">
        <w:t>au</w:t>
      </w:r>
      <w:r>
        <w:t xml:space="preserve"> </w:t>
      </w:r>
      <w:r w:rsidRPr="008516D1">
        <w:t>Comité</w:t>
      </w:r>
      <w:r>
        <w:t xml:space="preserve"> </w:t>
      </w:r>
      <w:r w:rsidRPr="008516D1">
        <w:t>son</w:t>
      </w:r>
      <w:r>
        <w:t xml:space="preserve"> </w:t>
      </w:r>
      <w:r w:rsidRPr="008516D1">
        <w:t>rapport</w:t>
      </w:r>
      <w:r>
        <w:t xml:space="preserve"> </w:t>
      </w:r>
      <w:r w:rsidRPr="008516D1">
        <w:t>de</w:t>
      </w:r>
      <w:r>
        <w:t xml:space="preserve"> </w:t>
      </w:r>
      <w:r w:rsidRPr="008516D1">
        <w:t>suivi</w:t>
      </w:r>
      <w:r>
        <w:t xml:space="preserve"> </w:t>
      </w:r>
      <w:r w:rsidRPr="008516D1">
        <w:t>concernant</w:t>
      </w:r>
      <w:r>
        <w:t xml:space="preserve"> </w:t>
      </w:r>
      <w:r w:rsidRPr="008516D1">
        <w:t>la</w:t>
      </w:r>
      <w:r>
        <w:t xml:space="preserve"> </w:t>
      </w:r>
      <w:r w:rsidRPr="008516D1">
        <w:t>suite</w:t>
      </w:r>
      <w:r>
        <w:t xml:space="preserve"> </w:t>
      </w:r>
      <w:r w:rsidRPr="008516D1">
        <w:t>donnée</w:t>
      </w:r>
      <w:r>
        <w:t xml:space="preserve"> </w:t>
      </w:r>
      <w:r w:rsidRPr="008516D1">
        <w:t>aux</w:t>
      </w:r>
      <w:r>
        <w:t xml:space="preserve"> </w:t>
      </w:r>
      <w:r w:rsidRPr="008516D1">
        <w:t>recommandations</w:t>
      </w:r>
      <w:r>
        <w:t xml:space="preserve"> </w:t>
      </w:r>
      <w:r w:rsidRPr="008516D1">
        <w:t>figurant</w:t>
      </w:r>
      <w:r>
        <w:t xml:space="preserve"> </w:t>
      </w:r>
      <w:r w:rsidRPr="008516D1">
        <w:t>aux</w:t>
      </w:r>
      <w:r>
        <w:t xml:space="preserve"> </w:t>
      </w:r>
      <w:r w:rsidRPr="008516D1">
        <w:t>paragraphes</w:t>
      </w:r>
      <w:r>
        <w:t xml:space="preserve"> </w:t>
      </w:r>
      <w:r w:rsidRPr="008516D1">
        <w:t>13,</w:t>
      </w:r>
      <w:r>
        <w:t xml:space="preserve"> </w:t>
      </w:r>
      <w:r w:rsidRPr="008516D1">
        <w:t>25</w:t>
      </w:r>
      <w:r>
        <w:t xml:space="preserve"> </w:t>
      </w:r>
      <w:r w:rsidRPr="008516D1">
        <w:t>et</w:t>
      </w:r>
      <w:r>
        <w:t xml:space="preserve"> </w:t>
      </w:r>
      <w:r w:rsidRPr="008516D1">
        <w:t>27</w:t>
      </w:r>
      <w:r>
        <w:t xml:space="preserve"> </w:t>
      </w:r>
      <w:r w:rsidRPr="008516D1">
        <w:t>des</w:t>
      </w:r>
      <w:r>
        <w:t xml:space="preserve"> </w:t>
      </w:r>
      <w:r w:rsidRPr="008516D1">
        <w:t>mêmes</w:t>
      </w:r>
      <w:r>
        <w:t xml:space="preserve"> </w:t>
      </w:r>
      <w:r w:rsidRPr="008516D1">
        <w:t>observations</w:t>
      </w:r>
      <w:r>
        <w:t xml:space="preserve"> </w:t>
      </w:r>
      <w:r w:rsidRPr="008516D1">
        <w:t>finales.</w:t>
      </w:r>
      <w:r>
        <w:t xml:space="preserve"> </w:t>
      </w:r>
      <w:r w:rsidRPr="008516D1">
        <w:t>Ce</w:t>
      </w:r>
      <w:r>
        <w:t xml:space="preserve"> </w:t>
      </w:r>
      <w:r w:rsidRPr="008516D1">
        <w:t>rapport</w:t>
      </w:r>
      <w:r>
        <w:t xml:space="preserve"> </w:t>
      </w:r>
      <w:r w:rsidRPr="008516D1">
        <w:t>a</w:t>
      </w:r>
      <w:r>
        <w:t xml:space="preserve"> </w:t>
      </w:r>
      <w:r w:rsidRPr="008516D1">
        <w:t>été</w:t>
      </w:r>
      <w:r>
        <w:t xml:space="preserve"> </w:t>
      </w:r>
      <w:r w:rsidRPr="008516D1">
        <w:t>établi</w:t>
      </w:r>
      <w:r>
        <w:t xml:space="preserve"> </w:t>
      </w:r>
      <w:r w:rsidRPr="008516D1">
        <w:t>par</w:t>
      </w:r>
      <w:r>
        <w:t xml:space="preserve"> </w:t>
      </w:r>
      <w:r w:rsidRPr="008516D1">
        <w:t>le</w:t>
      </w:r>
      <w:r>
        <w:t xml:space="preserve"> </w:t>
      </w:r>
      <w:r w:rsidRPr="008516D1">
        <w:t>Ministère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en</w:t>
      </w:r>
      <w:r>
        <w:t xml:space="preserve"> </w:t>
      </w:r>
      <w:r w:rsidRPr="008516D1">
        <w:t>coordination</w:t>
      </w:r>
      <w:r>
        <w:t xml:space="preserve"> </w:t>
      </w:r>
      <w:r w:rsidRPr="008516D1">
        <w:t>avec</w:t>
      </w:r>
      <w:r>
        <w:t xml:space="preserve"> </w:t>
      </w:r>
      <w:r w:rsidRPr="008516D1">
        <w:t>les</w:t>
      </w:r>
      <w:r>
        <w:t xml:space="preserve"> </w:t>
      </w:r>
      <w:r w:rsidRPr="008516D1">
        <w:t>institutions</w:t>
      </w:r>
      <w:r>
        <w:t xml:space="preserve"> </w:t>
      </w:r>
      <w:r w:rsidRPr="008516D1">
        <w:t>publiques</w:t>
      </w:r>
      <w:r>
        <w:t xml:space="preserve"> </w:t>
      </w:r>
      <w:r w:rsidRPr="008516D1">
        <w:t>compétentes</w:t>
      </w:r>
      <w:r>
        <w:t xml:space="preserve"> </w:t>
      </w:r>
      <w:r w:rsidRPr="008516D1">
        <w:t>du</w:t>
      </w:r>
      <w:r>
        <w:t xml:space="preserve"> </w:t>
      </w:r>
      <w:r w:rsidRPr="008516D1">
        <w:t>Groupe</w:t>
      </w:r>
      <w:r>
        <w:t xml:space="preserve"> </w:t>
      </w:r>
      <w:r w:rsidRPr="008516D1">
        <w:t>spécial</w:t>
      </w:r>
      <w:r>
        <w:t xml:space="preserve"> </w:t>
      </w:r>
      <w:r w:rsidRPr="008516D1">
        <w:t>de</w:t>
      </w:r>
      <w:r>
        <w:t xml:space="preserve"> </w:t>
      </w:r>
      <w:r w:rsidRPr="008516D1">
        <w:t>réponse</w:t>
      </w:r>
      <w:r>
        <w:t xml:space="preserve"> </w:t>
      </w:r>
      <w:r w:rsidRPr="008516D1">
        <w:t>dans</w:t>
      </w:r>
      <w:r>
        <w:t xml:space="preserve"> </w:t>
      </w:r>
      <w:r w:rsidRPr="008516D1">
        <w:t>le</w:t>
      </w:r>
      <w:r>
        <w:t xml:space="preserve"> </w:t>
      </w:r>
      <w:r w:rsidRPr="008516D1">
        <w:t>domaine</w:t>
      </w:r>
      <w:r>
        <w:t xml:space="preserve"> </w:t>
      </w:r>
      <w:r w:rsidRPr="008516D1">
        <w:t>des</w:t>
      </w:r>
      <w:r>
        <w:t xml:space="preserve"> </w:t>
      </w:r>
      <w:r w:rsidRPr="008516D1">
        <w:t>droits</w:t>
      </w:r>
      <w:r>
        <w:t xml:space="preserve"> </w:t>
      </w:r>
      <w:r w:rsidRPr="008516D1">
        <w:t>de</w:t>
      </w:r>
      <w:r>
        <w:t xml:space="preserve"> </w:t>
      </w:r>
      <w:r w:rsidRPr="008516D1">
        <w:t>l</w:t>
      </w:r>
      <w:r>
        <w:t>’</w:t>
      </w:r>
      <w:r w:rsidRPr="008516D1">
        <w:t>homme</w:t>
      </w:r>
      <w:r>
        <w:t xml:space="preserve"> </w:t>
      </w:r>
      <w:r w:rsidRPr="008516D1">
        <w:t>et</w:t>
      </w:r>
      <w:r>
        <w:t xml:space="preserve"> </w:t>
      </w:r>
      <w:r w:rsidRPr="008516D1">
        <w:t>du</w:t>
      </w:r>
      <w:r>
        <w:t xml:space="preserve"> </w:t>
      </w:r>
      <w:r w:rsidRPr="008516D1">
        <w:t>Système</w:t>
      </w:r>
      <w:r>
        <w:t xml:space="preserve"> </w:t>
      </w:r>
      <w:r w:rsidRPr="008516D1">
        <w:t>hondurien</w:t>
      </w:r>
      <w:r>
        <w:t xml:space="preserve"> </w:t>
      </w:r>
      <w:r w:rsidRPr="008516D1">
        <w:t>de</w:t>
      </w:r>
      <w:r>
        <w:t xml:space="preserve"> </w:t>
      </w:r>
      <w:r w:rsidRPr="008516D1">
        <w:t>suivi</w:t>
      </w:r>
      <w:r>
        <w:t xml:space="preserve"> </w:t>
      </w:r>
      <w:r w:rsidRPr="008516D1">
        <w:t>des</w:t>
      </w:r>
      <w:r>
        <w:t xml:space="preserve"> </w:t>
      </w:r>
      <w:r w:rsidRPr="008516D1">
        <w:t>recommandations.</w:t>
      </w:r>
    </w:p>
    <w:p w14:paraId="78A9BCC1" w14:textId="321FE00A" w:rsidR="006F597C" w:rsidRPr="00286956" w:rsidRDefault="00286956" w:rsidP="00286956">
      <w:pPr>
        <w:pStyle w:val="SingleTxtG"/>
        <w:spacing w:before="240" w:after="0"/>
        <w:jc w:val="center"/>
        <w:rPr>
          <w:u w:val="single"/>
        </w:rPr>
      </w:pPr>
      <w:r>
        <w:rPr>
          <w:u w:val="single"/>
        </w:rPr>
        <w:tab/>
      </w:r>
      <w:r>
        <w:rPr>
          <w:u w:val="single"/>
        </w:rPr>
        <w:tab/>
      </w:r>
      <w:r>
        <w:rPr>
          <w:u w:val="single"/>
        </w:rPr>
        <w:tab/>
      </w:r>
    </w:p>
    <w:sectPr w:rsidR="006F597C" w:rsidRPr="00286956" w:rsidSect="006F597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B1BF" w14:textId="77777777" w:rsidR="001A447E" w:rsidRDefault="001A447E" w:rsidP="00F95C08">
      <w:pPr>
        <w:spacing w:line="240" w:lineRule="auto"/>
      </w:pPr>
    </w:p>
  </w:endnote>
  <w:endnote w:type="continuationSeparator" w:id="0">
    <w:p w14:paraId="61AF070A" w14:textId="77777777" w:rsidR="001A447E" w:rsidRPr="00AC3823" w:rsidRDefault="001A447E" w:rsidP="00AC3823">
      <w:pPr>
        <w:pStyle w:val="Pieddepage"/>
      </w:pPr>
    </w:p>
  </w:endnote>
  <w:endnote w:type="continuationNotice" w:id="1">
    <w:p w14:paraId="397DE9F1" w14:textId="77777777" w:rsidR="001A447E" w:rsidRDefault="001A4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2026" w14:textId="4E724069" w:rsidR="001A447E" w:rsidRPr="006F597C" w:rsidRDefault="001A447E" w:rsidP="006F597C">
    <w:pPr>
      <w:pStyle w:val="Pieddepage"/>
      <w:tabs>
        <w:tab w:val="right" w:pos="9638"/>
      </w:tabs>
    </w:pPr>
    <w:r w:rsidRPr="006F597C">
      <w:rPr>
        <w:b/>
        <w:sz w:val="18"/>
      </w:rPr>
      <w:fldChar w:fldCharType="begin"/>
    </w:r>
    <w:r w:rsidRPr="006F597C">
      <w:rPr>
        <w:b/>
        <w:sz w:val="18"/>
      </w:rPr>
      <w:instrText xml:space="preserve"> PAGE  \* MERGEFORMAT </w:instrText>
    </w:r>
    <w:r w:rsidRPr="006F597C">
      <w:rPr>
        <w:b/>
        <w:sz w:val="18"/>
      </w:rPr>
      <w:fldChar w:fldCharType="separate"/>
    </w:r>
    <w:r w:rsidRPr="006F597C">
      <w:rPr>
        <w:b/>
        <w:noProof/>
        <w:sz w:val="18"/>
      </w:rPr>
      <w:t>2</w:t>
    </w:r>
    <w:r w:rsidRPr="006F597C">
      <w:rPr>
        <w:b/>
        <w:sz w:val="18"/>
      </w:rPr>
      <w:fldChar w:fldCharType="end"/>
    </w:r>
    <w:r>
      <w:rPr>
        <w:b/>
        <w:sz w:val="18"/>
      </w:rPr>
      <w:tab/>
    </w:r>
    <w:r>
      <w:t>GE.21-15799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281E" w14:textId="004A5451" w:rsidR="001A447E" w:rsidRPr="006F597C" w:rsidRDefault="001A447E" w:rsidP="006F597C">
    <w:pPr>
      <w:pStyle w:val="Pieddepage"/>
      <w:tabs>
        <w:tab w:val="right" w:pos="9638"/>
      </w:tabs>
      <w:rPr>
        <w:b/>
        <w:sz w:val="18"/>
      </w:rPr>
    </w:pPr>
    <w:r>
      <w:t>GE.21-15799</w:t>
    </w:r>
    <w:r>
      <w:tab/>
    </w:r>
    <w:r w:rsidRPr="006F597C">
      <w:rPr>
        <w:b/>
        <w:sz w:val="18"/>
      </w:rPr>
      <w:fldChar w:fldCharType="begin"/>
    </w:r>
    <w:r w:rsidRPr="006F597C">
      <w:rPr>
        <w:b/>
        <w:sz w:val="18"/>
      </w:rPr>
      <w:instrText xml:space="preserve"> PAGE  \* MERGEFORMAT </w:instrText>
    </w:r>
    <w:r w:rsidRPr="006F597C">
      <w:rPr>
        <w:b/>
        <w:sz w:val="18"/>
      </w:rPr>
      <w:fldChar w:fldCharType="separate"/>
    </w:r>
    <w:r w:rsidRPr="006F597C">
      <w:rPr>
        <w:b/>
        <w:noProof/>
        <w:sz w:val="18"/>
      </w:rPr>
      <w:t>3</w:t>
    </w:r>
    <w:r w:rsidRPr="006F59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AAAF" w14:textId="25C0BBF3" w:rsidR="001A447E" w:rsidRPr="006F597C" w:rsidRDefault="001A447E" w:rsidP="006F597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CF7B1BD" wp14:editId="7660A98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21-15799  (F)</w:t>
    </w:r>
    <w:r>
      <w:rPr>
        <w:noProof/>
        <w:sz w:val="20"/>
      </w:rPr>
      <w:drawing>
        <wp:anchor distT="0" distB="0" distL="114300" distR="114300" simplePos="0" relativeHeight="251660288" behindDoc="0" locked="0" layoutInCell="1" allowOverlap="1" wp14:anchorId="170199F4" wp14:editId="731D807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210122    2</w:t>
    </w:r>
    <w:r w:rsidR="00292E5A">
      <w:rPr>
        <w:sz w:val="20"/>
      </w:rPr>
      <w:t>4</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D177" w14:textId="77777777" w:rsidR="001A447E" w:rsidRPr="00AC3823" w:rsidRDefault="001A447E" w:rsidP="00AC3823">
      <w:pPr>
        <w:pStyle w:val="Pieddepage"/>
        <w:tabs>
          <w:tab w:val="right" w:pos="2155"/>
        </w:tabs>
        <w:spacing w:after="80" w:line="240" w:lineRule="atLeast"/>
        <w:ind w:left="680"/>
        <w:rPr>
          <w:u w:val="single"/>
        </w:rPr>
      </w:pPr>
      <w:r>
        <w:rPr>
          <w:u w:val="single"/>
        </w:rPr>
        <w:tab/>
      </w:r>
    </w:p>
  </w:footnote>
  <w:footnote w:type="continuationSeparator" w:id="0">
    <w:p w14:paraId="30F87087" w14:textId="77777777" w:rsidR="001A447E" w:rsidRPr="00AC3823" w:rsidRDefault="001A447E" w:rsidP="00AC3823">
      <w:pPr>
        <w:pStyle w:val="Pieddepage"/>
        <w:tabs>
          <w:tab w:val="right" w:pos="2155"/>
        </w:tabs>
        <w:spacing w:after="80" w:line="240" w:lineRule="atLeast"/>
        <w:ind w:left="680"/>
        <w:rPr>
          <w:u w:val="single"/>
        </w:rPr>
      </w:pPr>
      <w:r>
        <w:rPr>
          <w:u w:val="single"/>
        </w:rPr>
        <w:tab/>
      </w:r>
    </w:p>
  </w:footnote>
  <w:footnote w:type="continuationNotice" w:id="1">
    <w:p w14:paraId="4B0519A1" w14:textId="77777777" w:rsidR="001A447E" w:rsidRPr="00AC3823" w:rsidRDefault="001A447E">
      <w:pPr>
        <w:spacing w:line="240" w:lineRule="auto"/>
        <w:rPr>
          <w:sz w:val="2"/>
          <w:szCs w:val="2"/>
        </w:rPr>
      </w:pPr>
    </w:p>
  </w:footnote>
  <w:footnote w:id="2">
    <w:p w14:paraId="642BB210" w14:textId="77777777" w:rsidR="001A447E" w:rsidRPr="0021688E" w:rsidRDefault="001A447E" w:rsidP="00286956">
      <w:pPr>
        <w:pStyle w:val="Notedebasdepage"/>
        <w:rPr>
          <w:lang w:val="fr-FR"/>
        </w:rPr>
      </w:pPr>
      <w:r w:rsidRPr="003A61DD">
        <w:rPr>
          <w:lang w:val="fr-FR"/>
        </w:rPr>
        <w:tab/>
      </w:r>
      <w:r w:rsidRPr="003A61DD">
        <w:rPr>
          <w:rStyle w:val="Appelnotedebasdep"/>
          <w:sz w:val="20"/>
          <w:vertAlign w:val="baseline"/>
          <w:lang w:val="fr-FR"/>
        </w:rPr>
        <w:t>*</w:t>
      </w:r>
      <w:r w:rsidRPr="003A61DD">
        <w:rPr>
          <w:lang w:val="fr-FR"/>
        </w:rPr>
        <w:tab/>
      </w:r>
      <w:r w:rsidRPr="0021688E">
        <w:rPr>
          <w:lang w:val="fr-FR"/>
        </w:rPr>
        <w:t>La</w:t>
      </w:r>
      <w:r>
        <w:rPr>
          <w:lang w:val="fr-FR"/>
        </w:rPr>
        <w:t xml:space="preserve"> </w:t>
      </w:r>
      <w:r w:rsidRPr="0021688E">
        <w:rPr>
          <w:lang w:val="fr-FR"/>
        </w:rPr>
        <w:t>version</w:t>
      </w:r>
      <w:r>
        <w:rPr>
          <w:lang w:val="fr-FR"/>
        </w:rPr>
        <w:t xml:space="preserve"> </w:t>
      </w:r>
      <w:r w:rsidRPr="0021688E">
        <w:rPr>
          <w:lang w:val="fr-FR"/>
        </w:rPr>
        <w:t>originale</w:t>
      </w:r>
      <w:r>
        <w:rPr>
          <w:lang w:val="fr-FR"/>
        </w:rPr>
        <w:t xml:space="preserve"> </w:t>
      </w:r>
      <w:r w:rsidRPr="0021688E">
        <w:rPr>
          <w:lang w:val="fr-FR"/>
        </w:rPr>
        <w:t>du</w:t>
      </w:r>
      <w:r>
        <w:rPr>
          <w:lang w:val="fr-FR"/>
        </w:rPr>
        <w:t xml:space="preserve"> </w:t>
      </w:r>
      <w:r w:rsidRPr="0021688E">
        <w:rPr>
          <w:lang w:val="fr-FR"/>
        </w:rPr>
        <w:t>présent</w:t>
      </w:r>
      <w:r>
        <w:rPr>
          <w:lang w:val="fr-FR"/>
        </w:rPr>
        <w:t xml:space="preserve"> </w:t>
      </w:r>
      <w:r w:rsidRPr="0021688E">
        <w:rPr>
          <w:lang w:val="fr-FR"/>
        </w:rPr>
        <w:t>document</w:t>
      </w:r>
      <w:r>
        <w:rPr>
          <w:lang w:val="fr-FR"/>
        </w:rPr>
        <w:t xml:space="preserve"> </w:t>
      </w:r>
      <w:r w:rsidRPr="0021688E">
        <w:rPr>
          <w:lang w:val="fr-FR"/>
        </w:rPr>
        <w:t>n</w:t>
      </w:r>
      <w:r>
        <w:rPr>
          <w:lang w:val="fr-FR"/>
        </w:rPr>
        <w:t>’</w:t>
      </w:r>
      <w:r w:rsidRPr="0021688E">
        <w:rPr>
          <w:lang w:val="fr-FR"/>
        </w:rPr>
        <w:t>a</w:t>
      </w:r>
      <w:r>
        <w:rPr>
          <w:lang w:val="fr-FR"/>
        </w:rPr>
        <w:t xml:space="preserve"> </w:t>
      </w:r>
      <w:r w:rsidRPr="0021688E">
        <w:rPr>
          <w:lang w:val="fr-FR"/>
        </w:rPr>
        <w:t>pas</w:t>
      </w:r>
      <w:r>
        <w:rPr>
          <w:lang w:val="fr-FR"/>
        </w:rPr>
        <w:t xml:space="preserve"> </w:t>
      </w:r>
      <w:r w:rsidRPr="0021688E">
        <w:rPr>
          <w:lang w:val="fr-FR"/>
        </w:rPr>
        <w:t>été</w:t>
      </w:r>
      <w:r>
        <w:rPr>
          <w:lang w:val="fr-FR"/>
        </w:rPr>
        <w:t xml:space="preserve"> </w:t>
      </w:r>
      <w:r w:rsidRPr="0021688E">
        <w:rPr>
          <w:lang w:val="fr-FR"/>
        </w:rPr>
        <w:t>revue</w:t>
      </w:r>
      <w:r>
        <w:rPr>
          <w:lang w:val="fr-FR"/>
        </w:rPr>
        <w:t xml:space="preserve"> </w:t>
      </w:r>
      <w:r w:rsidRPr="0021688E">
        <w:rPr>
          <w:lang w:val="fr-FR"/>
        </w:rPr>
        <w:t>par</w:t>
      </w:r>
      <w:r>
        <w:rPr>
          <w:lang w:val="fr-FR"/>
        </w:rPr>
        <w:t xml:space="preserve"> </w:t>
      </w:r>
      <w:r w:rsidRPr="0021688E">
        <w:rPr>
          <w:lang w:val="fr-FR"/>
        </w:rPr>
        <w:t>les</w:t>
      </w:r>
      <w:r>
        <w:rPr>
          <w:lang w:val="fr-FR"/>
        </w:rPr>
        <w:t xml:space="preserve"> </w:t>
      </w:r>
      <w:r w:rsidRPr="0021688E">
        <w:rPr>
          <w:lang w:val="fr-FR"/>
        </w:rPr>
        <w:t>services</w:t>
      </w:r>
      <w:r>
        <w:rPr>
          <w:lang w:val="fr-FR"/>
        </w:rPr>
        <w:t xml:space="preserve"> </w:t>
      </w:r>
      <w:r w:rsidRPr="0021688E">
        <w:rPr>
          <w:lang w:val="fr-FR"/>
        </w:rPr>
        <w:t>d</w:t>
      </w:r>
      <w:r>
        <w:rPr>
          <w:lang w:val="fr-FR"/>
        </w:rPr>
        <w:t>’</w:t>
      </w:r>
      <w:r w:rsidRPr="0021688E">
        <w:rPr>
          <w:lang w:val="fr-FR"/>
        </w:rPr>
        <w:t>édition.</w:t>
      </w:r>
    </w:p>
  </w:footnote>
  <w:footnote w:id="3">
    <w:p w14:paraId="7B5B049F" w14:textId="7A7BDD4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21688E">
        <w:rPr>
          <w:color w:val="000000" w:themeColor="text1"/>
          <w:lang w:val="fr-FR"/>
        </w:rPr>
        <w:t>n</w:t>
      </w:r>
      <w:r w:rsidRPr="0021688E">
        <w:rPr>
          <w:color w:val="000000" w:themeColor="text1"/>
          <w:vertAlign w:val="superscript"/>
          <w:lang w:val="fr-FR"/>
        </w:rPr>
        <w:t>o</w:t>
      </w:r>
      <w:r>
        <w:rPr>
          <w:color w:val="000000" w:themeColor="text1"/>
          <w:lang w:val="fr-FR"/>
        </w:rPr>
        <w:t> </w:t>
      </w:r>
      <w:r w:rsidRPr="0021688E">
        <w:rPr>
          <w:color w:val="000000" w:themeColor="text1"/>
          <w:lang w:val="fr-FR"/>
        </w:rPr>
        <w:t>140-2015,</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21688E">
        <w:rPr>
          <w:color w:val="000000" w:themeColor="text1"/>
          <w:lang w:val="fr-FR"/>
        </w:rPr>
        <w:t>(</w:t>
      </w:r>
      <w:proofErr w:type="spellStart"/>
      <w:r w:rsidRPr="0021688E">
        <w:rPr>
          <w:i/>
          <w:color w:val="000000" w:themeColor="text1"/>
          <w:lang w:val="fr-FR"/>
        </w:rPr>
        <w:t>Diario</w:t>
      </w:r>
      <w:proofErr w:type="spellEnd"/>
      <w:r>
        <w:rPr>
          <w:i/>
          <w:color w:val="000000" w:themeColor="text1"/>
          <w:lang w:val="fr-FR"/>
        </w:rPr>
        <w:t xml:space="preserve"> </w:t>
      </w:r>
      <w:proofErr w:type="spellStart"/>
      <w:r w:rsidRPr="0021688E">
        <w:rPr>
          <w:i/>
          <w:color w:val="000000" w:themeColor="text1"/>
          <w:lang w:val="fr-FR"/>
        </w:rPr>
        <w:t>Oficial</w:t>
      </w:r>
      <w:proofErr w:type="spellEnd"/>
      <w:r>
        <w:rPr>
          <w:i/>
          <w:color w:val="000000" w:themeColor="text1"/>
          <w:lang w:val="fr-FR"/>
        </w:rPr>
        <w:t xml:space="preserve"> </w:t>
      </w:r>
      <w:r w:rsidRPr="0021688E">
        <w:rPr>
          <w:i/>
          <w:color w:val="000000" w:themeColor="text1"/>
          <w:lang w:val="fr-FR"/>
        </w:rPr>
        <w:t>La</w:t>
      </w:r>
      <w:r>
        <w:rPr>
          <w:i/>
          <w:color w:val="000000" w:themeColor="text1"/>
          <w:lang w:val="fr-FR"/>
        </w:rPr>
        <w:t xml:space="preserve"> </w:t>
      </w:r>
      <w:proofErr w:type="spellStart"/>
      <w:r w:rsidRPr="0021688E">
        <w:rPr>
          <w:i/>
          <w:color w:val="000000" w:themeColor="text1"/>
          <w:lang w:val="fr-FR"/>
        </w:rPr>
        <w:t>Gaceta</w:t>
      </w:r>
      <w:proofErr w:type="spellEnd"/>
      <w:r w:rsidRPr="0021688E">
        <w:rPr>
          <w:color w:val="000000" w:themeColor="text1"/>
          <w:lang w:val="fr-FR"/>
        </w:rPr>
        <w:t>)</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34 </w:t>
      </w:r>
      <w:r w:rsidRPr="008275A5">
        <w:rPr>
          <w:color w:val="000000" w:themeColor="text1"/>
          <w:szCs w:val="18"/>
          <w:lang w:val="fr-FR"/>
        </w:rPr>
        <w:t>175</w:t>
      </w:r>
      <w:r>
        <w:rPr>
          <w:color w:val="000000" w:themeColor="text1"/>
          <w:szCs w:val="18"/>
          <w:vertAlign w:val="superscript"/>
          <w:lang w:val="fr-FR"/>
        </w:rPr>
        <w:t xml:space="preserve"> </w:t>
      </w:r>
      <w:r w:rsidRPr="008275A5">
        <w:rPr>
          <w:color w:val="000000" w:themeColor="text1"/>
          <w:szCs w:val="18"/>
          <w:lang w:val="fr-FR"/>
        </w:rPr>
        <w:t>du</w:t>
      </w:r>
      <w:r>
        <w:rPr>
          <w:color w:val="000000" w:themeColor="text1"/>
          <w:lang w:val="fr-FR"/>
        </w:rPr>
        <w:t xml:space="preserve"> </w:t>
      </w:r>
      <w:r w:rsidRPr="008275A5">
        <w:rPr>
          <w:color w:val="000000" w:themeColor="text1"/>
          <w:szCs w:val="18"/>
          <w:lang w:val="fr-FR"/>
        </w:rPr>
        <w:t>1</w:t>
      </w:r>
      <w:r w:rsidRPr="008275A5">
        <w:rPr>
          <w:color w:val="000000" w:themeColor="text1"/>
          <w:szCs w:val="18"/>
          <w:vertAlign w:val="superscript"/>
          <w:lang w:val="fr-FR"/>
        </w:rPr>
        <w:t>er</w:t>
      </w:r>
      <w:r>
        <w:rPr>
          <w:color w:val="000000" w:themeColor="text1"/>
          <w:szCs w:val="18"/>
          <w:lang w:val="fr-FR"/>
        </w:rPr>
        <w:t> </w:t>
      </w:r>
      <w:r w:rsidRPr="0021688E">
        <w:rPr>
          <w:color w:val="000000" w:themeColor="text1"/>
          <w:lang w:val="fr-FR"/>
        </w:rPr>
        <w:t>novembre</w:t>
      </w:r>
      <w:r>
        <w:rPr>
          <w:color w:val="000000" w:themeColor="text1"/>
          <w:lang w:val="fr-FR"/>
        </w:rPr>
        <w:t xml:space="preserve"> </w:t>
      </w:r>
      <w:r w:rsidRPr="0021688E">
        <w:rPr>
          <w:color w:val="000000" w:themeColor="text1"/>
          <w:lang w:val="fr-FR"/>
        </w:rPr>
        <w:t>2016.</w:t>
      </w:r>
    </w:p>
  </w:footnote>
  <w:footnote w:id="4">
    <w:p w14:paraId="6DCD4EC8" w14:textId="5D65F8D4"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8-2017,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408</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4</w:t>
      </w:r>
      <w:r>
        <w:rPr>
          <w:color w:val="000000" w:themeColor="text1"/>
          <w:lang w:val="fr-FR"/>
        </w:rPr>
        <w:t> </w:t>
      </w:r>
      <w:r w:rsidRPr="0021688E">
        <w:rPr>
          <w:color w:val="000000" w:themeColor="text1"/>
          <w:lang w:val="fr-FR"/>
        </w:rPr>
        <w:t>août</w:t>
      </w:r>
      <w:r>
        <w:rPr>
          <w:color w:val="000000" w:themeColor="text1"/>
          <w:lang w:val="fr-FR"/>
        </w:rPr>
        <w:t xml:space="preserve"> </w:t>
      </w:r>
      <w:r w:rsidRPr="0021688E">
        <w:rPr>
          <w:color w:val="000000" w:themeColor="text1"/>
          <w:lang w:val="fr-FR"/>
        </w:rPr>
        <w:t>2017.</w:t>
      </w:r>
    </w:p>
  </w:footnote>
  <w:footnote w:id="5">
    <w:p w14:paraId="785434C8" w14:textId="29BC735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127-2020,</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404</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19</w:t>
      </w:r>
      <w:r>
        <w:rPr>
          <w:color w:val="000000" w:themeColor="text1"/>
          <w:lang w:val="fr-FR"/>
        </w:rPr>
        <w:t> </w:t>
      </w:r>
      <w:r w:rsidRPr="0021688E">
        <w:rPr>
          <w:color w:val="000000" w:themeColor="text1"/>
          <w:lang w:val="fr-FR"/>
        </w:rPr>
        <w:t>octobre</w:t>
      </w:r>
      <w:r>
        <w:rPr>
          <w:color w:val="000000" w:themeColor="text1"/>
          <w:lang w:val="fr-FR"/>
        </w:rPr>
        <w:t xml:space="preserve"> </w:t>
      </w:r>
      <w:r w:rsidRPr="0021688E">
        <w:rPr>
          <w:color w:val="000000" w:themeColor="text1"/>
          <w:lang w:val="fr-FR"/>
        </w:rPr>
        <w:t>2020.</w:t>
      </w:r>
    </w:p>
  </w:footnote>
  <w:footnote w:id="6">
    <w:p w14:paraId="5179CCAC" w14:textId="4853C91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 w:history="1">
        <w:r w:rsidRPr="003A61DD">
          <w:rPr>
            <w:rStyle w:val="Lienhypertexte"/>
            <w:szCs w:val="18"/>
            <w:lang w:val="fr-FR"/>
          </w:rPr>
          <w:t>https://bit.ly/36r2uQQ</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19</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7">
    <w:p w14:paraId="48ADD19A" w14:textId="60E8082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 w:history="1">
        <w:r w:rsidRPr="003A61DD">
          <w:rPr>
            <w:rStyle w:val="Lienhypertexte"/>
            <w:szCs w:val="18"/>
            <w:lang w:val="fr-FR"/>
          </w:rPr>
          <w:t>https://bit.ly/3qXpAI2</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19</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8">
    <w:p w14:paraId="4F4EE918" w14:textId="3E8046E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21688E">
        <w:rPr>
          <w:color w:val="000000" w:themeColor="text1"/>
          <w:lang w:val="fr-FR"/>
        </w:rPr>
        <w:t>n</w:t>
      </w:r>
      <w:r w:rsidRPr="0021688E">
        <w:rPr>
          <w:color w:val="000000" w:themeColor="text1"/>
          <w:vertAlign w:val="superscript"/>
          <w:lang w:val="fr-FR"/>
        </w:rPr>
        <w:t>o</w:t>
      </w:r>
      <w:r>
        <w:rPr>
          <w:color w:val="000000" w:themeColor="text1"/>
          <w:lang w:val="fr-FR"/>
        </w:rPr>
        <w:t> </w:t>
      </w:r>
      <w:r w:rsidRPr="0021688E">
        <w:rPr>
          <w:color w:val="000000" w:themeColor="text1"/>
          <w:lang w:val="fr-FR"/>
        </w:rPr>
        <w:t>119-2015,</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226</w:t>
      </w:r>
      <w:r w:rsidRPr="008275A5">
        <w:rPr>
          <w:lang w:val="fr-FR"/>
        </w:rPr>
        <w:t>.</w:t>
      </w:r>
    </w:p>
  </w:footnote>
  <w:footnote w:id="9">
    <w:p w14:paraId="215129FE" w14:textId="00507B54"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18-2017,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463</w:t>
      </w:r>
      <w:r w:rsidRPr="008275A5">
        <w:rPr>
          <w:lang w:val="fr-FR"/>
        </w:rPr>
        <w:t>.</w:t>
      </w:r>
    </w:p>
  </w:footnote>
  <w:footnote w:id="10">
    <w:p w14:paraId="41C4BACF" w14:textId="211B924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69-2017,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463</w:t>
      </w:r>
      <w:r w:rsidRPr="008275A5">
        <w:rPr>
          <w:color w:val="000000" w:themeColor="text1"/>
          <w:szCs w:val="18"/>
          <w:lang w:val="fr-FR"/>
        </w:rPr>
        <w:t>.</w:t>
      </w:r>
    </w:p>
  </w:footnote>
  <w:footnote w:id="11">
    <w:p w14:paraId="333F6041" w14:textId="1D22899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législative</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0265,</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841</w:t>
      </w:r>
      <w:r w:rsidRPr="008275A5">
        <w:rPr>
          <w:color w:val="000000" w:themeColor="text1"/>
          <w:szCs w:val="18"/>
          <w:lang w:val="fr-FR"/>
        </w:rPr>
        <w:t>.</w:t>
      </w:r>
    </w:p>
  </w:footnote>
  <w:footnote w:id="12">
    <w:p w14:paraId="215C7B47" w14:textId="6FAF04A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101-2018,</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866</w:t>
      </w:r>
      <w:r w:rsidRPr="008275A5">
        <w:rPr>
          <w:color w:val="000000" w:themeColor="text1"/>
          <w:szCs w:val="18"/>
          <w:lang w:val="fr-FR"/>
        </w:rPr>
        <w:t>.</w:t>
      </w:r>
    </w:p>
  </w:footnote>
  <w:footnote w:id="13">
    <w:p w14:paraId="27321361" w14:textId="186D2CD0"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102</w:t>
      </w:r>
      <w:r>
        <w:rPr>
          <w:color w:val="000000" w:themeColor="text1"/>
          <w:lang w:val="fr-FR"/>
        </w:rPr>
        <w:t xml:space="preserve"> </w:t>
      </w:r>
      <w:r w:rsidRPr="0021688E">
        <w:rPr>
          <w:color w:val="000000" w:themeColor="text1"/>
          <w:lang w:val="fr-FR"/>
        </w:rPr>
        <w:t>2018,</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841</w:t>
      </w:r>
      <w:r w:rsidRPr="008275A5">
        <w:rPr>
          <w:color w:val="000000" w:themeColor="text1"/>
          <w:szCs w:val="18"/>
          <w:lang w:val="fr-FR"/>
        </w:rPr>
        <w:t>.</w:t>
      </w:r>
      <w:r>
        <w:rPr>
          <w:color w:val="000000" w:themeColor="text1"/>
          <w:lang w:val="fr-FR"/>
        </w:rPr>
        <w:t xml:space="preserve"> </w:t>
      </w:r>
    </w:p>
  </w:footnote>
  <w:footnote w:id="14">
    <w:p w14:paraId="471E2B35" w14:textId="33D88602"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309-2021,</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569</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12</w:t>
      </w:r>
      <w:r>
        <w:rPr>
          <w:color w:val="000000" w:themeColor="text1"/>
          <w:lang w:val="fr-FR"/>
        </w:rPr>
        <w:t> </w:t>
      </w:r>
      <w:r w:rsidRPr="0021688E">
        <w:rPr>
          <w:color w:val="000000" w:themeColor="text1"/>
          <w:lang w:val="fr-FR"/>
        </w:rPr>
        <w:t>avril</w:t>
      </w:r>
      <w:r>
        <w:rPr>
          <w:color w:val="000000" w:themeColor="text1"/>
          <w:lang w:val="fr-FR"/>
        </w:rPr>
        <w:t xml:space="preserve"> </w:t>
      </w:r>
      <w:r w:rsidRPr="0021688E">
        <w:rPr>
          <w:color w:val="000000" w:themeColor="text1"/>
          <w:lang w:val="fr-FR"/>
        </w:rPr>
        <w:t>2021</w:t>
      </w:r>
      <w:r w:rsidRPr="008275A5">
        <w:rPr>
          <w:color w:val="000000" w:themeColor="text1"/>
          <w:szCs w:val="18"/>
          <w:lang w:val="fr-FR"/>
        </w:rPr>
        <w:t>.</w:t>
      </w:r>
    </w:p>
  </w:footnote>
  <w:footnote w:id="15">
    <w:p w14:paraId="6B6C6838" w14:textId="6B461E50"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130-2017,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940</w:t>
      </w:r>
      <w:r w:rsidRPr="008275A5">
        <w:rPr>
          <w:color w:val="000000" w:themeColor="text1"/>
          <w:szCs w:val="18"/>
          <w:lang w:val="fr-FR"/>
        </w:rPr>
        <w:t>.</w:t>
      </w:r>
    </w:p>
  </w:footnote>
  <w:footnote w:id="16">
    <w:p w14:paraId="38E70FA0" w14:textId="0690D49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106-2016,</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201</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1</w:t>
      </w:r>
      <w:r w:rsidRPr="0021688E">
        <w:rPr>
          <w:color w:val="000000" w:themeColor="text1"/>
          <w:vertAlign w:val="superscript"/>
          <w:lang w:val="fr-FR"/>
        </w:rPr>
        <w:t>er</w:t>
      </w:r>
      <w:r>
        <w:rPr>
          <w:color w:val="000000" w:themeColor="text1"/>
          <w:lang w:val="fr-FR"/>
        </w:rPr>
        <w:t> </w:t>
      </w:r>
      <w:r w:rsidRPr="0021688E">
        <w:rPr>
          <w:color w:val="000000" w:themeColor="text1"/>
          <w:lang w:val="fr-FR"/>
        </w:rPr>
        <w:t>décembre</w:t>
      </w:r>
      <w:r>
        <w:rPr>
          <w:color w:val="000000" w:themeColor="text1"/>
          <w:lang w:val="fr-FR"/>
        </w:rPr>
        <w:t xml:space="preserve"> </w:t>
      </w:r>
      <w:r w:rsidRPr="0021688E">
        <w:rPr>
          <w:color w:val="000000" w:themeColor="text1"/>
          <w:lang w:val="fr-FR"/>
        </w:rPr>
        <w:t>2016.</w:t>
      </w:r>
    </w:p>
  </w:footnote>
  <w:footnote w:id="17">
    <w:p w14:paraId="134F3A87" w14:textId="16934B1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146-2020,</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426</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11</w:t>
      </w:r>
      <w:r>
        <w:rPr>
          <w:color w:val="000000" w:themeColor="text1"/>
          <w:lang w:val="fr-FR"/>
        </w:rPr>
        <w:t> </w:t>
      </w:r>
      <w:r w:rsidRPr="0021688E">
        <w:rPr>
          <w:color w:val="000000" w:themeColor="text1"/>
          <w:lang w:val="fr-FR"/>
        </w:rPr>
        <w:t>novembre</w:t>
      </w:r>
      <w:r>
        <w:rPr>
          <w:color w:val="000000" w:themeColor="text1"/>
          <w:lang w:val="fr-FR"/>
        </w:rPr>
        <w:t xml:space="preserve"> </w:t>
      </w:r>
      <w:r w:rsidRPr="0021688E">
        <w:rPr>
          <w:color w:val="000000" w:themeColor="text1"/>
          <w:lang w:val="fr-FR"/>
        </w:rPr>
        <w:t>2020.</w:t>
      </w:r>
    </w:p>
  </w:footnote>
  <w:footnote w:id="18">
    <w:p w14:paraId="618518DE" w14:textId="3C87C5F8"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FRG-011-2016,</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028.</w:t>
      </w:r>
    </w:p>
  </w:footnote>
  <w:footnote w:id="19">
    <w:p w14:paraId="4A17F5F5" w14:textId="1956523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FGR-012-2017,</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456.</w:t>
      </w:r>
    </w:p>
  </w:footnote>
  <w:footnote w:id="20">
    <w:p w14:paraId="144394C5" w14:textId="270670B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03-2018,</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805</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27</w:t>
      </w:r>
      <w:r>
        <w:rPr>
          <w:color w:val="000000" w:themeColor="text1"/>
          <w:lang w:val="fr-FR"/>
        </w:rPr>
        <w:t> </w:t>
      </w:r>
      <w:r w:rsidRPr="0021688E">
        <w:rPr>
          <w:color w:val="000000" w:themeColor="text1"/>
          <w:lang w:val="fr-FR"/>
        </w:rPr>
        <w:t>novembre</w:t>
      </w:r>
      <w:r>
        <w:rPr>
          <w:color w:val="000000" w:themeColor="text1"/>
          <w:lang w:val="fr-FR"/>
        </w:rPr>
        <w:t xml:space="preserve"> </w:t>
      </w:r>
      <w:r w:rsidRPr="0021688E">
        <w:rPr>
          <w:color w:val="000000" w:themeColor="text1"/>
          <w:lang w:val="fr-FR"/>
        </w:rPr>
        <w:t>2018.</w:t>
      </w:r>
    </w:p>
  </w:footnote>
  <w:footnote w:id="21">
    <w:p w14:paraId="7FAEF818" w14:textId="1C4E8DA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PCM-061-2017,</w:t>
      </w:r>
      <w:r>
        <w:rPr>
          <w:color w:val="000000" w:themeColor="text1"/>
          <w:lang w:val="fr-FR"/>
        </w:rPr>
        <w:t xml:space="preserve"> </w:t>
      </w:r>
      <w:bookmarkStart w:id="5" w:name="_Hlk74906871"/>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bookmarkEnd w:id="5"/>
      <w:r>
        <w:rPr>
          <w:color w:val="000000" w:themeColor="text1"/>
          <w:lang w:val="fr-FR"/>
        </w:rPr>
        <w:t>34 </w:t>
      </w:r>
      <w:r w:rsidRPr="0021688E">
        <w:rPr>
          <w:color w:val="000000" w:themeColor="text1"/>
          <w:lang w:val="fr-FR"/>
        </w:rPr>
        <w:t>450.</w:t>
      </w:r>
    </w:p>
  </w:footnote>
  <w:footnote w:id="22">
    <w:p w14:paraId="7670A933" w14:textId="125D160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01-02-2018</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conseil</w:t>
      </w:r>
      <w:r>
        <w:rPr>
          <w:color w:val="000000" w:themeColor="text1"/>
          <w:lang w:val="fr-FR"/>
        </w:rPr>
        <w:t xml:space="preserve"> </w:t>
      </w:r>
      <w:r w:rsidRPr="0021688E">
        <w:rPr>
          <w:color w:val="000000" w:themeColor="text1"/>
          <w:lang w:val="fr-FR"/>
        </w:rPr>
        <w:t>directif,</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576</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23</w:t>
      </w:r>
      <w:r>
        <w:rPr>
          <w:color w:val="000000" w:themeColor="text1"/>
          <w:lang w:val="fr-FR"/>
        </w:rPr>
        <w:t> </w:t>
      </w:r>
      <w:r w:rsidRPr="0021688E">
        <w:rPr>
          <w:color w:val="000000" w:themeColor="text1"/>
          <w:lang w:val="fr-FR"/>
        </w:rPr>
        <w:t>février</w:t>
      </w:r>
      <w:r>
        <w:rPr>
          <w:color w:val="000000" w:themeColor="text1"/>
          <w:lang w:val="fr-FR"/>
        </w:rPr>
        <w:t xml:space="preserve"> </w:t>
      </w:r>
      <w:r w:rsidRPr="0021688E">
        <w:rPr>
          <w:color w:val="000000" w:themeColor="text1"/>
          <w:lang w:val="fr-FR"/>
        </w:rPr>
        <w:t>2018.</w:t>
      </w:r>
    </w:p>
  </w:footnote>
  <w:footnote w:id="23">
    <w:p w14:paraId="5B180CBA" w14:textId="191D26C6"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001-CISMWMF-2019,</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027.</w:t>
      </w:r>
    </w:p>
  </w:footnote>
  <w:footnote w:id="24">
    <w:p w14:paraId="44AD1782" w14:textId="5EFB2D5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0263-2019,</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867.</w:t>
      </w:r>
    </w:p>
  </w:footnote>
  <w:footnote w:id="25">
    <w:p w14:paraId="3F6BAB32" w14:textId="0D181EBA"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0262-2019,</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867.</w:t>
      </w:r>
    </w:p>
  </w:footnote>
  <w:footnote w:id="26">
    <w:p w14:paraId="20937642" w14:textId="78D89A54"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01-SG-2020,</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3A61DD">
        <w:rPr>
          <w:rFonts w:eastAsia="MS Mincho"/>
          <w:color w:val="000000" w:themeColor="text1"/>
          <w:lang w:val="fr-FR"/>
        </w:rPr>
        <w:t>n</w:t>
      </w:r>
      <w:r w:rsidRPr="003A61DD">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182.</w:t>
      </w:r>
    </w:p>
  </w:footnote>
  <w:footnote w:id="27">
    <w:p w14:paraId="542C7454" w14:textId="4501996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PCSJ-13-2017,</w:t>
      </w:r>
      <w:r>
        <w:rPr>
          <w:color w:val="000000" w:themeColor="text1"/>
          <w:lang w:val="fr-FR"/>
        </w:rPr>
        <w:t xml:space="preserve"> </w:t>
      </w:r>
      <w:r w:rsidRPr="0021688E">
        <w:rPr>
          <w:color w:val="000000" w:themeColor="text1"/>
          <w:lang w:val="fr-FR"/>
        </w:rPr>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 w:history="1">
        <w:r w:rsidRPr="003A61DD">
          <w:rPr>
            <w:rStyle w:val="Lienhypertexte"/>
            <w:lang w:val="fr-FR"/>
          </w:rPr>
          <w:t>https://bit.ly/2UEHzXx</w:t>
        </w:r>
      </w:hyperlink>
      <w:r>
        <w:rPr>
          <w:color w:val="000000" w:themeColor="text1"/>
          <w:lang w:val="fr-FR"/>
        </w:rPr>
        <w:t xml:space="preserve"> </w:t>
      </w:r>
      <w:r w:rsidRPr="0021688E">
        <w:rPr>
          <w:color w:val="000000" w:themeColor="text1"/>
          <w:lang w:val="fr-FR"/>
        </w:rPr>
        <w:t>(consultée</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5</w:t>
      </w:r>
      <w:r>
        <w:rPr>
          <w:color w:val="000000" w:themeColor="text1"/>
          <w:lang w:val="fr-FR"/>
        </w:rPr>
        <w:t> </w:t>
      </w:r>
      <w:r w:rsidRPr="0021688E">
        <w:rPr>
          <w:color w:val="000000" w:themeColor="text1"/>
          <w:lang w:val="fr-FR"/>
        </w:rPr>
        <w:t>juillet</w:t>
      </w:r>
      <w:r>
        <w:rPr>
          <w:color w:val="000000" w:themeColor="text1"/>
          <w:lang w:val="fr-FR"/>
        </w:rPr>
        <w:t xml:space="preserve"> </w:t>
      </w:r>
      <w:r w:rsidRPr="0021688E">
        <w:rPr>
          <w:color w:val="000000" w:themeColor="text1"/>
          <w:lang w:val="fr-FR"/>
        </w:rPr>
        <w:t>2021</w:t>
      </w:r>
      <w:r w:rsidR="005F691A">
        <w:rPr>
          <w:color w:val="000000" w:themeColor="text1"/>
          <w:lang w:val="fr-FR"/>
        </w:rPr>
        <w:t>)</w:t>
      </w:r>
      <w:r w:rsidRPr="0021688E">
        <w:rPr>
          <w:color w:val="000000" w:themeColor="text1"/>
          <w:lang w:val="fr-FR"/>
        </w:rPr>
        <w:t>.</w:t>
      </w:r>
    </w:p>
  </w:footnote>
  <w:footnote w:id="28">
    <w:p w14:paraId="487796C1" w14:textId="2C52286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99-20,</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353.</w:t>
      </w:r>
    </w:p>
  </w:footnote>
  <w:footnote w:id="29">
    <w:p w14:paraId="2EDF3498" w14:textId="7EF59BA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FRG-002-2018,</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593.</w:t>
      </w:r>
    </w:p>
  </w:footnote>
  <w:footnote w:id="30">
    <w:p w14:paraId="43F173D3" w14:textId="20BDF5A8"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PCM-055-2017,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441.</w:t>
      </w:r>
    </w:p>
  </w:footnote>
  <w:footnote w:id="31">
    <w:p w14:paraId="7B9FF5CC" w14:textId="6965F78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PCM-027-2016,</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031.</w:t>
      </w:r>
    </w:p>
  </w:footnote>
  <w:footnote w:id="32">
    <w:p w14:paraId="42A57E42" w14:textId="3CD6C0E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w:t>
      </w:r>
      <w:r>
        <w:rPr>
          <w:color w:val="000000" w:themeColor="text1"/>
          <w:lang w:val="fr-FR"/>
        </w:rPr>
        <w:t xml:space="preserve"> </w:t>
      </w:r>
      <w:r w:rsidRPr="0021688E">
        <w:rPr>
          <w:color w:val="000000" w:themeColor="text1"/>
          <w:lang w:val="fr-FR"/>
        </w:rPr>
        <w:t>005-2021,</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35 </w:t>
      </w:r>
      <w:r w:rsidRPr="0021688E">
        <w:rPr>
          <w:color w:val="000000" w:themeColor="text1"/>
          <w:lang w:val="fr-FR"/>
        </w:rPr>
        <w:t>542.</w:t>
      </w:r>
    </w:p>
  </w:footnote>
  <w:footnote w:id="33">
    <w:p w14:paraId="61E97A39" w14:textId="28D65CEB"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487-2016,</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204.</w:t>
      </w:r>
    </w:p>
  </w:footnote>
  <w:footnote w:id="34">
    <w:p w14:paraId="5502CB26" w14:textId="5173AF08"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4" w:history="1">
        <w:r w:rsidRPr="00A74554">
          <w:rPr>
            <w:rStyle w:val="Lienhypertexte"/>
            <w:szCs w:val="18"/>
            <w:lang w:val="fr-FR"/>
          </w:rPr>
          <w:t>https://bit.ly/3ekQAfJ</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5</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35">
    <w:p w14:paraId="673866F7" w14:textId="7E458330"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PCM-031-2016,</w:t>
      </w:r>
      <w:r>
        <w:rPr>
          <w:color w:val="000000" w:themeColor="text1"/>
          <w:lang w:val="fr-FR"/>
        </w:rPr>
        <w:t xml:space="preserve"> </w:t>
      </w:r>
      <w:r w:rsidRPr="0021688E">
        <w:rPr>
          <w:color w:val="000000" w:themeColor="text1"/>
          <w:lang w:val="fr-FR"/>
        </w:rPr>
        <w:t>élevé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rang</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politique</w:t>
      </w:r>
      <w:r>
        <w:rPr>
          <w:color w:val="000000" w:themeColor="text1"/>
          <w:lang w:val="fr-FR"/>
        </w:rPr>
        <w:t xml:space="preserve"> </w:t>
      </w:r>
      <w:r w:rsidRPr="0021688E">
        <w:rPr>
          <w:color w:val="000000" w:themeColor="text1"/>
          <w:lang w:val="fr-FR"/>
        </w:rPr>
        <w:t>nationale</w:t>
      </w:r>
      <w:r>
        <w:rPr>
          <w:color w:val="000000" w:themeColor="text1"/>
          <w:lang w:val="fr-FR"/>
        </w:rPr>
        <w:t xml:space="preserve"> </w:t>
      </w:r>
      <w:r w:rsidRPr="0021688E">
        <w:rPr>
          <w:color w:val="000000" w:themeColor="text1"/>
          <w:lang w:val="fr-FR"/>
        </w:rPr>
        <w:t>par</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159-2016,</w:t>
      </w:r>
      <w:r>
        <w:rPr>
          <w:color w:val="000000" w:themeColor="text1"/>
          <w:lang w:val="fr-FR"/>
        </w:rPr>
        <w:t xml:space="preserve"> </w:t>
      </w:r>
      <w:r w:rsidRPr="0021688E">
        <w:rPr>
          <w:color w:val="000000" w:themeColor="text1"/>
          <w:lang w:val="fr-FR"/>
        </w:rPr>
        <w:t>décentralisée</w:t>
      </w:r>
      <w:r>
        <w:rPr>
          <w:color w:val="000000" w:themeColor="text1"/>
          <w:lang w:val="fr-FR"/>
        </w:rPr>
        <w:t xml:space="preserve"> </w:t>
      </w:r>
      <w:r w:rsidRPr="0021688E">
        <w:rPr>
          <w:color w:val="000000" w:themeColor="text1"/>
          <w:lang w:val="fr-FR"/>
        </w:rPr>
        <w:t>par</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PCM-023-2018.</w:t>
      </w:r>
    </w:p>
  </w:footnote>
  <w:footnote w:id="36">
    <w:p w14:paraId="79D2FCBA" w14:textId="7CDCA1B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PCM-064-2018,</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756.</w:t>
      </w:r>
    </w:p>
  </w:footnote>
  <w:footnote w:id="37">
    <w:p w14:paraId="2E365419" w14:textId="47F8C35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Décrets</w:t>
      </w:r>
      <w:r>
        <w:rPr>
          <w:color w:val="000000" w:themeColor="text1"/>
          <w:lang w:val="fr-FR"/>
        </w:rPr>
        <w:t xml:space="preserve"> </w:t>
      </w:r>
      <w:r w:rsidRPr="0021688E">
        <w:rPr>
          <w:color w:val="000000" w:themeColor="text1"/>
          <w:lang w:val="fr-FR"/>
        </w:rPr>
        <w:t>exécutifs</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PCM-020-2019</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PCM-038-2019.</w:t>
      </w:r>
    </w:p>
  </w:footnote>
  <w:footnote w:id="38">
    <w:p w14:paraId="7545058A" w14:textId="6E753132"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65,</w:t>
      </w:r>
      <w:r>
        <w:rPr>
          <w:color w:val="000000" w:themeColor="text1"/>
          <w:lang w:val="fr-FR"/>
        </w:rPr>
        <w:t xml:space="preserve"> </w:t>
      </w:r>
      <w:r w:rsidRPr="0021688E">
        <w:rPr>
          <w:color w:val="000000" w:themeColor="text1"/>
          <w:lang w:val="fr-FR"/>
        </w:rPr>
        <w:t>69</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71</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130-82.</w:t>
      </w:r>
    </w:p>
  </w:footnote>
  <w:footnote w:id="39">
    <w:p w14:paraId="73F283C1" w14:textId="215F33E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Code</w:t>
      </w:r>
      <w:r>
        <w:rPr>
          <w:color w:val="000000" w:themeColor="text1"/>
          <w:lang w:val="fr-FR"/>
        </w:rPr>
        <w:t xml:space="preserve"> </w:t>
      </w:r>
      <w:r w:rsidRPr="0021688E">
        <w:rPr>
          <w:color w:val="000000" w:themeColor="text1"/>
          <w:lang w:val="fr-FR"/>
        </w:rPr>
        <w:t>pénal,</w:t>
      </w:r>
      <w:r>
        <w:rPr>
          <w:color w:val="000000" w:themeColor="text1"/>
          <w:lang w:val="fr-FR"/>
        </w:rPr>
        <w:t xml:space="preserve"> </w:t>
      </w:r>
      <w:r w:rsidR="005F691A">
        <w:rPr>
          <w:color w:val="000000" w:themeColor="text1"/>
          <w:lang w:val="fr-FR"/>
        </w:rPr>
        <w:t>t</w:t>
      </w:r>
      <w:r w:rsidRPr="0021688E">
        <w:rPr>
          <w:color w:val="000000" w:themeColor="text1"/>
          <w:lang w:val="fr-FR"/>
        </w:rPr>
        <w:t>itre</w:t>
      </w:r>
      <w:r>
        <w:rPr>
          <w:color w:val="000000" w:themeColor="text1"/>
          <w:lang w:val="fr-FR"/>
        </w:rPr>
        <w:t xml:space="preserve"> </w:t>
      </w:r>
      <w:r w:rsidRPr="0021688E">
        <w:rPr>
          <w:color w:val="000000" w:themeColor="text1"/>
          <w:lang w:val="fr-FR"/>
        </w:rPr>
        <w:t>I</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infractions</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communauté</w:t>
      </w:r>
      <w:r>
        <w:rPr>
          <w:color w:val="000000" w:themeColor="text1"/>
          <w:lang w:val="fr-FR"/>
        </w:rPr>
        <w:t xml:space="preserve"> </w:t>
      </w:r>
      <w:r w:rsidRPr="0021688E">
        <w:rPr>
          <w:color w:val="000000" w:themeColor="text1"/>
          <w:lang w:val="fr-FR"/>
        </w:rPr>
        <w:t>internationale),</w:t>
      </w:r>
      <w:r>
        <w:rPr>
          <w:color w:val="000000" w:themeColor="text1"/>
          <w:lang w:val="fr-FR"/>
        </w:rPr>
        <w:t xml:space="preserve"> </w:t>
      </w:r>
      <w:r w:rsidR="005F691A">
        <w:rPr>
          <w:color w:val="000000" w:themeColor="text1"/>
          <w:lang w:val="fr-FR"/>
        </w:rPr>
        <w:t>c</w:t>
      </w:r>
      <w:r w:rsidRPr="0021688E">
        <w:rPr>
          <w:color w:val="000000" w:themeColor="text1"/>
          <w:lang w:val="fr-FR"/>
        </w:rPr>
        <w:t>hap</w:t>
      </w:r>
      <w:r w:rsidR="005F691A">
        <w:rPr>
          <w:color w:val="000000" w:themeColor="text1"/>
          <w:lang w:val="fr-FR"/>
        </w:rPr>
        <w:t>. </w:t>
      </w:r>
      <w:r w:rsidRPr="0021688E">
        <w:rPr>
          <w:color w:val="000000" w:themeColor="text1"/>
          <w:lang w:val="fr-FR"/>
        </w:rPr>
        <w:t>I</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crimes</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humanité),</w:t>
      </w:r>
      <w:r>
        <w:rPr>
          <w:color w:val="000000" w:themeColor="text1"/>
          <w:lang w:val="fr-FR"/>
        </w:rPr>
        <w:t xml:space="preserve"> </w:t>
      </w:r>
      <w:r w:rsidRPr="0021688E">
        <w:rPr>
          <w:color w:val="000000" w:themeColor="text1"/>
          <w:lang w:val="fr-FR"/>
        </w:rPr>
        <w:t>art</w:t>
      </w:r>
      <w:r>
        <w:rPr>
          <w:color w:val="000000" w:themeColor="text1"/>
          <w:lang w:val="fr-FR"/>
        </w:rPr>
        <w:t>. </w:t>
      </w:r>
      <w:r w:rsidRPr="0021688E">
        <w:rPr>
          <w:color w:val="000000" w:themeColor="text1"/>
          <w:lang w:val="fr-FR"/>
        </w:rPr>
        <w:t>140,</w:t>
      </w:r>
      <w:r>
        <w:rPr>
          <w:color w:val="000000" w:themeColor="text1"/>
          <w:lang w:val="fr-FR"/>
        </w:rPr>
        <w:t xml:space="preserve"> </w:t>
      </w:r>
      <w:r w:rsidRPr="0021688E">
        <w:rPr>
          <w:color w:val="000000" w:themeColor="text1"/>
          <w:lang w:val="fr-FR"/>
        </w:rPr>
        <w:t>141</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142.</w:t>
      </w:r>
    </w:p>
  </w:footnote>
  <w:footnote w:id="40">
    <w:p w14:paraId="39B5706F" w14:textId="53D1033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235,</w:t>
      </w:r>
      <w:r>
        <w:rPr>
          <w:color w:val="000000" w:themeColor="text1"/>
          <w:lang w:val="fr-FR"/>
        </w:rPr>
        <w:t xml:space="preserve"> </w:t>
      </w:r>
      <w:r w:rsidRPr="0021688E">
        <w:rPr>
          <w:color w:val="000000" w:themeColor="text1"/>
          <w:lang w:val="fr-FR"/>
        </w:rPr>
        <w:t>236,</w:t>
      </w:r>
      <w:r>
        <w:rPr>
          <w:color w:val="000000" w:themeColor="text1"/>
          <w:lang w:val="fr-FR"/>
        </w:rPr>
        <w:t xml:space="preserve"> </w:t>
      </w:r>
      <w:r w:rsidRPr="0021688E">
        <w:rPr>
          <w:color w:val="000000" w:themeColor="text1"/>
          <w:lang w:val="fr-FR"/>
        </w:rPr>
        <w:t>237</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238</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pénal.</w:t>
      </w:r>
    </w:p>
  </w:footnote>
  <w:footnote w:id="41">
    <w:p w14:paraId="00A72CC4" w14:textId="3B3D14D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130-2017,</w:t>
      </w:r>
      <w:r>
        <w:rPr>
          <w:color w:val="000000" w:themeColor="text1"/>
          <w:lang w:val="fr-FR"/>
        </w:rPr>
        <w:t xml:space="preserve"> art. </w:t>
      </w:r>
      <w:r w:rsidRPr="0021688E">
        <w:rPr>
          <w:color w:val="000000" w:themeColor="text1"/>
          <w:lang w:val="fr-FR"/>
        </w:rPr>
        <w:t>139.</w:t>
      </w:r>
    </w:p>
  </w:footnote>
  <w:footnote w:id="42">
    <w:p w14:paraId="286D17E6" w14:textId="4B249CF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5" w:history="1">
        <w:r w:rsidRPr="00A74554">
          <w:rPr>
            <w:rStyle w:val="Lienhypertexte"/>
            <w:szCs w:val="18"/>
            <w:lang w:val="fr-FR"/>
          </w:rPr>
          <w:t>https://bit.ly/3qZaAJA</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5</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43">
    <w:p w14:paraId="7C3A8AF9" w14:textId="6FFBAC1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r>
      <w:r>
        <w:rPr>
          <w:color w:val="000000" w:themeColor="text1"/>
          <w:lang w:val="fr-FR"/>
        </w:rPr>
        <w:t>Art. </w:t>
      </w:r>
      <w:r w:rsidRPr="0021688E">
        <w:rPr>
          <w:color w:val="000000" w:themeColor="text1"/>
          <w:lang w:val="fr-FR"/>
        </w:rPr>
        <w:t>25</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procédure</w:t>
      </w:r>
      <w:r>
        <w:rPr>
          <w:color w:val="000000" w:themeColor="text1"/>
          <w:lang w:val="fr-FR"/>
        </w:rPr>
        <w:t xml:space="preserve"> </w:t>
      </w:r>
      <w:r w:rsidRPr="0021688E">
        <w:rPr>
          <w:color w:val="000000" w:themeColor="text1"/>
          <w:lang w:val="fr-FR"/>
        </w:rPr>
        <w:t>pénale.</w:t>
      </w:r>
    </w:p>
  </w:footnote>
  <w:footnote w:id="44">
    <w:p w14:paraId="6CF2758B" w14:textId="588D7F55"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r>
      <w:r>
        <w:rPr>
          <w:color w:val="000000" w:themeColor="text1"/>
          <w:lang w:val="fr-FR"/>
        </w:rPr>
        <w:t>Art. </w:t>
      </w:r>
      <w:r w:rsidRPr="0021688E">
        <w:rPr>
          <w:color w:val="000000" w:themeColor="text1"/>
          <w:lang w:val="fr-FR"/>
        </w:rPr>
        <w:t>96</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procédure</w:t>
      </w:r>
      <w:r>
        <w:rPr>
          <w:color w:val="000000" w:themeColor="text1"/>
          <w:lang w:val="fr-FR"/>
        </w:rPr>
        <w:t xml:space="preserve"> </w:t>
      </w:r>
      <w:r w:rsidRPr="0021688E">
        <w:rPr>
          <w:color w:val="000000" w:themeColor="text1"/>
          <w:lang w:val="fr-FR"/>
        </w:rPr>
        <w:t>pénale.</w:t>
      </w:r>
    </w:p>
  </w:footnote>
  <w:footnote w:id="45">
    <w:p w14:paraId="2C943A20" w14:textId="7D390F1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153</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154</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pénal.</w:t>
      </w:r>
    </w:p>
  </w:footnote>
  <w:footnote w:id="46">
    <w:p w14:paraId="4D86B55E" w14:textId="2134A1E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352,</w:t>
      </w:r>
      <w:r>
        <w:rPr>
          <w:color w:val="000000" w:themeColor="text1"/>
          <w:lang w:val="fr-FR"/>
        </w:rPr>
        <w:t xml:space="preserve"> </w:t>
      </w:r>
      <w:r w:rsidRPr="0021688E">
        <w:rPr>
          <w:color w:val="000000" w:themeColor="text1"/>
          <w:lang w:val="fr-FR"/>
        </w:rPr>
        <w:t>353,</w:t>
      </w:r>
      <w:r>
        <w:rPr>
          <w:color w:val="000000" w:themeColor="text1"/>
          <w:lang w:val="fr-FR"/>
        </w:rPr>
        <w:t xml:space="preserve"> </w:t>
      </w:r>
      <w:r w:rsidRPr="0021688E">
        <w:rPr>
          <w:color w:val="000000" w:themeColor="text1"/>
          <w:lang w:val="fr-FR"/>
        </w:rPr>
        <w:t>354</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6</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procédure</w:t>
      </w:r>
      <w:r>
        <w:rPr>
          <w:color w:val="000000" w:themeColor="text1"/>
          <w:lang w:val="fr-FR"/>
        </w:rPr>
        <w:t xml:space="preserve"> </w:t>
      </w:r>
      <w:r w:rsidRPr="0021688E">
        <w:rPr>
          <w:color w:val="000000" w:themeColor="text1"/>
          <w:lang w:val="fr-FR"/>
        </w:rPr>
        <w:t>pénale.</w:t>
      </w:r>
    </w:p>
  </w:footnote>
  <w:footnote w:id="47">
    <w:p w14:paraId="43E8A586" w14:textId="77DBC3B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140-2001.</w:t>
      </w:r>
    </w:p>
  </w:footnote>
  <w:footnote w:id="48">
    <w:p w14:paraId="4F22DF5E" w14:textId="7777777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PCSJ-13-2017.</w:t>
      </w:r>
    </w:p>
  </w:footnote>
  <w:footnote w:id="49">
    <w:p w14:paraId="07E00340" w14:textId="18415B3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04-2018,</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845</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15</w:t>
      </w:r>
      <w:r>
        <w:rPr>
          <w:color w:val="000000" w:themeColor="text1"/>
          <w:lang w:val="fr-FR"/>
        </w:rPr>
        <w:t> </w:t>
      </w:r>
      <w:r w:rsidRPr="0021688E">
        <w:rPr>
          <w:color w:val="000000" w:themeColor="text1"/>
          <w:lang w:val="fr-FR"/>
        </w:rPr>
        <w:t>janvier</w:t>
      </w:r>
      <w:r>
        <w:rPr>
          <w:color w:val="000000" w:themeColor="text1"/>
          <w:lang w:val="fr-FR"/>
        </w:rPr>
        <w:t xml:space="preserve"> </w:t>
      </w:r>
      <w:r w:rsidRPr="0021688E">
        <w:rPr>
          <w:color w:val="000000" w:themeColor="text1"/>
          <w:lang w:val="fr-FR"/>
        </w:rPr>
        <w:t>2018.</w:t>
      </w:r>
    </w:p>
  </w:footnote>
  <w:footnote w:id="50">
    <w:p w14:paraId="37E96985" w14:textId="1AC3300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FRG-011-2016,</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028.</w:t>
      </w:r>
    </w:p>
  </w:footnote>
  <w:footnote w:id="51">
    <w:p w14:paraId="1081E0CC" w14:textId="34948A3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8275A5">
        <w:rPr>
          <w:color w:val="000000" w:themeColor="text1"/>
          <w:szCs w:val="18"/>
          <w:lang w:val="fr-FR"/>
        </w:rPr>
        <w:t>223-2013,</w:t>
      </w:r>
      <w:r>
        <w:rPr>
          <w:color w:val="000000" w:themeColor="text1"/>
          <w:szCs w:val="18"/>
          <w:lang w:val="fr-FR"/>
        </w:rPr>
        <w:t xml:space="preserve"> </w:t>
      </w:r>
      <w:r w:rsidRPr="008275A5">
        <w:rPr>
          <w:color w:val="000000" w:themeColor="text1"/>
          <w:szCs w:val="18"/>
          <w:lang w:val="fr-FR"/>
        </w:rPr>
        <w:t>publié</w:t>
      </w:r>
      <w:r>
        <w:rPr>
          <w:color w:val="000000" w:themeColor="text1"/>
          <w:szCs w:val="18"/>
          <w:lang w:val="fr-FR"/>
        </w:rPr>
        <w:t xml:space="preserve"> </w:t>
      </w:r>
      <w:r w:rsidRPr="008275A5">
        <w:rPr>
          <w:color w:val="000000" w:themeColor="text1"/>
          <w:szCs w:val="18"/>
          <w:lang w:val="fr-FR"/>
        </w:rPr>
        <w:t>au</w:t>
      </w:r>
      <w:r>
        <w:rPr>
          <w:color w:val="000000" w:themeColor="text1"/>
          <w:szCs w:val="18"/>
          <w:lang w:val="fr-FR"/>
        </w:rPr>
        <w:t xml:space="preserve"> </w:t>
      </w:r>
      <w:r w:rsidRPr="008275A5">
        <w:rPr>
          <w:color w:val="000000" w:themeColor="text1"/>
          <w:szCs w:val="18"/>
          <w:lang w:val="fr-FR"/>
        </w:rPr>
        <w:t>Journal</w:t>
      </w:r>
      <w:r>
        <w:rPr>
          <w:color w:val="000000" w:themeColor="text1"/>
          <w:szCs w:val="18"/>
          <w:lang w:val="fr-FR"/>
        </w:rPr>
        <w:t xml:space="preserve"> </w:t>
      </w:r>
      <w:r w:rsidRPr="008275A5">
        <w:rPr>
          <w:color w:val="000000" w:themeColor="text1"/>
          <w:szCs w:val="18"/>
          <w:lang w:val="fr-FR"/>
        </w:rPr>
        <w:t>officiel</w:t>
      </w:r>
      <w:r>
        <w:rPr>
          <w:color w:val="000000" w:themeColor="text1"/>
          <w:szCs w:val="18"/>
          <w:lang w:val="fr-FR"/>
        </w:rPr>
        <w:t xml:space="preserve"> </w:t>
      </w:r>
      <w:r w:rsidRPr="00A74554">
        <w:rPr>
          <w:rFonts w:eastAsia="MS Mincho"/>
          <w:color w:val="000000" w:themeColor="text1"/>
          <w:szCs w:val="18"/>
          <w:lang w:val="fr-FR"/>
        </w:rPr>
        <w:t>n</w:t>
      </w:r>
      <w:r w:rsidRPr="00A74554">
        <w:rPr>
          <w:rFonts w:eastAsia="MS Mincho"/>
          <w:color w:val="000000" w:themeColor="text1"/>
          <w:szCs w:val="18"/>
          <w:vertAlign w:val="superscript"/>
          <w:lang w:val="fr-FR"/>
        </w:rPr>
        <w:t>o</w:t>
      </w:r>
      <w:r>
        <w:rPr>
          <w:color w:val="000000" w:themeColor="text1"/>
          <w:szCs w:val="18"/>
          <w:lang w:val="fr-FR"/>
        </w:rPr>
        <w:t xml:space="preserve"> </w:t>
      </w:r>
      <w:r w:rsidRPr="008275A5">
        <w:rPr>
          <w:color w:val="000000" w:themeColor="text1"/>
          <w:szCs w:val="18"/>
          <w:lang w:val="fr-FR"/>
        </w:rPr>
        <w:t>33</w:t>
      </w:r>
      <w:r w:rsidR="005F691A">
        <w:rPr>
          <w:color w:val="000000" w:themeColor="text1"/>
          <w:szCs w:val="18"/>
          <w:lang w:val="fr-FR"/>
        </w:rPr>
        <w:t> </w:t>
      </w:r>
      <w:r w:rsidRPr="008275A5">
        <w:rPr>
          <w:color w:val="000000" w:themeColor="text1"/>
          <w:szCs w:val="18"/>
          <w:lang w:val="fr-FR"/>
        </w:rPr>
        <w:t>467</w:t>
      </w:r>
      <w:r w:rsidRPr="0021688E">
        <w:rPr>
          <w:color w:val="000000" w:themeColor="text1"/>
          <w:lang w:val="fr-FR"/>
        </w:rPr>
        <w:t>.</w:t>
      </w:r>
    </w:p>
  </w:footnote>
  <w:footnote w:id="52">
    <w:p w14:paraId="61999E8A" w14:textId="517CE67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8275A5">
        <w:rPr>
          <w:color w:val="000000" w:themeColor="text1"/>
          <w:szCs w:val="18"/>
          <w:lang w:val="fr-FR"/>
        </w:rPr>
        <w:t>184-2016,</w:t>
      </w:r>
      <w:r>
        <w:rPr>
          <w:color w:val="000000" w:themeColor="text1"/>
          <w:szCs w:val="18"/>
          <w:lang w:val="fr-FR"/>
        </w:rPr>
        <w:t xml:space="preserve"> </w:t>
      </w:r>
      <w:r w:rsidRPr="008275A5">
        <w:rPr>
          <w:color w:val="000000" w:themeColor="text1"/>
          <w:szCs w:val="18"/>
          <w:lang w:val="fr-FR"/>
        </w:rPr>
        <w:t>publié</w:t>
      </w:r>
      <w:r>
        <w:rPr>
          <w:color w:val="000000" w:themeColor="text1"/>
          <w:szCs w:val="18"/>
          <w:lang w:val="fr-FR"/>
        </w:rPr>
        <w:t xml:space="preserve"> </w:t>
      </w:r>
      <w:r w:rsidRPr="008275A5">
        <w:rPr>
          <w:color w:val="000000" w:themeColor="text1"/>
          <w:szCs w:val="18"/>
          <w:lang w:val="fr-FR"/>
        </w:rPr>
        <w:t>au</w:t>
      </w:r>
      <w:r>
        <w:rPr>
          <w:color w:val="000000" w:themeColor="text1"/>
          <w:szCs w:val="18"/>
          <w:lang w:val="fr-FR"/>
        </w:rPr>
        <w:t xml:space="preserve"> </w:t>
      </w:r>
      <w:r w:rsidRPr="008275A5">
        <w:rPr>
          <w:color w:val="000000" w:themeColor="text1"/>
          <w:szCs w:val="18"/>
          <w:lang w:val="fr-FR"/>
        </w:rPr>
        <w:t>Journal</w:t>
      </w:r>
      <w:r>
        <w:rPr>
          <w:color w:val="000000" w:themeColor="text1"/>
          <w:szCs w:val="18"/>
          <w:lang w:val="fr-FR"/>
        </w:rPr>
        <w:t xml:space="preserve"> </w:t>
      </w:r>
      <w:r w:rsidRPr="008275A5">
        <w:rPr>
          <w:color w:val="000000" w:themeColor="text1"/>
          <w:szCs w:val="18"/>
          <w:lang w:val="fr-FR"/>
        </w:rPr>
        <w:t>officiel</w:t>
      </w:r>
      <w:r>
        <w:rPr>
          <w:color w:val="000000" w:themeColor="text1"/>
          <w:szCs w:val="18"/>
          <w:lang w:val="fr-FR"/>
        </w:rPr>
        <w:t xml:space="preserve"> </w:t>
      </w:r>
      <w:r w:rsidRPr="00A74554">
        <w:rPr>
          <w:rFonts w:eastAsia="MS Mincho"/>
          <w:color w:val="000000" w:themeColor="text1"/>
          <w:szCs w:val="18"/>
          <w:lang w:val="fr-FR"/>
        </w:rPr>
        <w:t>n</w:t>
      </w:r>
      <w:r w:rsidRPr="00A74554">
        <w:rPr>
          <w:rFonts w:eastAsia="MS Mincho"/>
          <w:color w:val="000000" w:themeColor="text1"/>
          <w:szCs w:val="18"/>
          <w:vertAlign w:val="superscript"/>
          <w:lang w:val="fr-FR"/>
        </w:rPr>
        <w:t>o</w:t>
      </w:r>
      <w:r>
        <w:rPr>
          <w:color w:val="000000" w:themeColor="text1"/>
          <w:szCs w:val="18"/>
          <w:lang w:val="fr-FR"/>
        </w:rPr>
        <w:t xml:space="preserve"> 34 </w:t>
      </w:r>
      <w:r w:rsidRPr="008275A5">
        <w:rPr>
          <w:color w:val="000000" w:themeColor="text1"/>
          <w:szCs w:val="18"/>
          <w:lang w:val="fr-FR"/>
        </w:rPr>
        <w:t>292.</w:t>
      </w:r>
    </w:p>
  </w:footnote>
  <w:footnote w:id="53">
    <w:p w14:paraId="5D640952" w14:textId="4E301382"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97-2017,</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473.</w:t>
      </w:r>
    </w:p>
  </w:footnote>
  <w:footnote w:id="54">
    <w:p w14:paraId="61C66BEC" w14:textId="74666F0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Décret-loi</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146-2020,</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21688E">
        <w:rPr>
          <w:color w:val="000000" w:themeColor="text1"/>
          <w:lang w:val="fr-FR"/>
        </w:rPr>
        <w:t>n</w:t>
      </w:r>
      <w:r w:rsidRPr="0021688E">
        <w:rPr>
          <w:color w:val="000000" w:themeColor="text1"/>
          <w:vertAlign w:val="superscript"/>
          <w:lang w:val="fr-FR"/>
        </w:rPr>
        <w:t>o</w:t>
      </w:r>
      <w:r>
        <w:rPr>
          <w:color w:val="000000" w:themeColor="text1"/>
          <w:lang w:val="fr-FR"/>
        </w:rPr>
        <w:t xml:space="preserve"> 35 </w:t>
      </w:r>
      <w:r w:rsidRPr="0021688E">
        <w:rPr>
          <w:color w:val="000000" w:themeColor="text1"/>
          <w:lang w:val="fr-FR"/>
        </w:rPr>
        <w:t>426.</w:t>
      </w:r>
    </w:p>
  </w:footnote>
  <w:footnote w:id="55">
    <w:p w14:paraId="14273479" w14:textId="16CC3737" w:rsidR="001A447E" w:rsidRPr="0021688E" w:rsidRDefault="001A447E" w:rsidP="00286956">
      <w:pPr>
        <w:pStyle w:val="Notedebasdepage"/>
        <w:rPr>
          <w:lang w:val="fr-FR"/>
        </w:rPr>
      </w:pPr>
      <w:r w:rsidRPr="0021688E">
        <w:rPr>
          <w:lang w:val="fr-FR"/>
        </w:rPr>
        <w:tab/>
      </w:r>
      <w:r w:rsidRPr="008516D1">
        <w:rPr>
          <w:rStyle w:val="Appelnotedebasdep"/>
        </w:rPr>
        <w:footnoteRef/>
      </w:r>
      <w:r>
        <w:rPr>
          <w:lang w:val="fr-FR"/>
        </w:rPr>
        <w:tab/>
      </w:r>
      <w:r w:rsidRPr="0021688E">
        <w:rPr>
          <w:lang w:val="fr-FR"/>
        </w:rPr>
        <w:t>Disponible</w:t>
      </w:r>
      <w:r>
        <w:rPr>
          <w:lang w:val="fr-FR"/>
        </w:rPr>
        <w:t xml:space="preserve"> </w:t>
      </w:r>
      <w:r w:rsidRPr="0021688E">
        <w:rPr>
          <w:lang w:val="fr-FR"/>
        </w:rPr>
        <w:t>sur</w:t>
      </w:r>
      <w:r>
        <w:rPr>
          <w:lang w:val="fr-FR"/>
        </w:rPr>
        <w:t xml:space="preserve"> : </w:t>
      </w:r>
      <w:hyperlink r:id="rId6" w:history="1">
        <w:r w:rsidRPr="00A74554">
          <w:rPr>
            <w:rStyle w:val="Lienhypertexte"/>
            <w:lang w:val="fr-FR"/>
          </w:rPr>
          <w:t>https://bit.ly/3hWf8fI</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25</w:t>
      </w:r>
      <w:r>
        <w:rPr>
          <w:lang w:val="fr-FR"/>
        </w:rPr>
        <w:t> </w:t>
      </w:r>
      <w:r w:rsidRPr="0021688E">
        <w:rPr>
          <w:lang w:val="fr-FR"/>
        </w:rPr>
        <w:t>mai</w:t>
      </w:r>
      <w:r>
        <w:rPr>
          <w:lang w:val="fr-FR"/>
        </w:rPr>
        <w:t xml:space="preserve"> </w:t>
      </w:r>
      <w:r w:rsidRPr="0021688E">
        <w:rPr>
          <w:lang w:val="fr-FR"/>
        </w:rPr>
        <w:t>2021</w:t>
      </w:r>
      <w:r w:rsidRPr="008275A5">
        <w:rPr>
          <w:lang w:val="fr-FR"/>
        </w:rPr>
        <w:t>).</w:t>
      </w:r>
    </w:p>
  </w:footnote>
  <w:footnote w:id="56">
    <w:p w14:paraId="3F14C379" w14:textId="35DB4E5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A74554">
        <w:t>1</w:t>
      </w:r>
      <w:r w:rsidRPr="00A74554">
        <w:rPr>
          <w:vertAlign w:val="superscript"/>
        </w:rPr>
        <w:t>er</w:t>
      </w:r>
      <w:r>
        <w:t xml:space="preserve"> </w:t>
      </w:r>
      <w:r w:rsidRPr="00A74554">
        <w:t>et</w:t>
      </w:r>
      <w:r>
        <w:rPr>
          <w:color w:val="000000" w:themeColor="text1"/>
          <w:lang w:val="fr-FR"/>
        </w:rPr>
        <w:t xml:space="preserve"> </w:t>
      </w:r>
      <w:r w:rsidRPr="0021688E">
        <w:rPr>
          <w:color w:val="000000" w:themeColor="text1"/>
          <w:lang w:val="fr-FR"/>
        </w:rPr>
        <w:t>4</w:t>
      </w:r>
      <w:r>
        <w:rPr>
          <w:color w:val="000000" w:themeColor="text1"/>
          <w:lang w:val="fr-FR"/>
        </w:rPr>
        <w:t xml:space="preserve"> </w:t>
      </w:r>
      <w:r w:rsidRPr="008275A5">
        <w:rPr>
          <w:color w:val="000000" w:themeColor="text1"/>
          <w:szCs w:val="18"/>
          <w:lang w:val="fr-FR"/>
        </w:rPr>
        <w:t>u)</w:t>
      </w:r>
      <w:r>
        <w:rPr>
          <w:color w:val="000000" w:themeColor="text1"/>
          <w:szCs w:val="18"/>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063-2015,</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A74554">
        <w:rPr>
          <w:rFonts w:eastAsia="MS Mincho"/>
          <w:color w:val="000000" w:themeColor="text1"/>
          <w:lang w:val="fr-FR"/>
        </w:rPr>
        <w:t>n</w:t>
      </w:r>
      <w:r w:rsidRPr="00A7455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33</w:t>
      </w:r>
      <w:r w:rsidR="00307F10">
        <w:rPr>
          <w:color w:val="000000" w:themeColor="text1"/>
          <w:lang w:val="fr-FR"/>
        </w:rPr>
        <w:t> </w:t>
      </w:r>
      <w:r w:rsidRPr="0021688E">
        <w:rPr>
          <w:color w:val="000000" w:themeColor="text1"/>
          <w:lang w:val="fr-FR"/>
        </w:rPr>
        <w:t>979</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8</w:t>
      </w:r>
      <w:r>
        <w:rPr>
          <w:color w:val="000000" w:themeColor="text1"/>
          <w:szCs w:val="18"/>
          <w:lang w:val="fr-FR"/>
        </w:rPr>
        <w:t> </w:t>
      </w:r>
      <w:r w:rsidRPr="0021688E">
        <w:rPr>
          <w:color w:val="000000" w:themeColor="text1"/>
          <w:lang w:val="fr-FR"/>
        </w:rPr>
        <w:t>mars</w:t>
      </w:r>
      <w:r>
        <w:rPr>
          <w:color w:val="000000" w:themeColor="text1"/>
          <w:szCs w:val="18"/>
          <w:lang w:val="fr-FR"/>
        </w:rPr>
        <w:t xml:space="preserve"> </w:t>
      </w:r>
      <w:r w:rsidRPr="0021688E">
        <w:rPr>
          <w:color w:val="000000" w:themeColor="text1"/>
          <w:lang w:val="fr-FR"/>
        </w:rPr>
        <w:t>2016.</w:t>
      </w:r>
    </w:p>
  </w:footnote>
  <w:footnote w:id="57">
    <w:p w14:paraId="1A9BD7AB" w14:textId="0B22345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7" w:history="1">
        <w:r w:rsidRPr="00A74554">
          <w:rPr>
            <w:rStyle w:val="Lienhypertexte"/>
            <w:szCs w:val="18"/>
            <w:lang w:val="fr-FR"/>
          </w:rPr>
          <w:t>https://bit.ly/2Uwx1d8</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17</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58">
    <w:p w14:paraId="67AD855F" w14:textId="6BA63E4B"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8" w:history="1">
        <w:r w:rsidRPr="00A74554">
          <w:rPr>
            <w:rStyle w:val="Lienhypertexte"/>
            <w:szCs w:val="18"/>
            <w:lang w:val="fr-FR"/>
          </w:rPr>
          <w:t>https://bit.ly/3wprWRf</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25</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59">
    <w:p w14:paraId="06E28DF1" w14:textId="6972383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9" w:history="1">
        <w:r w:rsidRPr="00ED5AA3">
          <w:rPr>
            <w:rStyle w:val="Lienhypertexte"/>
            <w:szCs w:val="18"/>
            <w:lang w:val="fr-FR"/>
          </w:rPr>
          <w:t>https://bit.ly/3dZ24oY</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18</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60">
    <w:p w14:paraId="3C6C16C4" w14:textId="3203CB3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6C630A">
        <w:rPr>
          <w:color w:val="000000" w:themeColor="text1"/>
          <w:lang w:val="fr-FR"/>
        </w:rPr>
        <w:t>sur</w:t>
      </w:r>
      <w:r>
        <w:rPr>
          <w:color w:val="000000" w:themeColor="text1"/>
          <w:lang w:val="fr-FR"/>
        </w:rPr>
        <w:t xml:space="preserve"> : </w:t>
      </w:r>
      <w:hyperlink r:id="rId10" w:history="1">
        <w:r w:rsidRPr="00ED5AA3">
          <w:rPr>
            <w:rStyle w:val="Lienhypertexte"/>
            <w:szCs w:val="18"/>
            <w:lang w:val="fr-FR"/>
          </w:rPr>
          <w:t>https://bit.ly/2UwxbRM</w:t>
        </w:r>
      </w:hyperlink>
      <w:r>
        <w:rPr>
          <w:color w:val="000000" w:themeColor="text1"/>
          <w:szCs w:val="18"/>
          <w:lang w:val="fr-FR"/>
        </w:rPr>
        <w:t xml:space="preserve"> </w:t>
      </w:r>
      <w:r w:rsidRPr="006C630A">
        <w:rPr>
          <w:color w:val="000000" w:themeColor="text1"/>
          <w:szCs w:val="18"/>
          <w:lang w:val="fr-FR"/>
        </w:rPr>
        <w:t>(consulté</w:t>
      </w:r>
      <w:r>
        <w:rPr>
          <w:color w:val="000000" w:themeColor="text1"/>
          <w:szCs w:val="18"/>
          <w:lang w:val="fr-FR"/>
        </w:rPr>
        <w:t xml:space="preserve"> </w:t>
      </w:r>
      <w:r w:rsidRPr="006C630A">
        <w:rPr>
          <w:color w:val="000000" w:themeColor="text1"/>
          <w:szCs w:val="18"/>
          <w:lang w:val="fr-FR"/>
        </w:rPr>
        <w:t>le</w:t>
      </w:r>
      <w:r>
        <w:rPr>
          <w:color w:val="000000" w:themeColor="text1"/>
          <w:szCs w:val="18"/>
          <w:lang w:val="fr-FR"/>
        </w:rPr>
        <w:t xml:space="preserve"> </w:t>
      </w:r>
      <w:r w:rsidRPr="006C630A">
        <w:rPr>
          <w:color w:val="000000" w:themeColor="text1"/>
          <w:szCs w:val="18"/>
          <w:lang w:val="fr-FR"/>
        </w:rPr>
        <w:t>21</w:t>
      </w:r>
      <w:r>
        <w:rPr>
          <w:color w:val="000000" w:themeColor="text1"/>
          <w:szCs w:val="18"/>
          <w:lang w:val="fr-FR"/>
        </w:rPr>
        <w:t> </w:t>
      </w:r>
      <w:r w:rsidRPr="006C630A">
        <w:rPr>
          <w:color w:val="000000" w:themeColor="text1"/>
          <w:szCs w:val="18"/>
          <w:lang w:val="fr-FR"/>
        </w:rPr>
        <w:t>juin</w:t>
      </w:r>
      <w:r>
        <w:rPr>
          <w:color w:val="000000" w:themeColor="text1"/>
          <w:szCs w:val="18"/>
          <w:lang w:val="fr-FR"/>
        </w:rPr>
        <w:t xml:space="preserve"> </w:t>
      </w:r>
      <w:r w:rsidRPr="006C630A">
        <w:rPr>
          <w:color w:val="000000" w:themeColor="text1"/>
          <w:szCs w:val="18"/>
          <w:lang w:val="fr-FR"/>
        </w:rPr>
        <w:t>2021)</w:t>
      </w:r>
      <w:r w:rsidRPr="006C630A">
        <w:rPr>
          <w:color w:val="000000" w:themeColor="text1"/>
          <w:lang w:val="fr-FR"/>
        </w:rPr>
        <w:t>.</w:t>
      </w:r>
    </w:p>
  </w:footnote>
  <w:footnote w:id="61">
    <w:p w14:paraId="19B22A3B" w14:textId="7777777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w:t>
      </w:r>
      <w:r>
        <w:rPr>
          <w:color w:val="000000" w:themeColor="text1"/>
          <w:lang w:val="fr-FR"/>
        </w:rPr>
        <w:t>’</w:t>
      </w:r>
      <w:r w:rsidRPr="0021688E">
        <w:rPr>
          <w:color w:val="000000" w:themeColor="text1"/>
          <w:lang w:val="fr-FR"/>
        </w:rPr>
        <w:t>après</w:t>
      </w:r>
      <w:r>
        <w:rPr>
          <w:color w:val="000000" w:themeColor="text1"/>
          <w:lang w:val="fr-FR"/>
        </w:rPr>
        <w:t xml:space="preserve"> </w:t>
      </w:r>
      <w:r w:rsidRPr="0021688E">
        <w:rPr>
          <w:color w:val="000000" w:themeColor="text1"/>
          <w:lang w:val="fr-FR"/>
        </w:rPr>
        <w:t>les</w:t>
      </w:r>
      <w:r>
        <w:rPr>
          <w:color w:val="000000" w:themeColor="text1"/>
          <w:lang w:val="fr-FR"/>
        </w:rPr>
        <w:t xml:space="preserve"> </w:t>
      </w:r>
      <w:r w:rsidRPr="0021688E">
        <w:rPr>
          <w:color w:val="000000" w:themeColor="text1"/>
          <w:lang w:val="fr-FR"/>
        </w:rPr>
        <w:t>rapports</w:t>
      </w:r>
      <w:r>
        <w:rPr>
          <w:color w:val="000000" w:themeColor="text1"/>
          <w:lang w:val="fr-FR"/>
        </w:rPr>
        <w:t xml:space="preserve"> </w:t>
      </w:r>
      <w:r w:rsidRPr="0021688E">
        <w:rPr>
          <w:color w:val="000000" w:themeColor="text1"/>
          <w:lang w:val="fr-FR"/>
        </w:rPr>
        <w:t>annuels</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Commissariat</w:t>
      </w:r>
      <w:r>
        <w:rPr>
          <w:color w:val="000000" w:themeColor="text1"/>
          <w:lang w:val="fr-FR"/>
        </w:rPr>
        <w:t xml:space="preserve"> </w:t>
      </w:r>
      <w:r w:rsidRPr="0021688E">
        <w:rPr>
          <w:color w:val="000000" w:themeColor="text1"/>
          <w:lang w:val="fr-FR"/>
        </w:rPr>
        <w:t>national</w:t>
      </w:r>
      <w:r>
        <w:rPr>
          <w:color w:val="000000" w:themeColor="text1"/>
          <w:lang w:val="fr-FR"/>
        </w:rPr>
        <w:t xml:space="preserve"> </w:t>
      </w:r>
      <w:r w:rsidRPr="0021688E">
        <w:rPr>
          <w:color w:val="000000" w:themeColor="text1"/>
          <w:lang w:val="fr-FR"/>
        </w:rPr>
        <w:t>aux</w:t>
      </w:r>
      <w:r>
        <w:rPr>
          <w:color w:val="000000" w:themeColor="text1"/>
          <w:lang w:val="fr-FR"/>
        </w:rPr>
        <w:t xml:space="preserve"> </w:t>
      </w:r>
      <w:r w:rsidRPr="0021688E">
        <w:rPr>
          <w:color w:val="000000" w:themeColor="text1"/>
          <w:lang w:val="fr-FR"/>
        </w:rPr>
        <w:t>droits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homme.</w:t>
      </w:r>
    </w:p>
  </w:footnote>
  <w:footnote w:id="62">
    <w:p w14:paraId="630AE8C8" w14:textId="3785D1AF"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1" w:history="1">
        <w:r w:rsidRPr="00ED5AA3">
          <w:rPr>
            <w:rStyle w:val="Lienhypertexte"/>
            <w:szCs w:val="18"/>
            <w:lang w:val="fr-FR"/>
          </w:rPr>
          <w:t>https://bit.ly/3hROkgD</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18</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Pr>
          <w:color w:val="000000" w:themeColor="text1"/>
          <w:lang w:val="fr-FR"/>
        </w:rPr>
        <w:t>.</w:t>
      </w:r>
    </w:p>
  </w:footnote>
  <w:footnote w:id="63">
    <w:p w14:paraId="34912835" w14:textId="34B732D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2" w:history="1">
        <w:r w:rsidRPr="00ED5AA3">
          <w:rPr>
            <w:rStyle w:val="Lienhypertexte"/>
            <w:szCs w:val="18"/>
            <w:lang w:val="fr-FR"/>
          </w:rPr>
          <w:t>https://bit.ly/3k2KPqk</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26</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64">
    <w:p w14:paraId="3FC05424" w14:textId="6EBB288A"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3" w:history="1">
        <w:r w:rsidRPr="00ED5AA3">
          <w:rPr>
            <w:rStyle w:val="Lienhypertexte"/>
            <w:szCs w:val="18"/>
            <w:lang w:val="fr-FR"/>
          </w:rPr>
          <w:t>https://bit.ly/3wwkxj5</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20</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Pr>
          <w:lang w:val="fr-FR"/>
        </w:rPr>
        <w:t>.</w:t>
      </w:r>
    </w:p>
  </w:footnote>
  <w:footnote w:id="65">
    <w:p w14:paraId="5068CF94" w14:textId="607E3A04"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4" w:history="1">
        <w:r w:rsidRPr="00ED5AA3">
          <w:rPr>
            <w:rStyle w:val="Lienhypertexte"/>
            <w:szCs w:val="18"/>
            <w:lang w:val="fr-FR"/>
          </w:rPr>
          <w:t>https://bit.ly/3wwkxj5</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3</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66">
    <w:p w14:paraId="5FF04D2F" w14:textId="41A5F7CB" w:rsidR="001A447E" w:rsidRPr="008275A5"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15" w:history="1">
        <w:r w:rsidRPr="00ED5AA3">
          <w:rPr>
            <w:rStyle w:val="Lienhypertexte"/>
            <w:lang w:val="fr-FR"/>
          </w:rPr>
          <w:t>https://bit.ly/3yFqNq7</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21</w:t>
      </w:r>
      <w:r>
        <w:rPr>
          <w:lang w:val="fr-FR"/>
        </w:rPr>
        <w:t> </w:t>
      </w:r>
      <w:r w:rsidRPr="0021688E">
        <w:rPr>
          <w:lang w:val="fr-FR"/>
        </w:rPr>
        <w:t>juin</w:t>
      </w:r>
      <w:r>
        <w:rPr>
          <w:lang w:val="fr-FR"/>
        </w:rPr>
        <w:t xml:space="preserve"> </w:t>
      </w:r>
      <w:r w:rsidRPr="0021688E">
        <w:rPr>
          <w:lang w:val="fr-FR"/>
        </w:rPr>
        <w:t>2021</w:t>
      </w:r>
      <w:r w:rsidRPr="008275A5">
        <w:rPr>
          <w:lang w:val="fr-FR"/>
        </w:rPr>
        <w:t>).</w:t>
      </w:r>
    </w:p>
  </w:footnote>
  <w:footnote w:id="67">
    <w:p w14:paraId="20CDFDE9" w14:textId="408A4BD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6" w:history="1">
        <w:r w:rsidRPr="00ED5AA3">
          <w:rPr>
            <w:rStyle w:val="Lienhypertexte"/>
            <w:szCs w:val="18"/>
            <w:lang w:val="fr-FR"/>
          </w:rPr>
          <w:t>https://bit.ly/3e4Tm8q</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16</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68">
    <w:p w14:paraId="19929476" w14:textId="7DE8CFD0" w:rsidR="001A447E" w:rsidRPr="008275A5" w:rsidRDefault="001A447E" w:rsidP="00286956">
      <w:pPr>
        <w:pStyle w:val="Notedebasdepage"/>
        <w:rPr>
          <w:lang w:val="fr-FR"/>
        </w:rPr>
      </w:pPr>
      <w:r w:rsidRPr="008275A5">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17" w:history="1">
        <w:r w:rsidRPr="00ED5AA3">
          <w:rPr>
            <w:rStyle w:val="Lienhypertexte"/>
            <w:lang w:val="fr-FR"/>
          </w:rPr>
          <w:t>https://bit.ly/3qXsJHM</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16</w:t>
      </w:r>
      <w:r>
        <w:rPr>
          <w:lang w:val="fr-FR"/>
        </w:rPr>
        <w:t> </w:t>
      </w:r>
      <w:r w:rsidRPr="0021688E">
        <w:rPr>
          <w:lang w:val="fr-FR"/>
        </w:rPr>
        <w:t>juin</w:t>
      </w:r>
      <w:r>
        <w:rPr>
          <w:lang w:val="fr-FR"/>
        </w:rPr>
        <w:t xml:space="preserve"> </w:t>
      </w:r>
      <w:r w:rsidRPr="0021688E">
        <w:rPr>
          <w:lang w:val="fr-FR"/>
        </w:rPr>
        <w:t>2021</w:t>
      </w:r>
      <w:r w:rsidRPr="008275A5">
        <w:rPr>
          <w:lang w:val="fr-FR"/>
        </w:rPr>
        <w:t>).</w:t>
      </w:r>
    </w:p>
  </w:footnote>
  <w:footnote w:id="69">
    <w:p w14:paraId="27562AEA" w14:textId="5F326A91" w:rsidR="001A447E" w:rsidRPr="00ED5AA3" w:rsidRDefault="001A447E" w:rsidP="00286956">
      <w:pPr>
        <w:pStyle w:val="Notedebasdepage"/>
        <w:rPr>
          <w:color w:val="000000" w:themeColor="text1"/>
          <w:szCs w:val="18"/>
          <w:lang w:val="fr-FR"/>
        </w:rPr>
      </w:pPr>
      <w:r w:rsidRPr="008275A5">
        <w:rPr>
          <w:lang w:val="fr-FR"/>
        </w:rPr>
        <w:tab/>
      </w:r>
      <w:r w:rsidRPr="008516D1">
        <w:rPr>
          <w:rStyle w:val="Appelnotedebasdep"/>
        </w:rPr>
        <w:footnoteRef/>
      </w:r>
      <w:r w:rsidRPr="008275A5">
        <w:rPr>
          <w:color w:val="000000" w:themeColor="text1"/>
          <w:szCs w:val="18"/>
          <w:lang w:val="fr-FR"/>
        </w:rPr>
        <w:tab/>
        <w:t>Disponible</w:t>
      </w:r>
      <w:r>
        <w:rPr>
          <w:color w:val="000000" w:themeColor="text1"/>
          <w:szCs w:val="18"/>
          <w:lang w:val="fr-FR"/>
        </w:rPr>
        <w:t xml:space="preserve"> </w:t>
      </w:r>
      <w:r w:rsidRPr="008275A5">
        <w:rPr>
          <w:color w:val="000000" w:themeColor="text1"/>
          <w:szCs w:val="18"/>
          <w:lang w:val="fr-FR"/>
        </w:rPr>
        <w:t>sur</w:t>
      </w:r>
      <w:r>
        <w:rPr>
          <w:color w:val="000000" w:themeColor="text1"/>
          <w:szCs w:val="18"/>
          <w:lang w:val="fr-FR"/>
        </w:rPr>
        <w:t xml:space="preserve"> : </w:t>
      </w:r>
      <w:hyperlink r:id="rId18" w:history="1">
        <w:r w:rsidRPr="00ED5AA3">
          <w:rPr>
            <w:rStyle w:val="Lienhypertexte"/>
            <w:szCs w:val="18"/>
            <w:lang w:val="fr-FR"/>
          </w:rPr>
          <w:t>https://t.co/ITwOSES880</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24</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p>
  </w:footnote>
  <w:footnote w:id="70">
    <w:p w14:paraId="2FB927C1" w14:textId="6AB6B823"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19" w:history="1">
        <w:r w:rsidRPr="00ED5AA3">
          <w:rPr>
            <w:rStyle w:val="Lienhypertexte"/>
            <w:szCs w:val="18"/>
            <w:lang w:val="fr-FR"/>
          </w:rPr>
          <w:t>https://bit.ly/3hQhjle</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24</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71">
    <w:p w14:paraId="6D36DB4C" w14:textId="41147496"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16,</w:t>
      </w:r>
      <w:r>
        <w:rPr>
          <w:color w:val="000000" w:themeColor="text1"/>
          <w:lang w:val="fr-FR"/>
        </w:rPr>
        <w:t xml:space="preserve"> </w:t>
      </w:r>
      <w:r w:rsidRPr="0021688E">
        <w:rPr>
          <w:color w:val="000000" w:themeColor="text1"/>
          <w:lang w:val="fr-FR"/>
        </w:rPr>
        <w:t>17,</w:t>
      </w:r>
      <w:r>
        <w:rPr>
          <w:color w:val="000000" w:themeColor="text1"/>
          <w:lang w:val="fr-FR"/>
        </w:rPr>
        <w:t xml:space="preserve"> </w:t>
      </w:r>
      <w:r w:rsidRPr="0021688E">
        <w:rPr>
          <w:color w:val="000000" w:themeColor="text1"/>
          <w:lang w:val="fr-FR"/>
        </w:rPr>
        <w:t>3</w:t>
      </w:r>
      <w:r>
        <w:rPr>
          <w:color w:val="000000" w:themeColor="text1"/>
          <w:lang w:val="fr-FR"/>
        </w:rPr>
        <w:t>34 </w:t>
      </w:r>
      <w:r w:rsidRPr="0021688E">
        <w:rPr>
          <w:color w:val="000000" w:themeColor="text1"/>
          <w:lang w:val="fr-FR"/>
        </w:rPr>
        <w:t>(</w:t>
      </w:r>
      <w:r>
        <w:rPr>
          <w:color w:val="000000" w:themeColor="text1"/>
          <w:lang w:val="fr-FR"/>
        </w:rPr>
        <w:t>par. </w:t>
      </w:r>
      <w:r w:rsidRPr="0021688E">
        <w:rPr>
          <w:color w:val="000000" w:themeColor="text1"/>
          <w:lang w:val="fr-FR"/>
        </w:rPr>
        <w:t>5)</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384</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procédure</w:t>
      </w:r>
      <w:r>
        <w:rPr>
          <w:color w:val="000000" w:themeColor="text1"/>
          <w:lang w:val="fr-FR"/>
        </w:rPr>
        <w:t xml:space="preserve"> </w:t>
      </w:r>
      <w:r w:rsidRPr="0021688E">
        <w:rPr>
          <w:color w:val="000000" w:themeColor="text1"/>
          <w:lang w:val="fr-FR"/>
        </w:rPr>
        <w:t>pénale.</w:t>
      </w:r>
    </w:p>
  </w:footnote>
  <w:footnote w:id="72">
    <w:p w14:paraId="6C87D7AF" w14:textId="7DACBCC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16</w:t>
      </w:r>
      <w:r>
        <w:rPr>
          <w:color w:val="000000" w:themeColor="text1"/>
          <w:lang w:val="fr-FR"/>
        </w:rPr>
        <w:t xml:space="preserve"> </w:t>
      </w:r>
      <w:r w:rsidRPr="0021688E">
        <w:rPr>
          <w:color w:val="000000" w:themeColor="text1"/>
          <w:lang w:val="fr-FR"/>
        </w:rPr>
        <w:t>(</w:t>
      </w:r>
      <w:r>
        <w:rPr>
          <w:color w:val="000000" w:themeColor="text1"/>
          <w:lang w:val="fr-FR"/>
        </w:rPr>
        <w:t>par. </w:t>
      </w:r>
      <w:r w:rsidRPr="0021688E">
        <w:rPr>
          <w:color w:val="000000" w:themeColor="text1"/>
          <w:lang w:val="fr-FR"/>
        </w:rPr>
        <w:t>1)</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procédure</w:t>
      </w:r>
      <w:r>
        <w:rPr>
          <w:color w:val="000000" w:themeColor="text1"/>
          <w:lang w:val="fr-FR"/>
        </w:rPr>
        <w:t xml:space="preserve"> </w:t>
      </w:r>
      <w:r w:rsidRPr="0021688E">
        <w:rPr>
          <w:color w:val="000000" w:themeColor="text1"/>
          <w:lang w:val="fr-FR"/>
        </w:rPr>
        <w:t>pénale.</w:t>
      </w:r>
    </w:p>
  </w:footnote>
  <w:footnote w:id="73">
    <w:p w14:paraId="326A5620" w14:textId="5CF2E9D7" w:rsidR="001A447E" w:rsidRPr="008275A5"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Art</w:t>
      </w:r>
      <w:r>
        <w:rPr>
          <w:lang w:val="fr-FR"/>
        </w:rPr>
        <w:t>. </w:t>
      </w:r>
      <w:r w:rsidRPr="0021688E">
        <w:rPr>
          <w:lang w:val="fr-FR"/>
        </w:rPr>
        <w:t>172</w:t>
      </w:r>
      <w:r>
        <w:rPr>
          <w:lang w:val="fr-FR"/>
        </w:rPr>
        <w:t xml:space="preserve"> </w:t>
      </w:r>
      <w:r w:rsidRPr="0021688E">
        <w:rPr>
          <w:lang w:val="fr-FR"/>
        </w:rPr>
        <w:t>et</w:t>
      </w:r>
      <w:r>
        <w:rPr>
          <w:lang w:val="fr-FR"/>
        </w:rPr>
        <w:t xml:space="preserve"> </w:t>
      </w:r>
      <w:r w:rsidRPr="0021688E">
        <w:rPr>
          <w:lang w:val="fr-FR"/>
        </w:rPr>
        <w:t>173</w:t>
      </w:r>
      <w:r>
        <w:rPr>
          <w:lang w:val="fr-FR"/>
        </w:rPr>
        <w:t xml:space="preserve"> </w:t>
      </w:r>
      <w:r w:rsidRPr="0021688E">
        <w:rPr>
          <w:lang w:val="fr-FR"/>
        </w:rPr>
        <w:t>du</w:t>
      </w:r>
      <w:r>
        <w:rPr>
          <w:lang w:val="fr-FR"/>
        </w:rPr>
        <w:t xml:space="preserve"> </w:t>
      </w:r>
      <w:r w:rsidRPr="0021688E">
        <w:rPr>
          <w:lang w:val="fr-FR"/>
        </w:rPr>
        <w:t>Code</w:t>
      </w:r>
      <w:r>
        <w:rPr>
          <w:lang w:val="fr-FR"/>
        </w:rPr>
        <w:t xml:space="preserve"> </w:t>
      </w:r>
      <w:r w:rsidRPr="0021688E">
        <w:rPr>
          <w:lang w:val="fr-FR"/>
        </w:rPr>
        <w:t>de</w:t>
      </w:r>
      <w:r>
        <w:rPr>
          <w:lang w:val="fr-FR"/>
        </w:rPr>
        <w:t xml:space="preserve"> </w:t>
      </w:r>
      <w:r w:rsidRPr="0021688E">
        <w:rPr>
          <w:lang w:val="fr-FR"/>
        </w:rPr>
        <w:t>procédure</w:t>
      </w:r>
      <w:r>
        <w:rPr>
          <w:lang w:val="fr-FR"/>
        </w:rPr>
        <w:t xml:space="preserve"> </w:t>
      </w:r>
      <w:r w:rsidRPr="0021688E">
        <w:rPr>
          <w:lang w:val="fr-FR"/>
        </w:rPr>
        <w:t>pénale.</w:t>
      </w:r>
    </w:p>
  </w:footnote>
  <w:footnote w:id="74">
    <w:p w14:paraId="3476E5B7" w14:textId="652AC5F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Pr="00ED5AA3">
        <w:rPr>
          <w:rFonts w:eastAsia="MS Mincho"/>
          <w:color w:val="000000" w:themeColor="text1"/>
          <w:lang w:val="fr-FR"/>
        </w:rPr>
        <w:t>n</w:t>
      </w:r>
      <w:r w:rsidRPr="00ED5AA3">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59-2016,</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ED5AA3">
        <w:rPr>
          <w:rFonts w:eastAsia="MS Mincho"/>
          <w:color w:val="000000" w:themeColor="text1"/>
          <w:lang w:val="fr-FR"/>
        </w:rPr>
        <w:t>n</w:t>
      </w:r>
      <w:r w:rsidRPr="00ED5AA3">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117.</w:t>
      </w:r>
    </w:p>
  </w:footnote>
  <w:footnote w:id="75">
    <w:p w14:paraId="50575A06" w14:textId="427159EB"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0" w:history="1">
        <w:r w:rsidRPr="00ED5AA3">
          <w:rPr>
            <w:rStyle w:val="Lienhypertexte"/>
            <w:szCs w:val="18"/>
            <w:lang w:val="fr-FR"/>
          </w:rPr>
          <w:t>https://bit.ly/3r3GuVp</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sidRPr="0021688E">
        <w:rPr>
          <w:color w:val="000000" w:themeColor="text1"/>
          <w:lang w:val="fr-FR"/>
        </w:rPr>
        <w:t>.</w:t>
      </w:r>
    </w:p>
  </w:footnote>
  <w:footnote w:id="76">
    <w:p w14:paraId="42256907" w14:textId="705290EB"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21688E">
        <w:rPr>
          <w:color w:val="000000" w:themeColor="text1"/>
          <w:lang w:val="fr-FR"/>
        </w:rPr>
        <w:t>PCSJ</w:t>
      </w:r>
      <w:r>
        <w:rPr>
          <w:color w:val="000000" w:themeColor="text1"/>
          <w:lang w:val="fr-FR"/>
        </w:rPr>
        <w:t xml:space="preserve"> </w:t>
      </w:r>
      <w:r w:rsidRPr="0021688E">
        <w:rPr>
          <w:color w:val="000000" w:themeColor="text1"/>
          <w:lang w:val="fr-FR"/>
        </w:rPr>
        <w:t>12-2018,</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ED5AA3">
        <w:rPr>
          <w:rFonts w:eastAsia="MS Mincho"/>
          <w:color w:val="000000" w:themeColor="text1"/>
          <w:lang w:val="fr-FR"/>
        </w:rPr>
        <w:t>n</w:t>
      </w:r>
      <w:r w:rsidRPr="00ED5AA3">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645.</w:t>
      </w:r>
    </w:p>
  </w:footnote>
  <w:footnote w:id="77">
    <w:p w14:paraId="303B0B02" w14:textId="2DFB0B9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Décret</w:t>
      </w:r>
      <w:r>
        <w:rPr>
          <w:color w:val="000000" w:themeColor="text1"/>
          <w:lang w:val="fr-FR"/>
        </w:rPr>
        <w:t xml:space="preserve"> </w:t>
      </w:r>
      <w:r w:rsidRPr="0021688E">
        <w:rPr>
          <w:color w:val="000000" w:themeColor="text1"/>
          <w:lang w:val="fr-FR"/>
        </w:rPr>
        <w:t>exécutif</w:t>
      </w:r>
      <w:r>
        <w:rPr>
          <w:color w:val="000000" w:themeColor="text1"/>
          <w:lang w:val="fr-FR"/>
        </w:rPr>
        <w:t xml:space="preserve"> </w:t>
      </w:r>
      <w:r w:rsidR="00301C05" w:rsidRPr="00301C05">
        <w:rPr>
          <w:rFonts w:eastAsia="MS Mincho"/>
          <w:color w:val="000000" w:themeColor="text1"/>
          <w:lang w:val="fr-FR"/>
        </w:rPr>
        <w:t>n</w:t>
      </w:r>
      <w:r w:rsidR="00301C05" w:rsidRPr="00301C05">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PCM-038-2015,</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ED5AA3">
        <w:rPr>
          <w:rFonts w:eastAsia="MS Mincho"/>
          <w:color w:val="000000" w:themeColor="text1"/>
          <w:lang w:val="fr-FR"/>
        </w:rPr>
        <w:t>n</w:t>
      </w:r>
      <w:r w:rsidRPr="00ED5AA3">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33</w:t>
      </w:r>
      <w:r>
        <w:rPr>
          <w:color w:val="000000" w:themeColor="text1"/>
          <w:lang w:val="fr-FR"/>
        </w:rPr>
        <w:t> </w:t>
      </w:r>
      <w:r w:rsidRPr="0021688E">
        <w:rPr>
          <w:color w:val="000000" w:themeColor="text1"/>
          <w:lang w:val="fr-FR"/>
        </w:rPr>
        <w:t>801.</w:t>
      </w:r>
    </w:p>
  </w:footnote>
  <w:footnote w:id="78">
    <w:p w14:paraId="642220EB" w14:textId="53B7BFCB" w:rsidR="001A447E" w:rsidRPr="0021688E" w:rsidRDefault="001A447E" w:rsidP="00286956">
      <w:pPr>
        <w:pStyle w:val="Notedebasdepage"/>
        <w:rPr>
          <w:color w:val="000000" w:themeColor="text1"/>
          <w:lang w:val="fr-FR"/>
        </w:rPr>
      </w:pPr>
      <w:r w:rsidRPr="007B3C9C">
        <w:rPr>
          <w:lang w:val="fr-FR"/>
        </w:rPr>
        <w:tab/>
      </w:r>
      <w:r w:rsidRPr="008516D1">
        <w:rPr>
          <w:rStyle w:val="Appelnotedebasdep"/>
        </w:rPr>
        <w:footnoteRef/>
      </w:r>
      <w:r w:rsidRPr="007B3C9C">
        <w:rPr>
          <w:color w:val="000000" w:themeColor="text1"/>
          <w:szCs w:val="18"/>
          <w:lang w:val="fr-FR"/>
        </w:rPr>
        <w:tab/>
        <w:t>Disponible</w:t>
      </w:r>
      <w:r>
        <w:rPr>
          <w:color w:val="000000" w:themeColor="text1"/>
          <w:szCs w:val="18"/>
          <w:lang w:val="fr-FR"/>
        </w:rPr>
        <w:t xml:space="preserve"> </w:t>
      </w:r>
      <w:r w:rsidRPr="007B3C9C">
        <w:rPr>
          <w:color w:val="000000" w:themeColor="text1"/>
          <w:szCs w:val="18"/>
          <w:lang w:val="fr-FR"/>
        </w:rPr>
        <w:t>sur</w:t>
      </w:r>
      <w:r>
        <w:rPr>
          <w:color w:val="000000" w:themeColor="text1"/>
          <w:szCs w:val="18"/>
          <w:lang w:val="fr-FR"/>
        </w:rPr>
        <w:t xml:space="preserve"> : </w:t>
      </w:r>
      <w:hyperlink r:id="rId21" w:history="1">
        <w:r w:rsidRPr="00ED5AA3">
          <w:rPr>
            <w:rStyle w:val="Lienhypertexte"/>
            <w:szCs w:val="18"/>
            <w:lang w:val="fr-FR"/>
          </w:rPr>
          <w:t>https://bit.ly/3dY4NPi</w:t>
        </w:r>
      </w:hyperlink>
      <w:r>
        <w:rPr>
          <w:color w:val="000000" w:themeColor="text1"/>
          <w:szCs w:val="18"/>
          <w:lang w:val="fr-FR"/>
        </w:rPr>
        <w:t xml:space="preserve"> </w:t>
      </w:r>
      <w:r w:rsidRPr="007B3C9C">
        <w:rPr>
          <w:color w:val="000000" w:themeColor="text1"/>
          <w:szCs w:val="18"/>
          <w:lang w:val="fr-FR"/>
        </w:rPr>
        <w:t>(consulté</w:t>
      </w:r>
      <w:r>
        <w:rPr>
          <w:color w:val="000000" w:themeColor="text1"/>
          <w:szCs w:val="18"/>
          <w:lang w:val="fr-FR"/>
        </w:rPr>
        <w:t xml:space="preserve"> </w:t>
      </w:r>
      <w:r w:rsidRPr="007B3C9C">
        <w:rPr>
          <w:color w:val="000000" w:themeColor="text1"/>
          <w:szCs w:val="18"/>
          <w:lang w:val="fr-FR"/>
        </w:rPr>
        <w:t>le</w:t>
      </w:r>
      <w:r>
        <w:rPr>
          <w:color w:val="000000" w:themeColor="text1"/>
          <w:szCs w:val="18"/>
          <w:lang w:val="fr-FR"/>
        </w:rPr>
        <w:t xml:space="preserve"> </w:t>
      </w:r>
      <w:r w:rsidRPr="007B3C9C">
        <w:rPr>
          <w:color w:val="000000" w:themeColor="text1"/>
          <w:szCs w:val="18"/>
          <w:lang w:val="fr-FR"/>
        </w:rPr>
        <w:t>20</w:t>
      </w:r>
      <w:r>
        <w:rPr>
          <w:color w:val="000000" w:themeColor="text1"/>
          <w:szCs w:val="18"/>
          <w:lang w:val="fr-FR"/>
        </w:rPr>
        <w:t> </w:t>
      </w:r>
      <w:r w:rsidRPr="007B3C9C">
        <w:rPr>
          <w:color w:val="000000" w:themeColor="text1"/>
          <w:szCs w:val="18"/>
          <w:lang w:val="fr-FR"/>
        </w:rPr>
        <w:t>mai</w:t>
      </w:r>
      <w:r>
        <w:rPr>
          <w:color w:val="000000" w:themeColor="text1"/>
          <w:szCs w:val="18"/>
          <w:lang w:val="fr-FR"/>
        </w:rPr>
        <w:t xml:space="preserve"> </w:t>
      </w:r>
      <w:r w:rsidRPr="007B3C9C">
        <w:rPr>
          <w:color w:val="000000" w:themeColor="text1"/>
          <w:szCs w:val="18"/>
          <w:lang w:val="fr-FR"/>
        </w:rPr>
        <w:t>2021).</w:t>
      </w:r>
    </w:p>
  </w:footnote>
  <w:footnote w:id="79">
    <w:p w14:paraId="0C55C55F" w14:textId="1125C2AF"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2" w:history="1">
        <w:r w:rsidRPr="00ED5AA3">
          <w:rPr>
            <w:rStyle w:val="Lienhypertexte"/>
            <w:lang w:val="fr-FR"/>
          </w:rPr>
          <w:t>https://bit.ly/3AOhGW4</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21</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80">
    <w:p w14:paraId="51817380" w14:textId="53CA54B2" w:rsidR="001A447E" w:rsidRPr="008275A5"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r>
      <w:r w:rsidRPr="0021688E">
        <w:rPr>
          <w:color w:val="000000" w:themeColor="text1"/>
          <w:lang w:val="fr-FR"/>
        </w:rPr>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3" w:history="1">
        <w:r w:rsidRPr="00ED5AA3">
          <w:rPr>
            <w:rStyle w:val="Lienhypertexte"/>
            <w:lang w:val="fr-FR"/>
          </w:rPr>
          <w:t>https://bit.ly/3AOhGW4</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21</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81">
    <w:p w14:paraId="6E38D2DC" w14:textId="2D773853" w:rsidR="001A447E" w:rsidRPr="0021688E" w:rsidRDefault="001A447E" w:rsidP="00286956">
      <w:pPr>
        <w:pStyle w:val="Notedebasdepage"/>
        <w:rPr>
          <w:color w:val="000000" w:themeColor="text1"/>
          <w:lang w:val="fr-FR"/>
        </w:rPr>
      </w:pPr>
      <w:r w:rsidRPr="007B3C9C">
        <w:rPr>
          <w:lang w:val="fr-FR"/>
        </w:rPr>
        <w:tab/>
      </w:r>
      <w:r w:rsidRPr="008516D1">
        <w:rPr>
          <w:rStyle w:val="Appelnotedebasdep"/>
        </w:rPr>
        <w:footnoteRef/>
      </w:r>
      <w:r w:rsidRPr="007B3C9C">
        <w:rPr>
          <w:color w:val="000000" w:themeColor="text1"/>
          <w:szCs w:val="18"/>
          <w:lang w:val="fr-FR"/>
        </w:rPr>
        <w:tab/>
        <w:t>Disponible</w:t>
      </w:r>
      <w:r>
        <w:rPr>
          <w:color w:val="000000" w:themeColor="text1"/>
          <w:szCs w:val="18"/>
          <w:lang w:val="fr-FR"/>
        </w:rPr>
        <w:t xml:space="preserve"> </w:t>
      </w:r>
      <w:r w:rsidRPr="007B3C9C">
        <w:rPr>
          <w:color w:val="000000" w:themeColor="text1"/>
          <w:szCs w:val="18"/>
          <w:lang w:val="fr-FR"/>
        </w:rPr>
        <w:t>sur</w:t>
      </w:r>
      <w:r>
        <w:rPr>
          <w:color w:val="000000" w:themeColor="text1"/>
          <w:szCs w:val="18"/>
          <w:lang w:val="fr-FR"/>
        </w:rPr>
        <w:t xml:space="preserve"> : </w:t>
      </w:r>
      <w:hyperlink r:id="rId24" w:history="1">
        <w:r w:rsidRPr="00EE63B9">
          <w:rPr>
            <w:rStyle w:val="Lienhypertexte"/>
            <w:szCs w:val="18"/>
            <w:lang w:val="fr-FR"/>
          </w:rPr>
          <w:t>https://bit.ly/3e4nn8B</w:t>
        </w:r>
      </w:hyperlink>
      <w:r>
        <w:rPr>
          <w:color w:val="000000" w:themeColor="text1"/>
          <w:szCs w:val="18"/>
          <w:lang w:val="fr-FR"/>
        </w:rPr>
        <w:t xml:space="preserve"> </w:t>
      </w:r>
      <w:r w:rsidRPr="007B3C9C">
        <w:rPr>
          <w:color w:val="000000" w:themeColor="text1"/>
          <w:szCs w:val="18"/>
          <w:lang w:val="fr-FR"/>
        </w:rPr>
        <w:t>(consulté</w:t>
      </w:r>
      <w:r>
        <w:rPr>
          <w:color w:val="000000" w:themeColor="text1"/>
          <w:szCs w:val="18"/>
          <w:lang w:val="fr-FR"/>
        </w:rPr>
        <w:t xml:space="preserve"> </w:t>
      </w:r>
      <w:r w:rsidRPr="007B3C9C">
        <w:rPr>
          <w:color w:val="000000" w:themeColor="text1"/>
          <w:szCs w:val="18"/>
          <w:lang w:val="fr-FR"/>
        </w:rPr>
        <w:t>le</w:t>
      </w:r>
      <w:r>
        <w:rPr>
          <w:color w:val="000000" w:themeColor="text1"/>
          <w:szCs w:val="18"/>
          <w:lang w:val="fr-FR"/>
        </w:rPr>
        <w:t xml:space="preserve"> </w:t>
      </w:r>
      <w:r w:rsidRPr="007B3C9C">
        <w:rPr>
          <w:color w:val="000000" w:themeColor="text1"/>
          <w:szCs w:val="18"/>
          <w:lang w:val="fr-FR"/>
        </w:rPr>
        <w:t>17</w:t>
      </w:r>
      <w:r>
        <w:rPr>
          <w:color w:val="000000" w:themeColor="text1"/>
          <w:szCs w:val="18"/>
          <w:lang w:val="fr-FR"/>
        </w:rPr>
        <w:t> </w:t>
      </w:r>
      <w:r w:rsidRPr="007B3C9C">
        <w:rPr>
          <w:color w:val="000000" w:themeColor="text1"/>
          <w:szCs w:val="18"/>
          <w:lang w:val="fr-FR"/>
        </w:rPr>
        <w:t>juin</w:t>
      </w:r>
      <w:r>
        <w:rPr>
          <w:color w:val="000000" w:themeColor="text1"/>
          <w:szCs w:val="18"/>
          <w:lang w:val="fr-FR"/>
        </w:rPr>
        <w:t xml:space="preserve"> </w:t>
      </w:r>
      <w:r w:rsidRPr="007B3C9C">
        <w:rPr>
          <w:color w:val="000000" w:themeColor="text1"/>
          <w:szCs w:val="18"/>
          <w:lang w:val="fr-FR"/>
        </w:rPr>
        <w:t>2021).</w:t>
      </w:r>
    </w:p>
  </w:footnote>
  <w:footnote w:id="82">
    <w:p w14:paraId="14FE2834" w14:textId="67F9EC95"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5" w:history="1">
        <w:r w:rsidRPr="00EE63B9">
          <w:rPr>
            <w:rStyle w:val="Lienhypertexte"/>
            <w:szCs w:val="18"/>
            <w:lang w:val="fr-FR"/>
          </w:rPr>
          <w:t>https://bit.ly/3hrntsX</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3</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Pr>
          <w:color w:val="000000" w:themeColor="text1"/>
          <w:szCs w:val="18"/>
          <w:lang w:val="fr-FR"/>
        </w:rPr>
        <w:t>.</w:t>
      </w:r>
    </w:p>
  </w:footnote>
  <w:footnote w:id="83">
    <w:p w14:paraId="7559041E" w14:textId="6A71793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6" w:history="1">
        <w:r w:rsidRPr="00EE63B9">
          <w:rPr>
            <w:rStyle w:val="Lienhypertexte"/>
            <w:szCs w:val="18"/>
            <w:lang w:val="fr-FR"/>
          </w:rPr>
          <w:t>https://bit.ly/3r0jIhb</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3</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Pr>
          <w:color w:val="000000" w:themeColor="text1"/>
          <w:szCs w:val="18"/>
          <w:lang w:val="fr-FR"/>
        </w:rPr>
        <w:t>.</w:t>
      </w:r>
    </w:p>
  </w:footnote>
  <w:footnote w:id="84">
    <w:p w14:paraId="72FFD9B3" w14:textId="4C118406"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7" w:history="1">
        <w:r w:rsidRPr="00EE63B9">
          <w:rPr>
            <w:rStyle w:val="Lienhypertexte"/>
            <w:szCs w:val="18"/>
            <w:lang w:val="fr-FR"/>
          </w:rPr>
          <w:t>https://bit.ly/3yIjhdY</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21</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r>
        <w:rPr>
          <w:color w:val="000000" w:themeColor="text1"/>
          <w:szCs w:val="18"/>
          <w:lang w:val="fr-FR"/>
        </w:rPr>
        <w:t>.</w:t>
      </w:r>
    </w:p>
  </w:footnote>
  <w:footnote w:id="85">
    <w:p w14:paraId="5C4F89F5" w14:textId="3E9D5F3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8" w:history="1">
        <w:r w:rsidRPr="00EE63B9">
          <w:rPr>
            <w:rStyle w:val="Lienhypertexte"/>
            <w:szCs w:val="18"/>
            <w:lang w:val="fr-FR"/>
          </w:rPr>
          <w:t>https://bit.ly/3wwkxj5</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27</w:t>
      </w:r>
      <w:r>
        <w:rPr>
          <w:color w:val="000000" w:themeColor="text1"/>
          <w:szCs w:val="18"/>
          <w:lang w:val="fr-FR"/>
        </w:rPr>
        <w:t> </w:t>
      </w:r>
      <w:r w:rsidRPr="008275A5">
        <w:rPr>
          <w:color w:val="000000" w:themeColor="text1"/>
          <w:szCs w:val="18"/>
          <w:lang w:val="fr-FR"/>
        </w:rPr>
        <w:t>avril</w:t>
      </w:r>
      <w:r>
        <w:rPr>
          <w:color w:val="000000" w:themeColor="text1"/>
          <w:szCs w:val="18"/>
          <w:lang w:val="fr-FR"/>
        </w:rPr>
        <w:t xml:space="preserve"> </w:t>
      </w:r>
      <w:r w:rsidRPr="008275A5">
        <w:rPr>
          <w:color w:val="000000" w:themeColor="text1"/>
          <w:szCs w:val="18"/>
          <w:lang w:val="fr-FR"/>
        </w:rPr>
        <w:t>2021)</w:t>
      </w:r>
      <w:r>
        <w:rPr>
          <w:color w:val="000000" w:themeColor="text1"/>
          <w:szCs w:val="18"/>
          <w:lang w:val="fr-FR"/>
        </w:rPr>
        <w:t>.</w:t>
      </w:r>
    </w:p>
  </w:footnote>
  <w:footnote w:id="86">
    <w:p w14:paraId="726C656D" w14:textId="508D3CD8"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29" w:history="1">
        <w:r w:rsidRPr="00EE63B9">
          <w:rPr>
            <w:rStyle w:val="Lienhypertexte"/>
            <w:szCs w:val="18"/>
            <w:lang w:val="fr-FR"/>
          </w:rPr>
          <w:t>https://bit.ly/3htU3KT</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26</w:t>
      </w:r>
      <w:r>
        <w:rPr>
          <w:color w:val="000000" w:themeColor="text1"/>
          <w:szCs w:val="18"/>
          <w:lang w:val="fr-FR"/>
        </w:rPr>
        <w:t> </w:t>
      </w:r>
      <w:r w:rsidRPr="008275A5">
        <w:rPr>
          <w:color w:val="000000" w:themeColor="text1"/>
          <w:szCs w:val="18"/>
          <w:lang w:val="fr-FR"/>
        </w:rPr>
        <w:t>mai</w:t>
      </w:r>
      <w:r>
        <w:rPr>
          <w:color w:val="000000" w:themeColor="text1"/>
          <w:szCs w:val="18"/>
          <w:lang w:val="fr-FR"/>
        </w:rPr>
        <w:t xml:space="preserve"> </w:t>
      </w:r>
      <w:r w:rsidRPr="008275A5">
        <w:rPr>
          <w:color w:val="000000" w:themeColor="text1"/>
          <w:szCs w:val="18"/>
          <w:lang w:val="fr-FR"/>
        </w:rPr>
        <w:t>2021).</w:t>
      </w:r>
    </w:p>
  </w:footnote>
  <w:footnote w:id="87">
    <w:p w14:paraId="437BF63E" w14:textId="15BA2352" w:rsidR="001A447E" w:rsidRPr="008275A5" w:rsidRDefault="001A447E" w:rsidP="00286956">
      <w:pPr>
        <w:pStyle w:val="Notedebasdepage"/>
        <w:rPr>
          <w:lang w:val="fr-FR"/>
        </w:rPr>
      </w:pPr>
      <w:r w:rsidRPr="008275A5">
        <w:rPr>
          <w:lang w:val="fr-FR"/>
        </w:rPr>
        <w:tab/>
      </w:r>
      <w:r w:rsidRPr="008516D1">
        <w:rPr>
          <w:rStyle w:val="Appelnotedebasdep"/>
        </w:rPr>
        <w:footnoteRef/>
      </w:r>
      <w:r w:rsidRPr="0021688E">
        <w:rPr>
          <w:lang w:val="fr-FR"/>
        </w:rPr>
        <w:tab/>
        <w:t>Art</w:t>
      </w:r>
      <w:r>
        <w:rPr>
          <w:lang w:val="fr-FR"/>
        </w:rPr>
        <w:t>. </w:t>
      </w:r>
      <w:r w:rsidRPr="0021688E">
        <w:rPr>
          <w:lang w:val="fr-FR"/>
        </w:rPr>
        <w:t>101,175</w:t>
      </w:r>
      <w:r>
        <w:rPr>
          <w:lang w:val="fr-FR"/>
        </w:rPr>
        <w:t xml:space="preserve"> </w:t>
      </w:r>
      <w:r w:rsidRPr="0021688E">
        <w:rPr>
          <w:lang w:val="fr-FR"/>
        </w:rPr>
        <w:t>et</w:t>
      </w:r>
      <w:r>
        <w:rPr>
          <w:lang w:val="fr-FR"/>
        </w:rPr>
        <w:t xml:space="preserve"> </w:t>
      </w:r>
      <w:r w:rsidRPr="0021688E">
        <w:rPr>
          <w:lang w:val="fr-FR"/>
        </w:rPr>
        <w:t>282</w:t>
      </w:r>
      <w:r>
        <w:rPr>
          <w:lang w:val="fr-FR"/>
        </w:rPr>
        <w:t xml:space="preserve"> </w:t>
      </w:r>
      <w:r w:rsidRPr="0021688E">
        <w:rPr>
          <w:lang w:val="fr-FR"/>
        </w:rPr>
        <w:t>du</w:t>
      </w:r>
      <w:r>
        <w:rPr>
          <w:lang w:val="fr-FR"/>
        </w:rPr>
        <w:t xml:space="preserve"> </w:t>
      </w:r>
      <w:r w:rsidRPr="0021688E">
        <w:rPr>
          <w:lang w:val="fr-FR"/>
        </w:rPr>
        <w:t>Code</w:t>
      </w:r>
      <w:r>
        <w:rPr>
          <w:lang w:val="fr-FR"/>
        </w:rPr>
        <w:t xml:space="preserve"> </w:t>
      </w:r>
      <w:r w:rsidRPr="0021688E">
        <w:rPr>
          <w:lang w:val="fr-FR"/>
        </w:rPr>
        <w:t>de</w:t>
      </w:r>
      <w:r>
        <w:rPr>
          <w:lang w:val="fr-FR"/>
        </w:rPr>
        <w:t xml:space="preserve"> </w:t>
      </w:r>
      <w:r w:rsidRPr="0021688E">
        <w:rPr>
          <w:lang w:val="fr-FR"/>
        </w:rPr>
        <w:t>procédure</w:t>
      </w:r>
      <w:r>
        <w:rPr>
          <w:lang w:val="fr-FR"/>
        </w:rPr>
        <w:t xml:space="preserve"> </w:t>
      </w:r>
      <w:r w:rsidRPr="0021688E">
        <w:rPr>
          <w:lang w:val="fr-FR"/>
        </w:rPr>
        <w:t>pénale.</w:t>
      </w:r>
    </w:p>
  </w:footnote>
  <w:footnote w:id="88">
    <w:p w14:paraId="05A274E1" w14:textId="28D70A8A" w:rsidR="001A447E" w:rsidRPr="00C240B4" w:rsidRDefault="001A447E" w:rsidP="00286956">
      <w:pPr>
        <w:pStyle w:val="Notedebasdepage"/>
        <w:rPr>
          <w:color w:val="000000" w:themeColor="text1"/>
          <w:szCs w:val="18"/>
          <w:lang w:val="fr-FR"/>
        </w:rPr>
      </w:pPr>
      <w:r w:rsidRPr="0021688E">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30" w:history="1">
        <w:r w:rsidRPr="00C240B4">
          <w:rPr>
            <w:rStyle w:val="Lienhypertexte"/>
            <w:szCs w:val="18"/>
            <w:lang w:val="fr-FR"/>
          </w:rPr>
          <w:t>https://bit.ly/3wu6JFL</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5</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r>
        <w:rPr>
          <w:lang w:val="fr-FR"/>
        </w:rPr>
        <w:t>.</w:t>
      </w:r>
    </w:p>
  </w:footnote>
  <w:footnote w:id="89">
    <w:p w14:paraId="446A92BC" w14:textId="2BC0A25E"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Décision</w:t>
      </w:r>
      <w:r>
        <w:rPr>
          <w:color w:val="000000" w:themeColor="text1"/>
          <w:lang w:val="fr-FR"/>
        </w:rPr>
        <w:t xml:space="preserve"> </w:t>
      </w:r>
      <w:r w:rsidRPr="00C240B4">
        <w:rPr>
          <w:rFonts w:eastAsia="MS Mincho"/>
          <w:color w:val="000000" w:themeColor="text1"/>
          <w:lang w:val="fr-FR"/>
        </w:rPr>
        <w:t>n</w:t>
      </w:r>
      <w:r w:rsidRPr="00C240B4">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001-2016,</w:t>
      </w:r>
      <w:r>
        <w:rPr>
          <w:color w:val="000000" w:themeColor="text1"/>
          <w:lang w:val="fr-FR"/>
        </w:rPr>
        <w:t xml:space="preserve"> </w:t>
      </w:r>
      <w:r w:rsidRPr="0021688E">
        <w:rPr>
          <w:color w:val="000000" w:themeColor="text1"/>
          <w:lang w:val="fr-FR"/>
        </w:rPr>
        <w:t>publiée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C240B4">
        <w:rPr>
          <w:rFonts w:eastAsia="MS Mincho"/>
          <w:color w:val="000000" w:themeColor="text1"/>
          <w:lang w:val="fr-FR"/>
        </w:rPr>
        <w:t>n</w:t>
      </w:r>
      <w:r w:rsidRPr="00C240B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171.</w:t>
      </w:r>
    </w:p>
  </w:footnote>
  <w:footnote w:id="90">
    <w:p w14:paraId="478C1C93" w14:textId="61F5D019"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Règlement</w:t>
      </w:r>
      <w:r>
        <w:rPr>
          <w:color w:val="000000" w:themeColor="text1"/>
          <w:lang w:val="fr-FR"/>
        </w:rPr>
        <w:t xml:space="preserve"> </w:t>
      </w:r>
      <w:r w:rsidRPr="0021688E">
        <w:rPr>
          <w:color w:val="000000" w:themeColor="text1"/>
          <w:lang w:val="fr-FR"/>
        </w:rPr>
        <w:t>spécial</w:t>
      </w:r>
      <w:r>
        <w:rPr>
          <w:color w:val="000000" w:themeColor="text1"/>
          <w:lang w:val="fr-FR"/>
        </w:rPr>
        <w:t xml:space="preserve"> </w:t>
      </w:r>
      <w:r w:rsidRPr="0021688E">
        <w:rPr>
          <w:color w:val="000000" w:themeColor="text1"/>
          <w:lang w:val="fr-FR"/>
        </w:rPr>
        <w:t>relatif</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organisation</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fonctionnement</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Institut</w:t>
      </w:r>
      <w:r>
        <w:rPr>
          <w:color w:val="000000" w:themeColor="text1"/>
          <w:lang w:val="fr-FR"/>
        </w:rPr>
        <w:t xml:space="preserve"> </w:t>
      </w:r>
      <w:r w:rsidRPr="0021688E">
        <w:rPr>
          <w:color w:val="000000" w:themeColor="text1"/>
          <w:lang w:val="fr-FR"/>
        </w:rPr>
        <w:t>national</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prise</w:t>
      </w:r>
      <w:r>
        <w:rPr>
          <w:color w:val="000000" w:themeColor="text1"/>
          <w:lang w:val="fr-FR"/>
        </w:rPr>
        <w:t xml:space="preserve"> </w:t>
      </w:r>
      <w:r w:rsidRPr="0021688E">
        <w:rPr>
          <w:color w:val="000000" w:themeColor="text1"/>
          <w:lang w:val="fr-FR"/>
        </w:rPr>
        <w:t>en</w:t>
      </w:r>
      <w:r>
        <w:rPr>
          <w:color w:val="000000" w:themeColor="text1"/>
          <w:lang w:val="fr-FR"/>
        </w:rPr>
        <w:t xml:space="preserve"> </w:t>
      </w:r>
      <w:r w:rsidRPr="0021688E">
        <w:rPr>
          <w:color w:val="000000" w:themeColor="text1"/>
          <w:lang w:val="fr-FR"/>
        </w:rPr>
        <w:t>charge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mineurs</w:t>
      </w:r>
      <w:r>
        <w:rPr>
          <w:color w:val="000000" w:themeColor="text1"/>
          <w:lang w:val="fr-FR"/>
        </w:rPr>
        <w:t xml:space="preserve"> </w:t>
      </w:r>
      <w:r w:rsidRPr="0021688E">
        <w:rPr>
          <w:color w:val="000000" w:themeColor="text1"/>
          <w:lang w:val="fr-FR"/>
        </w:rPr>
        <w:t>délinquants,</w:t>
      </w:r>
      <w:r>
        <w:rPr>
          <w:color w:val="000000" w:themeColor="text1"/>
          <w:lang w:val="fr-FR"/>
        </w:rPr>
        <w:t xml:space="preserve"> </w:t>
      </w:r>
      <w:r w:rsidRPr="0021688E">
        <w:rPr>
          <w:color w:val="000000" w:themeColor="text1"/>
          <w:lang w:val="fr-FR"/>
        </w:rPr>
        <w:t>publié</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Journal</w:t>
      </w:r>
      <w:r>
        <w:rPr>
          <w:color w:val="000000" w:themeColor="text1"/>
          <w:lang w:val="fr-FR"/>
        </w:rPr>
        <w:t xml:space="preserve"> </w:t>
      </w:r>
      <w:r w:rsidRPr="0021688E">
        <w:rPr>
          <w:color w:val="000000" w:themeColor="text1"/>
          <w:lang w:val="fr-FR"/>
        </w:rPr>
        <w:t>officiel</w:t>
      </w:r>
      <w:r>
        <w:rPr>
          <w:color w:val="000000" w:themeColor="text1"/>
          <w:lang w:val="fr-FR"/>
        </w:rPr>
        <w:t xml:space="preserve"> </w:t>
      </w:r>
      <w:r w:rsidRPr="00C240B4">
        <w:rPr>
          <w:rFonts w:eastAsia="MS Mincho"/>
          <w:color w:val="000000" w:themeColor="text1"/>
          <w:lang w:val="fr-FR"/>
        </w:rPr>
        <w:t>n</w:t>
      </w:r>
      <w:r w:rsidRPr="00C240B4">
        <w:rPr>
          <w:rFonts w:eastAsia="MS Mincho"/>
          <w:color w:val="000000" w:themeColor="text1"/>
          <w:vertAlign w:val="superscript"/>
          <w:lang w:val="fr-FR"/>
        </w:rPr>
        <w:t>o</w:t>
      </w:r>
      <w:r>
        <w:rPr>
          <w:color w:val="000000" w:themeColor="text1"/>
          <w:lang w:val="fr-FR"/>
        </w:rPr>
        <w:t xml:space="preserve"> 34 </w:t>
      </w:r>
      <w:r w:rsidRPr="0021688E">
        <w:rPr>
          <w:color w:val="000000" w:themeColor="text1"/>
          <w:lang w:val="fr-FR"/>
        </w:rPr>
        <w:t>576.</w:t>
      </w:r>
    </w:p>
  </w:footnote>
  <w:footnote w:id="91">
    <w:p w14:paraId="65310AEB" w14:textId="4B1705DE" w:rsidR="001A447E" w:rsidRPr="008275A5"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Décret-loi</w:t>
      </w:r>
      <w:r>
        <w:rPr>
          <w:lang w:val="fr-FR"/>
        </w:rPr>
        <w:t xml:space="preserve"> </w:t>
      </w:r>
      <w:r w:rsidRPr="00C240B4">
        <w:rPr>
          <w:rFonts w:eastAsia="MS Mincho"/>
          <w:lang w:val="fr-FR"/>
        </w:rPr>
        <w:t>n</w:t>
      </w:r>
      <w:r w:rsidRPr="00C240B4">
        <w:rPr>
          <w:rFonts w:eastAsia="MS Mincho"/>
          <w:vertAlign w:val="superscript"/>
          <w:lang w:val="fr-FR"/>
        </w:rPr>
        <w:t>o</w:t>
      </w:r>
      <w:r>
        <w:rPr>
          <w:lang w:val="fr-FR"/>
        </w:rPr>
        <w:t xml:space="preserve"> </w:t>
      </w:r>
      <w:r w:rsidRPr="0021688E">
        <w:rPr>
          <w:lang w:val="fr-FR"/>
        </w:rPr>
        <w:t>180-2018,</w:t>
      </w:r>
      <w:r>
        <w:rPr>
          <w:lang w:val="fr-FR"/>
        </w:rPr>
        <w:t xml:space="preserve"> </w:t>
      </w:r>
      <w:r w:rsidRPr="0021688E">
        <w:rPr>
          <w:lang w:val="fr-FR"/>
        </w:rPr>
        <w:t>publié</w:t>
      </w:r>
      <w:r>
        <w:rPr>
          <w:lang w:val="fr-FR"/>
        </w:rPr>
        <w:t xml:space="preserve"> </w:t>
      </w:r>
      <w:r w:rsidRPr="0021688E">
        <w:rPr>
          <w:lang w:val="fr-FR"/>
        </w:rPr>
        <w:t>au</w:t>
      </w:r>
      <w:r>
        <w:rPr>
          <w:lang w:val="fr-FR"/>
        </w:rPr>
        <w:t xml:space="preserve"> </w:t>
      </w:r>
      <w:r w:rsidRPr="0021688E">
        <w:rPr>
          <w:lang w:val="fr-FR"/>
        </w:rPr>
        <w:t>Journal</w:t>
      </w:r>
      <w:r>
        <w:rPr>
          <w:lang w:val="fr-FR"/>
        </w:rPr>
        <w:t xml:space="preserve"> </w:t>
      </w:r>
      <w:r w:rsidRPr="0021688E">
        <w:rPr>
          <w:lang w:val="fr-FR"/>
        </w:rPr>
        <w:t>officiel</w:t>
      </w:r>
      <w:r>
        <w:rPr>
          <w:lang w:val="fr-FR"/>
        </w:rPr>
        <w:t xml:space="preserve"> </w:t>
      </w:r>
      <w:r w:rsidRPr="00C240B4">
        <w:rPr>
          <w:rFonts w:eastAsia="MS Mincho"/>
          <w:lang w:val="fr-FR"/>
        </w:rPr>
        <w:t>n</w:t>
      </w:r>
      <w:r w:rsidRPr="00C240B4">
        <w:rPr>
          <w:rFonts w:eastAsia="MS Mincho"/>
          <w:vertAlign w:val="superscript"/>
          <w:lang w:val="fr-FR"/>
        </w:rPr>
        <w:t>o</w:t>
      </w:r>
      <w:r>
        <w:rPr>
          <w:lang w:val="fr-FR"/>
        </w:rPr>
        <w:t xml:space="preserve"> 34 </w:t>
      </w:r>
      <w:r w:rsidRPr="0021688E">
        <w:rPr>
          <w:lang w:val="fr-FR"/>
        </w:rPr>
        <w:t>825</w:t>
      </w:r>
      <w:r>
        <w:rPr>
          <w:lang w:val="fr-FR"/>
        </w:rPr>
        <w:t xml:space="preserve"> </w:t>
      </w:r>
      <w:r w:rsidRPr="0021688E">
        <w:rPr>
          <w:lang w:val="fr-FR"/>
        </w:rPr>
        <w:t>et</w:t>
      </w:r>
      <w:r>
        <w:rPr>
          <w:lang w:val="fr-FR"/>
        </w:rPr>
        <w:t xml:space="preserve"> </w:t>
      </w:r>
      <w:r w:rsidRPr="0021688E">
        <w:rPr>
          <w:lang w:val="fr-FR"/>
        </w:rPr>
        <w:t>décret-loi</w:t>
      </w:r>
      <w:r>
        <w:rPr>
          <w:lang w:val="fr-FR"/>
        </w:rPr>
        <w:t xml:space="preserve"> </w:t>
      </w:r>
      <w:r w:rsidRPr="00C240B4">
        <w:rPr>
          <w:rFonts w:eastAsia="MS Mincho"/>
          <w:lang w:val="fr-FR"/>
        </w:rPr>
        <w:t>n</w:t>
      </w:r>
      <w:r w:rsidRPr="00C240B4">
        <w:rPr>
          <w:rFonts w:eastAsia="MS Mincho"/>
          <w:vertAlign w:val="superscript"/>
          <w:lang w:val="fr-FR"/>
        </w:rPr>
        <w:t>o</w:t>
      </w:r>
      <w:r>
        <w:rPr>
          <w:lang w:val="fr-FR"/>
        </w:rPr>
        <w:t xml:space="preserve"> </w:t>
      </w:r>
      <w:r w:rsidRPr="0021688E">
        <w:rPr>
          <w:lang w:val="fr-FR"/>
        </w:rPr>
        <w:t>171-2019,</w:t>
      </w:r>
      <w:r>
        <w:rPr>
          <w:lang w:val="fr-FR"/>
        </w:rPr>
        <w:t xml:space="preserve"> </w:t>
      </w:r>
      <w:r w:rsidRPr="0021688E">
        <w:rPr>
          <w:lang w:val="fr-FR"/>
        </w:rPr>
        <w:t>publié</w:t>
      </w:r>
      <w:r>
        <w:rPr>
          <w:lang w:val="fr-FR"/>
        </w:rPr>
        <w:t xml:space="preserve"> </w:t>
      </w:r>
      <w:r w:rsidRPr="0021688E">
        <w:rPr>
          <w:lang w:val="fr-FR"/>
        </w:rPr>
        <w:t>au</w:t>
      </w:r>
      <w:r>
        <w:rPr>
          <w:lang w:val="fr-FR"/>
        </w:rPr>
        <w:t xml:space="preserve"> </w:t>
      </w:r>
      <w:r w:rsidRPr="0021688E">
        <w:rPr>
          <w:lang w:val="fr-FR"/>
        </w:rPr>
        <w:t>Journal</w:t>
      </w:r>
      <w:r>
        <w:rPr>
          <w:lang w:val="fr-FR"/>
        </w:rPr>
        <w:t xml:space="preserve"> </w:t>
      </w:r>
      <w:r w:rsidRPr="0021688E">
        <w:rPr>
          <w:lang w:val="fr-FR"/>
        </w:rPr>
        <w:t>officiel</w:t>
      </w:r>
      <w:r>
        <w:rPr>
          <w:lang w:val="fr-FR"/>
        </w:rPr>
        <w:t xml:space="preserve"> </w:t>
      </w:r>
      <w:r w:rsidRPr="00C240B4">
        <w:rPr>
          <w:rFonts w:eastAsia="MS Mincho"/>
          <w:lang w:val="fr-FR"/>
        </w:rPr>
        <w:t>n</w:t>
      </w:r>
      <w:r w:rsidRPr="00C240B4">
        <w:rPr>
          <w:rFonts w:eastAsia="MS Mincho"/>
          <w:vertAlign w:val="superscript"/>
          <w:lang w:val="fr-FR"/>
        </w:rPr>
        <w:t>o</w:t>
      </w:r>
      <w:r>
        <w:rPr>
          <w:lang w:val="fr-FR"/>
        </w:rPr>
        <w:t xml:space="preserve"> 35 </w:t>
      </w:r>
      <w:r w:rsidRPr="0021688E">
        <w:rPr>
          <w:lang w:val="fr-FR"/>
        </w:rPr>
        <w:t>137.</w:t>
      </w:r>
    </w:p>
  </w:footnote>
  <w:footnote w:id="92">
    <w:p w14:paraId="257CB935" w14:textId="1FDEC762"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1" w:history="1">
        <w:r w:rsidRPr="00C240B4">
          <w:rPr>
            <w:rStyle w:val="Lienhypertexte"/>
            <w:szCs w:val="18"/>
            <w:lang w:val="fr-FR"/>
          </w:rPr>
          <w:t>https://bit.ly/2SY4mx6</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8</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r>
        <w:rPr>
          <w:color w:val="000000" w:themeColor="text1"/>
          <w:szCs w:val="18"/>
          <w:lang w:val="fr-FR"/>
        </w:rPr>
        <w:t>.</w:t>
      </w:r>
    </w:p>
  </w:footnote>
  <w:footnote w:id="93">
    <w:p w14:paraId="3CD9E5F2" w14:textId="58DD0168" w:rsidR="001A447E" w:rsidRPr="0021688E"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32" w:history="1">
        <w:r w:rsidRPr="00C240B4">
          <w:rPr>
            <w:rStyle w:val="Lienhypertexte"/>
            <w:lang w:val="fr-FR"/>
          </w:rPr>
          <w:t>https://bit.ly/3hU9ydV</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8</w:t>
      </w:r>
      <w:r>
        <w:rPr>
          <w:lang w:val="fr-FR"/>
        </w:rPr>
        <w:t> </w:t>
      </w:r>
      <w:r w:rsidRPr="0021688E">
        <w:rPr>
          <w:lang w:val="fr-FR"/>
        </w:rPr>
        <w:t>juin</w:t>
      </w:r>
      <w:r>
        <w:rPr>
          <w:lang w:val="fr-FR"/>
        </w:rPr>
        <w:t xml:space="preserve"> </w:t>
      </w:r>
      <w:r w:rsidRPr="0021688E">
        <w:rPr>
          <w:lang w:val="fr-FR"/>
        </w:rPr>
        <w:t>2021).</w:t>
      </w:r>
    </w:p>
  </w:footnote>
  <w:footnote w:id="94">
    <w:p w14:paraId="0E573787" w14:textId="1F030657"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3" w:history="1">
        <w:r w:rsidRPr="00C240B4">
          <w:rPr>
            <w:rStyle w:val="Lienhypertexte"/>
            <w:szCs w:val="18"/>
            <w:lang w:val="fr-FR"/>
          </w:rPr>
          <w:t>https://bit.ly/3AOjazC</w:t>
        </w:r>
      </w:hyperlink>
      <w:r>
        <w:rPr>
          <w:color w:val="000000" w:themeColor="text1"/>
          <w:szCs w:val="18"/>
          <w:lang w:val="fr-FR"/>
        </w:rPr>
        <w:t xml:space="preserve"> </w:t>
      </w:r>
      <w:r w:rsidRPr="008275A5">
        <w:rPr>
          <w:color w:val="000000" w:themeColor="text1"/>
          <w:szCs w:val="18"/>
          <w:lang w:val="fr-FR"/>
        </w:rPr>
        <w:t>(consulté</w:t>
      </w:r>
      <w:r>
        <w:rPr>
          <w:color w:val="000000" w:themeColor="text1"/>
          <w:szCs w:val="18"/>
          <w:lang w:val="fr-FR"/>
        </w:rPr>
        <w:t xml:space="preserve"> </w:t>
      </w:r>
      <w:r w:rsidRPr="008275A5">
        <w:rPr>
          <w:color w:val="000000" w:themeColor="text1"/>
          <w:szCs w:val="18"/>
          <w:lang w:val="fr-FR"/>
        </w:rPr>
        <w:t>le</w:t>
      </w:r>
      <w:r>
        <w:rPr>
          <w:color w:val="000000" w:themeColor="text1"/>
          <w:szCs w:val="18"/>
          <w:lang w:val="fr-FR"/>
        </w:rPr>
        <w:t xml:space="preserve"> </w:t>
      </w:r>
      <w:r w:rsidRPr="008275A5">
        <w:rPr>
          <w:color w:val="000000" w:themeColor="text1"/>
          <w:szCs w:val="18"/>
          <w:lang w:val="fr-FR"/>
        </w:rPr>
        <w:t>16</w:t>
      </w:r>
      <w:r>
        <w:rPr>
          <w:color w:val="000000" w:themeColor="text1"/>
          <w:szCs w:val="18"/>
          <w:lang w:val="fr-FR"/>
        </w:rPr>
        <w:t> </w:t>
      </w:r>
      <w:r w:rsidRPr="008275A5">
        <w:rPr>
          <w:color w:val="000000" w:themeColor="text1"/>
          <w:szCs w:val="18"/>
          <w:lang w:val="fr-FR"/>
        </w:rPr>
        <w:t>juin</w:t>
      </w:r>
      <w:r>
        <w:rPr>
          <w:color w:val="000000" w:themeColor="text1"/>
          <w:szCs w:val="18"/>
          <w:lang w:val="fr-FR"/>
        </w:rPr>
        <w:t xml:space="preserve"> </w:t>
      </w:r>
      <w:r w:rsidRPr="008275A5">
        <w:rPr>
          <w:color w:val="000000" w:themeColor="text1"/>
          <w:szCs w:val="18"/>
          <w:lang w:val="fr-FR"/>
        </w:rPr>
        <w:t>2021).</w:t>
      </w:r>
    </w:p>
  </w:footnote>
  <w:footnote w:id="95">
    <w:p w14:paraId="42F9FBE0" w14:textId="77777777" w:rsidR="001A447E" w:rsidRPr="0021688E"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Annexe</w:t>
      </w:r>
      <w:r>
        <w:rPr>
          <w:lang w:val="fr-FR"/>
        </w:rPr>
        <w:t xml:space="preserve"> </w:t>
      </w:r>
      <w:r w:rsidRPr="0021688E">
        <w:rPr>
          <w:lang w:val="fr-FR"/>
        </w:rPr>
        <w:t>1.</w:t>
      </w:r>
    </w:p>
  </w:footnote>
  <w:footnote w:id="96">
    <w:p w14:paraId="0B40A54F" w14:textId="7BD14536"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4" w:history="1">
        <w:r w:rsidRPr="00C240B4">
          <w:rPr>
            <w:rStyle w:val="Lienhypertexte"/>
            <w:lang w:val="fr-FR"/>
          </w:rPr>
          <w:t>https://bit.ly/3wwkxj5</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27</w:t>
      </w:r>
      <w:r>
        <w:rPr>
          <w:color w:val="000000" w:themeColor="text1"/>
          <w:lang w:val="fr-FR"/>
        </w:rPr>
        <w:t> </w:t>
      </w:r>
      <w:r w:rsidRPr="0021688E">
        <w:rPr>
          <w:color w:val="000000" w:themeColor="text1"/>
          <w:lang w:val="fr-FR"/>
        </w:rPr>
        <w:t>avril</w:t>
      </w:r>
      <w:r>
        <w:rPr>
          <w:color w:val="000000" w:themeColor="text1"/>
          <w:lang w:val="fr-FR"/>
        </w:rPr>
        <w:t xml:space="preserve"> </w:t>
      </w:r>
      <w:r w:rsidRPr="0021688E">
        <w:rPr>
          <w:color w:val="000000" w:themeColor="text1"/>
          <w:lang w:val="fr-FR"/>
        </w:rPr>
        <w:t>2021).</w:t>
      </w:r>
    </w:p>
  </w:footnote>
  <w:footnote w:id="97">
    <w:p w14:paraId="4A126E83" w14:textId="24391E60"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5" w:history="1">
        <w:r w:rsidRPr="00C240B4">
          <w:rPr>
            <w:rStyle w:val="Lienhypertexte"/>
            <w:lang w:val="fr-FR"/>
          </w:rPr>
          <w:t>https://bit.ly/2T05aBD</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18</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98">
    <w:p w14:paraId="402674E0" w14:textId="5B24BCB4" w:rsidR="001A447E" w:rsidRPr="008275A5"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36" w:history="1">
        <w:r w:rsidRPr="00C240B4">
          <w:rPr>
            <w:rStyle w:val="Lienhypertexte"/>
            <w:lang w:val="fr-FR"/>
          </w:rPr>
          <w:t>https://bit.ly/3hQk99S</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16</w:t>
      </w:r>
      <w:r>
        <w:rPr>
          <w:lang w:val="fr-FR"/>
        </w:rPr>
        <w:t> </w:t>
      </w:r>
      <w:r w:rsidRPr="0021688E">
        <w:rPr>
          <w:lang w:val="fr-FR"/>
        </w:rPr>
        <w:t>juin</w:t>
      </w:r>
      <w:r>
        <w:rPr>
          <w:lang w:val="fr-FR"/>
        </w:rPr>
        <w:t xml:space="preserve"> </w:t>
      </w:r>
      <w:r w:rsidRPr="0021688E">
        <w:rPr>
          <w:lang w:val="fr-FR"/>
        </w:rPr>
        <w:t>2021</w:t>
      </w:r>
      <w:r w:rsidRPr="008275A5">
        <w:rPr>
          <w:lang w:val="fr-FR"/>
        </w:rPr>
        <w:t>).</w:t>
      </w:r>
    </w:p>
  </w:footnote>
  <w:footnote w:id="99">
    <w:p w14:paraId="1E5E94B0" w14:textId="4AF8DDF2" w:rsidR="001A447E" w:rsidRPr="0021688E" w:rsidRDefault="001A447E" w:rsidP="00286956">
      <w:pPr>
        <w:pStyle w:val="Notedebasdepage"/>
        <w:rPr>
          <w:lang w:val="fr-FR"/>
        </w:rPr>
      </w:pPr>
      <w:r w:rsidRPr="008275A5">
        <w:rPr>
          <w:lang w:val="fr-FR"/>
        </w:rPr>
        <w:tab/>
      </w:r>
      <w:r w:rsidRPr="008516D1">
        <w:rPr>
          <w:rStyle w:val="Appelnotedebasdep"/>
        </w:rPr>
        <w:footnoteRef/>
      </w:r>
      <w:r w:rsidRPr="0021688E">
        <w:rPr>
          <w:lang w:val="fr-FR"/>
        </w:rPr>
        <w:tab/>
        <w:t>Rapport</w:t>
      </w:r>
      <w:r>
        <w:rPr>
          <w:lang w:val="fr-FR"/>
        </w:rPr>
        <w:t xml:space="preserve"> </w:t>
      </w:r>
      <w:r w:rsidRPr="0021688E">
        <w:rPr>
          <w:lang w:val="fr-FR"/>
        </w:rPr>
        <w:t>annuel</w:t>
      </w:r>
      <w:r>
        <w:rPr>
          <w:lang w:val="fr-FR"/>
        </w:rPr>
        <w:t xml:space="preserve"> </w:t>
      </w:r>
      <w:r w:rsidRPr="0021688E">
        <w:rPr>
          <w:lang w:val="fr-FR"/>
        </w:rPr>
        <w:t>sur</w:t>
      </w:r>
      <w:r>
        <w:rPr>
          <w:lang w:val="fr-FR"/>
        </w:rPr>
        <w:t xml:space="preserve"> </w:t>
      </w:r>
      <w:r w:rsidRPr="0021688E">
        <w:rPr>
          <w:lang w:val="fr-FR"/>
        </w:rPr>
        <w:t>les</w:t>
      </w:r>
      <w:r>
        <w:rPr>
          <w:lang w:val="fr-FR"/>
        </w:rPr>
        <w:t xml:space="preserve"> </w:t>
      </w:r>
      <w:r w:rsidRPr="0021688E">
        <w:rPr>
          <w:lang w:val="fr-FR"/>
        </w:rPr>
        <w:t>mesures</w:t>
      </w:r>
      <w:r>
        <w:rPr>
          <w:lang w:val="fr-FR"/>
        </w:rPr>
        <w:t xml:space="preserve"> </w:t>
      </w:r>
      <w:r w:rsidRPr="0021688E">
        <w:rPr>
          <w:lang w:val="fr-FR"/>
        </w:rPr>
        <w:t>de</w:t>
      </w:r>
      <w:r>
        <w:rPr>
          <w:lang w:val="fr-FR"/>
        </w:rPr>
        <w:t xml:space="preserve"> </w:t>
      </w:r>
      <w:r w:rsidRPr="0021688E">
        <w:rPr>
          <w:lang w:val="fr-FR"/>
        </w:rPr>
        <w:t>lutte</w:t>
      </w:r>
      <w:r>
        <w:rPr>
          <w:lang w:val="fr-FR"/>
        </w:rPr>
        <w:t xml:space="preserve"> </w:t>
      </w:r>
      <w:r w:rsidRPr="0021688E">
        <w:rPr>
          <w:lang w:val="fr-FR"/>
        </w:rPr>
        <w:t>contre</w:t>
      </w:r>
      <w:r>
        <w:rPr>
          <w:lang w:val="fr-FR"/>
        </w:rPr>
        <w:t xml:space="preserve"> </w:t>
      </w:r>
      <w:r w:rsidRPr="0021688E">
        <w:rPr>
          <w:lang w:val="fr-FR"/>
        </w:rPr>
        <w:t>l</w:t>
      </w:r>
      <w:r>
        <w:rPr>
          <w:lang w:val="fr-FR"/>
        </w:rPr>
        <w:t>’</w:t>
      </w:r>
      <w:r w:rsidRPr="0021688E">
        <w:rPr>
          <w:lang w:val="fr-FR"/>
        </w:rPr>
        <w:t>exploitation</w:t>
      </w:r>
      <w:r>
        <w:rPr>
          <w:lang w:val="fr-FR"/>
        </w:rPr>
        <w:t xml:space="preserve"> </w:t>
      </w:r>
      <w:r w:rsidRPr="0021688E">
        <w:rPr>
          <w:lang w:val="fr-FR"/>
        </w:rPr>
        <w:t>sexuelle</w:t>
      </w:r>
      <w:r>
        <w:rPr>
          <w:lang w:val="fr-FR"/>
        </w:rPr>
        <w:t xml:space="preserve"> </w:t>
      </w:r>
      <w:r w:rsidRPr="0021688E">
        <w:rPr>
          <w:lang w:val="fr-FR"/>
        </w:rPr>
        <w:t>(2017)</w:t>
      </w:r>
      <w:r>
        <w:rPr>
          <w:lang w:val="fr-FR"/>
        </w:rPr>
        <w:t xml:space="preserve"> − </w:t>
      </w:r>
      <w:r w:rsidRPr="0021688E">
        <w:rPr>
          <w:lang w:val="fr-FR"/>
        </w:rPr>
        <w:t>Commission</w:t>
      </w:r>
      <w:r>
        <w:rPr>
          <w:lang w:val="fr-FR"/>
        </w:rPr>
        <w:t xml:space="preserve"> </w:t>
      </w:r>
      <w:r w:rsidRPr="0021688E">
        <w:rPr>
          <w:lang w:val="fr-FR"/>
        </w:rPr>
        <w:t>interinstitutionnelle</w:t>
      </w:r>
      <w:r>
        <w:rPr>
          <w:lang w:val="fr-FR"/>
        </w:rPr>
        <w:t xml:space="preserve"> </w:t>
      </w:r>
      <w:r w:rsidRPr="0021688E">
        <w:rPr>
          <w:lang w:val="fr-FR"/>
        </w:rPr>
        <w:t>de</w:t>
      </w:r>
      <w:r>
        <w:rPr>
          <w:lang w:val="fr-FR"/>
        </w:rPr>
        <w:t xml:space="preserve"> </w:t>
      </w:r>
      <w:r w:rsidRPr="0021688E">
        <w:rPr>
          <w:lang w:val="fr-FR"/>
        </w:rPr>
        <w:t>lutte</w:t>
      </w:r>
      <w:r>
        <w:rPr>
          <w:lang w:val="fr-FR"/>
        </w:rPr>
        <w:t xml:space="preserve"> </w:t>
      </w:r>
      <w:r w:rsidRPr="0021688E">
        <w:rPr>
          <w:lang w:val="fr-FR"/>
        </w:rPr>
        <w:t>contre</w:t>
      </w:r>
      <w:r>
        <w:rPr>
          <w:lang w:val="fr-FR"/>
        </w:rPr>
        <w:t xml:space="preserve"> </w:t>
      </w:r>
      <w:r w:rsidRPr="0021688E">
        <w:rPr>
          <w:lang w:val="fr-FR"/>
        </w:rPr>
        <w:t>l</w:t>
      </w:r>
      <w:r>
        <w:rPr>
          <w:lang w:val="fr-FR"/>
        </w:rPr>
        <w:t>’</w:t>
      </w:r>
      <w:r w:rsidRPr="0021688E">
        <w:rPr>
          <w:lang w:val="fr-FR"/>
        </w:rPr>
        <w:t>exploitation</w:t>
      </w:r>
      <w:r>
        <w:rPr>
          <w:lang w:val="fr-FR"/>
        </w:rPr>
        <w:t xml:space="preserve"> </w:t>
      </w:r>
      <w:r w:rsidRPr="0021688E">
        <w:rPr>
          <w:lang w:val="fr-FR"/>
        </w:rPr>
        <w:t>sexuelle</w:t>
      </w:r>
      <w:r>
        <w:rPr>
          <w:lang w:val="fr-FR"/>
        </w:rPr>
        <w:t xml:space="preserve"> </w:t>
      </w:r>
      <w:r w:rsidRPr="0021688E">
        <w:rPr>
          <w:lang w:val="fr-FR"/>
        </w:rPr>
        <w:t>à</w:t>
      </w:r>
      <w:r>
        <w:rPr>
          <w:lang w:val="fr-FR"/>
        </w:rPr>
        <w:t xml:space="preserve"> </w:t>
      </w:r>
      <w:r w:rsidRPr="0021688E">
        <w:rPr>
          <w:lang w:val="fr-FR"/>
        </w:rPr>
        <w:t>des</w:t>
      </w:r>
      <w:r>
        <w:rPr>
          <w:lang w:val="fr-FR"/>
        </w:rPr>
        <w:t xml:space="preserve"> </w:t>
      </w:r>
      <w:r w:rsidRPr="0021688E">
        <w:rPr>
          <w:lang w:val="fr-FR"/>
        </w:rPr>
        <w:t>fins</w:t>
      </w:r>
      <w:r>
        <w:rPr>
          <w:lang w:val="fr-FR"/>
        </w:rPr>
        <w:t xml:space="preserve"> </w:t>
      </w:r>
      <w:r w:rsidRPr="0021688E">
        <w:rPr>
          <w:lang w:val="fr-FR"/>
        </w:rPr>
        <w:t>commerciales</w:t>
      </w:r>
      <w:r>
        <w:rPr>
          <w:lang w:val="fr-FR"/>
        </w:rPr>
        <w:t xml:space="preserve"> </w:t>
      </w:r>
      <w:r w:rsidRPr="0021688E">
        <w:rPr>
          <w:lang w:val="fr-FR"/>
        </w:rPr>
        <w:t>et</w:t>
      </w:r>
      <w:r>
        <w:rPr>
          <w:lang w:val="fr-FR"/>
        </w:rPr>
        <w:t xml:space="preserve"> </w:t>
      </w:r>
      <w:r w:rsidRPr="0021688E">
        <w:rPr>
          <w:lang w:val="fr-FR"/>
        </w:rPr>
        <w:t>la</w:t>
      </w:r>
      <w:r>
        <w:rPr>
          <w:lang w:val="fr-FR"/>
        </w:rPr>
        <w:t xml:space="preserve"> </w:t>
      </w:r>
      <w:r w:rsidRPr="0021688E">
        <w:rPr>
          <w:lang w:val="fr-FR"/>
        </w:rPr>
        <w:t>traite</w:t>
      </w:r>
      <w:r>
        <w:rPr>
          <w:lang w:val="fr-FR"/>
        </w:rPr>
        <w:t xml:space="preserve"> </w:t>
      </w:r>
      <w:r w:rsidRPr="0021688E">
        <w:rPr>
          <w:lang w:val="fr-FR"/>
        </w:rPr>
        <w:t>des</w:t>
      </w:r>
      <w:r>
        <w:rPr>
          <w:lang w:val="fr-FR"/>
        </w:rPr>
        <w:t> </w:t>
      </w:r>
      <w:r w:rsidRPr="0021688E">
        <w:rPr>
          <w:lang w:val="fr-FR"/>
        </w:rPr>
        <w:t>personnes.</w:t>
      </w:r>
      <w:r>
        <w:rPr>
          <w:lang w:val="fr-FR"/>
        </w:rPr>
        <w:t xml:space="preserve"> </w:t>
      </w:r>
      <w:r w:rsidRPr="0021688E">
        <w:rPr>
          <w:lang w:val="fr-FR"/>
        </w:rPr>
        <w:t>Disponible</w:t>
      </w:r>
      <w:r>
        <w:rPr>
          <w:lang w:val="fr-FR"/>
        </w:rPr>
        <w:t xml:space="preserve"> </w:t>
      </w:r>
      <w:r w:rsidRPr="0021688E">
        <w:rPr>
          <w:lang w:val="fr-FR"/>
        </w:rPr>
        <w:t>sur</w:t>
      </w:r>
      <w:r>
        <w:rPr>
          <w:lang w:val="fr-FR"/>
        </w:rPr>
        <w:t xml:space="preserve"> : </w:t>
      </w:r>
      <w:hyperlink r:id="rId37" w:history="1">
        <w:r w:rsidRPr="00C240B4">
          <w:rPr>
            <w:rStyle w:val="Lienhypertexte"/>
            <w:lang w:val="fr-FR"/>
          </w:rPr>
          <w:t>https://bit.ly/3hQQcq9</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24</w:t>
      </w:r>
      <w:r>
        <w:rPr>
          <w:lang w:val="fr-FR"/>
        </w:rPr>
        <w:t> </w:t>
      </w:r>
      <w:r w:rsidRPr="0021688E">
        <w:rPr>
          <w:lang w:val="fr-FR"/>
        </w:rPr>
        <w:t>mai</w:t>
      </w:r>
      <w:r>
        <w:rPr>
          <w:lang w:val="fr-FR"/>
        </w:rPr>
        <w:t xml:space="preserve"> </w:t>
      </w:r>
      <w:r w:rsidRPr="0021688E">
        <w:rPr>
          <w:lang w:val="fr-FR"/>
        </w:rPr>
        <w:t>2021</w:t>
      </w:r>
      <w:r w:rsidRPr="008275A5">
        <w:rPr>
          <w:lang w:val="fr-FR"/>
        </w:rPr>
        <w:t>).</w:t>
      </w:r>
    </w:p>
  </w:footnote>
  <w:footnote w:id="100">
    <w:p w14:paraId="2D7AD937" w14:textId="20AC0895"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Rapport</w:t>
      </w:r>
      <w:r>
        <w:rPr>
          <w:color w:val="000000" w:themeColor="text1"/>
          <w:lang w:val="fr-FR"/>
        </w:rPr>
        <w:t xml:space="preserve"> </w:t>
      </w:r>
      <w:r w:rsidRPr="0021688E">
        <w:rPr>
          <w:color w:val="000000" w:themeColor="text1"/>
          <w:lang w:val="fr-FR"/>
        </w:rPr>
        <w:t>annuel</w:t>
      </w:r>
      <w:r>
        <w:rPr>
          <w:color w:val="000000" w:themeColor="text1"/>
          <w:lang w:val="fr-FR"/>
        </w:rPr>
        <w:t xml:space="preserve"> </w:t>
      </w:r>
      <w:r w:rsidRPr="0021688E">
        <w:rPr>
          <w:color w:val="000000" w:themeColor="text1"/>
          <w:lang w:val="fr-FR"/>
        </w:rPr>
        <w:t>sur</w:t>
      </w:r>
      <w:r>
        <w:rPr>
          <w:color w:val="000000" w:themeColor="text1"/>
          <w:lang w:val="fr-FR"/>
        </w:rPr>
        <w:t xml:space="preserve"> </w:t>
      </w:r>
      <w:r w:rsidRPr="0021688E">
        <w:rPr>
          <w:color w:val="000000" w:themeColor="text1"/>
          <w:lang w:val="fr-FR"/>
        </w:rPr>
        <w:t>les</w:t>
      </w:r>
      <w:r>
        <w:rPr>
          <w:color w:val="000000" w:themeColor="text1"/>
          <w:lang w:val="fr-FR"/>
        </w:rPr>
        <w:t xml:space="preserve"> </w:t>
      </w:r>
      <w:r w:rsidRPr="0021688E">
        <w:rPr>
          <w:color w:val="000000" w:themeColor="text1"/>
          <w:lang w:val="fr-FR"/>
        </w:rPr>
        <w:t>mesures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lutte</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(2017)</w:t>
      </w:r>
      <w:r>
        <w:rPr>
          <w:color w:val="000000" w:themeColor="text1"/>
          <w:lang w:val="fr-FR"/>
        </w:rPr>
        <w:t xml:space="preserve"> − </w:t>
      </w:r>
      <w:r w:rsidRPr="0021688E">
        <w:rPr>
          <w:color w:val="000000" w:themeColor="text1"/>
          <w:lang w:val="fr-FR"/>
        </w:rPr>
        <w:t>Commission</w:t>
      </w:r>
      <w:r>
        <w:rPr>
          <w:color w:val="000000" w:themeColor="text1"/>
          <w:lang w:val="fr-FR"/>
        </w:rPr>
        <w:t xml:space="preserve"> </w:t>
      </w:r>
      <w:r w:rsidRPr="0021688E">
        <w:rPr>
          <w:color w:val="000000" w:themeColor="text1"/>
          <w:lang w:val="fr-FR"/>
        </w:rPr>
        <w:t>interinstitutionnelle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lutte</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fins</w:t>
      </w:r>
      <w:r>
        <w:rPr>
          <w:color w:val="000000" w:themeColor="text1"/>
          <w:lang w:val="fr-FR"/>
        </w:rPr>
        <w:t xml:space="preserve"> </w:t>
      </w:r>
      <w:r w:rsidRPr="0021688E">
        <w:rPr>
          <w:color w:val="000000" w:themeColor="text1"/>
          <w:lang w:val="fr-FR"/>
        </w:rPr>
        <w:t>commerciales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traite</w:t>
      </w:r>
      <w:r>
        <w:rPr>
          <w:color w:val="000000" w:themeColor="text1"/>
          <w:lang w:val="fr-FR"/>
        </w:rPr>
        <w:t xml:space="preserve"> </w:t>
      </w:r>
      <w:r w:rsidRPr="0021688E">
        <w:rPr>
          <w:color w:val="000000" w:themeColor="text1"/>
          <w:lang w:val="fr-FR"/>
        </w:rPr>
        <w:t>des</w:t>
      </w:r>
      <w:r>
        <w:rPr>
          <w:color w:val="000000" w:themeColor="text1"/>
          <w:lang w:val="fr-FR"/>
        </w:rPr>
        <w:t> </w:t>
      </w:r>
      <w:r w:rsidRPr="0021688E">
        <w:rPr>
          <w:color w:val="000000" w:themeColor="text1"/>
          <w:lang w:val="fr-FR"/>
        </w:rPr>
        <w:t>personnes.</w:t>
      </w:r>
    </w:p>
  </w:footnote>
  <w:footnote w:id="101">
    <w:p w14:paraId="5CEBCC13" w14:textId="66C88382"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w:t>
      </w:r>
      <w:r>
        <w:rPr>
          <w:color w:val="000000" w:themeColor="text1"/>
          <w:lang w:val="fr-FR"/>
        </w:rPr>
        <w:t>t. </w:t>
      </w:r>
      <w:r w:rsidRPr="0021688E">
        <w:rPr>
          <w:color w:val="000000" w:themeColor="text1"/>
          <w:lang w:val="fr-FR"/>
        </w:rPr>
        <w:t>56</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loi</w:t>
      </w:r>
      <w:r>
        <w:rPr>
          <w:color w:val="000000" w:themeColor="text1"/>
          <w:lang w:val="fr-FR"/>
        </w:rPr>
        <w:t xml:space="preserve"> </w:t>
      </w:r>
      <w:r w:rsidRPr="0021688E">
        <w:rPr>
          <w:color w:val="000000" w:themeColor="text1"/>
          <w:lang w:val="fr-FR"/>
        </w:rPr>
        <w:t>spéciale</w:t>
      </w:r>
      <w:r>
        <w:rPr>
          <w:color w:val="000000" w:themeColor="text1"/>
          <w:lang w:val="fr-FR"/>
        </w:rPr>
        <w:t xml:space="preserve"> </w:t>
      </w:r>
      <w:r w:rsidRPr="0021688E">
        <w:rPr>
          <w:color w:val="000000" w:themeColor="text1"/>
          <w:lang w:val="fr-FR"/>
        </w:rPr>
        <w:t>relative</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adoption,</w:t>
      </w:r>
      <w:r>
        <w:rPr>
          <w:color w:val="000000" w:themeColor="text1"/>
          <w:lang w:val="fr-FR"/>
        </w:rPr>
        <w:t xml:space="preserve"> </w:t>
      </w:r>
      <w:r w:rsidRPr="0021688E">
        <w:rPr>
          <w:color w:val="000000" w:themeColor="text1"/>
          <w:lang w:val="fr-FR"/>
        </w:rPr>
        <w:t>décret-loi</w:t>
      </w:r>
      <w:r>
        <w:rPr>
          <w:color w:val="000000" w:themeColor="text1"/>
          <w:lang w:val="fr-FR"/>
        </w:rPr>
        <w:t xml:space="preserve"> </w:t>
      </w:r>
      <w:r w:rsidRPr="006B3441">
        <w:rPr>
          <w:rFonts w:eastAsia="MS Mincho"/>
          <w:color w:val="000000" w:themeColor="text1"/>
          <w:lang w:val="fr-FR"/>
        </w:rPr>
        <w:t>n</w:t>
      </w:r>
      <w:r w:rsidRPr="006B3441">
        <w:rPr>
          <w:rFonts w:eastAsia="MS Mincho"/>
          <w:color w:val="000000" w:themeColor="text1"/>
          <w:vertAlign w:val="superscript"/>
          <w:lang w:val="fr-FR"/>
        </w:rPr>
        <w:t>o</w:t>
      </w:r>
      <w:r>
        <w:rPr>
          <w:color w:val="000000" w:themeColor="text1"/>
          <w:lang w:val="fr-FR"/>
        </w:rPr>
        <w:t xml:space="preserve"> </w:t>
      </w:r>
      <w:r w:rsidRPr="0021688E">
        <w:rPr>
          <w:color w:val="000000" w:themeColor="text1"/>
          <w:lang w:val="fr-FR"/>
        </w:rPr>
        <w:t>102-2018.</w:t>
      </w:r>
    </w:p>
  </w:footnote>
  <w:footnote w:id="102">
    <w:p w14:paraId="5D00DE7A" w14:textId="7E3B524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12</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13</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règlement</w:t>
      </w:r>
      <w:r>
        <w:rPr>
          <w:color w:val="000000" w:themeColor="text1"/>
          <w:lang w:val="fr-FR"/>
        </w:rPr>
        <w:t xml:space="preserve"> </w:t>
      </w:r>
      <w:r w:rsidRPr="0021688E">
        <w:rPr>
          <w:color w:val="000000" w:themeColor="text1"/>
          <w:lang w:val="fr-FR"/>
        </w:rPr>
        <w:t>d</w:t>
      </w:r>
      <w:r>
        <w:rPr>
          <w:color w:val="000000" w:themeColor="text1"/>
          <w:lang w:val="fr-FR"/>
        </w:rPr>
        <w:t>’</w:t>
      </w:r>
      <w:r w:rsidRPr="0021688E">
        <w:rPr>
          <w:color w:val="000000" w:themeColor="text1"/>
          <w:lang w:val="fr-FR"/>
        </w:rPr>
        <w:t>application</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loi</w:t>
      </w:r>
      <w:r>
        <w:rPr>
          <w:color w:val="000000" w:themeColor="text1"/>
          <w:lang w:val="fr-FR"/>
        </w:rPr>
        <w:t xml:space="preserve"> </w:t>
      </w:r>
      <w:r w:rsidRPr="0021688E">
        <w:rPr>
          <w:color w:val="000000" w:themeColor="text1"/>
          <w:lang w:val="fr-FR"/>
        </w:rPr>
        <w:t>spéciale</w:t>
      </w:r>
      <w:r>
        <w:rPr>
          <w:color w:val="000000" w:themeColor="text1"/>
          <w:lang w:val="fr-FR"/>
        </w:rPr>
        <w:t xml:space="preserve"> </w:t>
      </w:r>
      <w:r w:rsidRPr="0021688E">
        <w:rPr>
          <w:color w:val="000000" w:themeColor="text1"/>
          <w:lang w:val="fr-FR"/>
        </w:rPr>
        <w:t>relative</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adoption</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Honduras.</w:t>
      </w:r>
    </w:p>
  </w:footnote>
  <w:footnote w:id="103">
    <w:p w14:paraId="0563C58A" w14:textId="319FA8F0"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Art</w:t>
      </w:r>
      <w:r>
        <w:rPr>
          <w:color w:val="000000" w:themeColor="text1"/>
          <w:lang w:val="fr-FR"/>
        </w:rPr>
        <w:t>. </w:t>
      </w:r>
      <w:r w:rsidRPr="0021688E">
        <w:rPr>
          <w:color w:val="000000" w:themeColor="text1"/>
          <w:lang w:val="fr-FR"/>
        </w:rPr>
        <w:t>282</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nouveau</w:t>
      </w:r>
      <w:r>
        <w:rPr>
          <w:color w:val="000000" w:themeColor="text1"/>
          <w:lang w:val="fr-FR"/>
        </w:rPr>
        <w:t xml:space="preserve"> </w:t>
      </w:r>
      <w:r w:rsidRPr="0021688E">
        <w:rPr>
          <w:color w:val="000000" w:themeColor="text1"/>
          <w:lang w:val="fr-FR"/>
        </w:rPr>
        <w:t>Code</w:t>
      </w:r>
      <w:r>
        <w:rPr>
          <w:color w:val="000000" w:themeColor="text1"/>
          <w:lang w:val="fr-FR"/>
        </w:rPr>
        <w:t xml:space="preserve"> </w:t>
      </w:r>
      <w:r w:rsidRPr="0021688E">
        <w:rPr>
          <w:color w:val="000000" w:themeColor="text1"/>
          <w:lang w:val="fr-FR"/>
        </w:rPr>
        <w:t>pénal.</w:t>
      </w:r>
    </w:p>
  </w:footnote>
  <w:footnote w:id="104">
    <w:p w14:paraId="5F9E0317" w14:textId="616DA90B"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Rapport</w:t>
      </w:r>
      <w:r>
        <w:rPr>
          <w:color w:val="000000" w:themeColor="text1"/>
          <w:lang w:val="fr-FR"/>
        </w:rPr>
        <w:t xml:space="preserve"> </w:t>
      </w:r>
      <w:r w:rsidRPr="0021688E">
        <w:rPr>
          <w:color w:val="000000" w:themeColor="text1"/>
          <w:lang w:val="fr-FR"/>
        </w:rPr>
        <w:t>national</w:t>
      </w:r>
      <w:r>
        <w:rPr>
          <w:color w:val="000000" w:themeColor="text1"/>
          <w:lang w:val="fr-FR"/>
        </w:rPr>
        <w:t xml:space="preserve"> </w:t>
      </w:r>
      <w:r w:rsidRPr="0021688E">
        <w:rPr>
          <w:color w:val="000000" w:themeColor="text1"/>
          <w:lang w:val="fr-FR"/>
        </w:rPr>
        <w:t>sur</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prévention</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prise</w:t>
      </w:r>
      <w:r>
        <w:rPr>
          <w:color w:val="000000" w:themeColor="text1"/>
          <w:lang w:val="fr-FR"/>
        </w:rPr>
        <w:t xml:space="preserve"> </w:t>
      </w:r>
      <w:r w:rsidRPr="0021688E">
        <w:rPr>
          <w:color w:val="000000" w:themeColor="text1"/>
          <w:lang w:val="fr-FR"/>
        </w:rPr>
        <w:t>en</w:t>
      </w:r>
      <w:r>
        <w:rPr>
          <w:color w:val="000000" w:themeColor="text1"/>
          <w:lang w:val="fr-FR"/>
        </w:rPr>
        <w:t xml:space="preserve"> </w:t>
      </w:r>
      <w:r w:rsidRPr="0021688E">
        <w:rPr>
          <w:color w:val="000000" w:themeColor="text1"/>
          <w:lang w:val="fr-FR"/>
        </w:rPr>
        <w:t>charge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victimes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poursuite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infractions</w:t>
      </w:r>
      <w:r>
        <w:rPr>
          <w:color w:val="000000" w:themeColor="text1"/>
          <w:lang w:val="fr-FR"/>
        </w:rPr>
        <w:t xml:space="preserve"> </w:t>
      </w:r>
      <w:r w:rsidRPr="0021688E">
        <w:rPr>
          <w:color w:val="000000" w:themeColor="text1"/>
          <w:lang w:val="fr-FR"/>
        </w:rPr>
        <w:t>de</w:t>
      </w:r>
      <w:r>
        <w:rPr>
          <w:color w:val="000000" w:themeColor="text1"/>
          <w:lang w:val="fr-FR"/>
        </w:rPr>
        <w:t> </w:t>
      </w:r>
      <w:r w:rsidRPr="0021688E">
        <w:rPr>
          <w:color w:val="000000" w:themeColor="text1"/>
          <w:lang w:val="fr-FR"/>
        </w:rPr>
        <w:t>traite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êtres</w:t>
      </w:r>
      <w:r>
        <w:rPr>
          <w:color w:val="000000" w:themeColor="text1"/>
          <w:lang w:val="fr-FR"/>
        </w:rPr>
        <w:t xml:space="preserve"> </w:t>
      </w:r>
      <w:r w:rsidRPr="0021688E">
        <w:rPr>
          <w:color w:val="000000" w:themeColor="text1"/>
          <w:lang w:val="fr-FR"/>
        </w:rPr>
        <w:t>humains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d</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Honduras</w:t>
      </w:r>
      <w:r>
        <w:rPr>
          <w:color w:val="000000" w:themeColor="text1"/>
          <w:lang w:val="fr-FR"/>
        </w:rPr>
        <w:t xml:space="preserve"> </w:t>
      </w:r>
      <w:r w:rsidRPr="0021688E">
        <w:rPr>
          <w:color w:val="000000" w:themeColor="text1"/>
          <w:lang w:val="fr-FR"/>
        </w:rPr>
        <w:t>(2020)</w:t>
      </w:r>
      <w:r>
        <w:rPr>
          <w:color w:val="000000" w:themeColor="text1"/>
          <w:lang w:val="fr-FR"/>
        </w:rPr>
        <w:t xml:space="preserve"> − </w:t>
      </w:r>
      <w:r w:rsidRPr="0021688E">
        <w:rPr>
          <w:color w:val="000000" w:themeColor="text1"/>
          <w:lang w:val="fr-FR"/>
        </w:rPr>
        <w:t>Commission</w:t>
      </w:r>
      <w:r>
        <w:rPr>
          <w:color w:val="000000" w:themeColor="text1"/>
          <w:lang w:val="fr-FR"/>
        </w:rPr>
        <w:t xml:space="preserve"> </w:t>
      </w:r>
      <w:r w:rsidRPr="0021688E">
        <w:rPr>
          <w:color w:val="000000" w:themeColor="text1"/>
          <w:lang w:val="fr-FR"/>
        </w:rPr>
        <w:t>interinstitutionnelle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lutte</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fins</w:t>
      </w:r>
      <w:r>
        <w:rPr>
          <w:color w:val="000000" w:themeColor="text1"/>
          <w:lang w:val="fr-FR"/>
        </w:rPr>
        <w:t xml:space="preserve"> </w:t>
      </w:r>
      <w:r w:rsidRPr="0021688E">
        <w:rPr>
          <w:color w:val="000000" w:themeColor="text1"/>
          <w:lang w:val="fr-FR"/>
        </w:rPr>
        <w:t>commerciales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traite</w:t>
      </w:r>
      <w:r>
        <w:rPr>
          <w:color w:val="000000" w:themeColor="text1"/>
          <w:lang w:val="fr-FR"/>
        </w:rPr>
        <w:t xml:space="preserve"> </w:t>
      </w:r>
      <w:r w:rsidRPr="0021688E">
        <w:rPr>
          <w:color w:val="000000" w:themeColor="text1"/>
          <w:lang w:val="fr-FR"/>
        </w:rPr>
        <w:t>des</w:t>
      </w:r>
      <w:r>
        <w:rPr>
          <w:color w:val="000000" w:themeColor="text1"/>
          <w:lang w:val="fr-FR"/>
        </w:rPr>
        <w:t> </w:t>
      </w:r>
      <w:r w:rsidRPr="0021688E">
        <w:rPr>
          <w:color w:val="000000" w:themeColor="text1"/>
          <w:lang w:val="fr-FR"/>
        </w:rPr>
        <w:t>personnes,</w:t>
      </w:r>
      <w:r>
        <w:rPr>
          <w:color w:val="000000" w:themeColor="text1"/>
          <w:lang w:val="fr-FR"/>
        </w:rPr>
        <w:t xml:space="preserve"> </w:t>
      </w:r>
      <w:r w:rsidRPr="0021688E">
        <w:rPr>
          <w:color w:val="000000" w:themeColor="text1"/>
          <w:lang w:val="fr-FR"/>
        </w:rPr>
        <w:t>p</w:t>
      </w:r>
      <w:r>
        <w:rPr>
          <w:color w:val="000000" w:themeColor="text1"/>
          <w:lang w:val="fr-FR"/>
        </w:rPr>
        <w:t>. </w:t>
      </w:r>
      <w:r w:rsidRPr="0021688E">
        <w:rPr>
          <w:color w:val="000000" w:themeColor="text1"/>
          <w:lang w:val="fr-FR"/>
        </w:rPr>
        <w:t>52.</w:t>
      </w:r>
    </w:p>
  </w:footnote>
  <w:footnote w:id="105">
    <w:p w14:paraId="4BE97FE4" w14:textId="1D6B54AF"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8" w:history="1">
        <w:r w:rsidRPr="006B3441">
          <w:rPr>
            <w:rStyle w:val="Lienhypertexte"/>
            <w:lang w:val="fr-FR"/>
          </w:rPr>
          <w:t>https://bit.ly/3yFu2hh</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25</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106">
    <w:p w14:paraId="57DC354E" w14:textId="66BDB071"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39" w:history="1">
        <w:r w:rsidRPr="006B3441">
          <w:rPr>
            <w:rStyle w:val="Lienhypertexte"/>
            <w:lang w:val="fr-FR"/>
          </w:rPr>
          <w:t>https://bit.ly/3dY88xO</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21</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107">
    <w:p w14:paraId="35F5C542" w14:textId="22583278"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Ces</w:t>
      </w:r>
      <w:r>
        <w:rPr>
          <w:color w:val="000000" w:themeColor="text1"/>
          <w:lang w:val="fr-FR"/>
        </w:rPr>
        <w:t xml:space="preserve"> </w:t>
      </w:r>
      <w:r w:rsidRPr="0021688E">
        <w:rPr>
          <w:color w:val="000000" w:themeColor="text1"/>
          <w:lang w:val="fr-FR"/>
        </w:rPr>
        <w:t>centres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formation</w:t>
      </w:r>
      <w:r>
        <w:rPr>
          <w:color w:val="000000" w:themeColor="text1"/>
          <w:lang w:val="fr-FR"/>
        </w:rPr>
        <w:t xml:space="preserve"> </w:t>
      </w:r>
      <w:r w:rsidRPr="0021688E">
        <w:rPr>
          <w:color w:val="000000" w:themeColor="text1"/>
          <w:lang w:val="fr-FR"/>
        </w:rPr>
        <w:t>incluent</w:t>
      </w:r>
      <w:r w:rsidR="00292E5A">
        <w:rPr>
          <w:color w:val="000000" w:themeColor="text1"/>
          <w:lang w:val="fr-FR"/>
        </w:rPr>
        <w:t xml:space="preserve"> : </w:t>
      </w:r>
      <w:r w:rsidRPr="0021688E">
        <w:rPr>
          <w:color w:val="000000" w:themeColor="text1"/>
          <w:lang w:val="fr-FR"/>
        </w:rPr>
        <w:t>l</w:t>
      </w:r>
      <w:r>
        <w:rPr>
          <w:color w:val="000000" w:themeColor="text1"/>
          <w:lang w:val="fr-FR"/>
        </w:rPr>
        <w:t>’</w:t>
      </w:r>
      <w:r w:rsidRPr="0021688E">
        <w:rPr>
          <w:color w:val="000000" w:themeColor="text1"/>
          <w:lang w:val="fr-FR"/>
        </w:rPr>
        <w:t>Université</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Police nationale </w:t>
      </w:r>
      <w:r w:rsidRPr="0021688E">
        <w:rPr>
          <w:color w:val="000000" w:themeColor="text1"/>
          <w:lang w:val="fr-FR"/>
        </w:rPr>
        <w:t>du</w:t>
      </w:r>
      <w:r>
        <w:rPr>
          <w:color w:val="000000" w:themeColor="text1"/>
          <w:lang w:val="fr-FR"/>
        </w:rPr>
        <w:t xml:space="preserve"> </w:t>
      </w:r>
      <w:r w:rsidRPr="0021688E">
        <w:rPr>
          <w:color w:val="000000" w:themeColor="text1"/>
          <w:lang w:val="fr-FR"/>
        </w:rPr>
        <w:t>Honduras,</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Institut</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formation</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police,</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Centre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formation</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officiers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police,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École</w:t>
      </w:r>
      <w:r>
        <w:rPr>
          <w:color w:val="000000" w:themeColor="text1"/>
          <w:lang w:val="fr-FR"/>
        </w:rPr>
        <w:t xml:space="preserve"> </w:t>
      </w:r>
      <w:r w:rsidRPr="0021688E">
        <w:rPr>
          <w:color w:val="000000" w:themeColor="text1"/>
          <w:lang w:val="fr-FR"/>
        </w:rPr>
        <w:t>nationale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police,</w:t>
      </w:r>
      <w:r>
        <w:rPr>
          <w:color w:val="000000" w:themeColor="text1"/>
          <w:lang w:val="fr-FR"/>
        </w:rPr>
        <w:t xml:space="preserve"> </w:t>
      </w:r>
      <w:r w:rsidRPr="0021688E">
        <w:rPr>
          <w:color w:val="000000" w:themeColor="text1"/>
          <w:lang w:val="fr-FR"/>
        </w:rPr>
        <w:t>les</w:t>
      </w:r>
      <w:r>
        <w:rPr>
          <w:color w:val="000000" w:themeColor="text1"/>
          <w:lang w:val="fr-FR"/>
        </w:rPr>
        <w:t xml:space="preserve"> </w:t>
      </w:r>
      <w:r w:rsidRPr="0021688E">
        <w:rPr>
          <w:color w:val="000000" w:themeColor="text1"/>
          <w:lang w:val="fr-FR"/>
        </w:rPr>
        <w:t>centres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formation</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agents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sous-officiers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police,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Institut</w:t>
      </w:r>
      <w:r>
        <w:rPr>
          <w:color w:val="000000" w:themeColor="text1"/>
          <w:lang w:val="fr-FR"/>
        </w:rPr>
        <w:t xml:space="preserve"> </w:t>
      </w:r>
      <w:r w:rsidRPr="0021688E">
        <w:rPr>
          <w:color w:val="000000" w:themeColor="text1"/>
          <w:lang w:val="fr-FR"/>
        </w:rPr>
        <w:t>technique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police,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École</w:t>
      </w:r>
      <w:r>
        <w:rPr>
          <w:color w:val="000000" w:themeColor="text1"/>
          <w:lang w:val="fr-FR"/>
        </w:rPr>
        <w:t xml:space="preserve"> </w:t>
      </w:r>
      <w:r w:rsidRPr="0021688E">
        <w:rPr>
          <w:color w:val="000000" w:themeColor="text1"/>
          <w:lang w:val="fr-FR"/>
        </w:rPr>
        <w:t>d</w:t>
      </w:r>
      <w:r>
        <w:rPr>
          <w:color w:val="000000" w:themeColor="text1"/>
          <w:lang w:val="fr-FR"/>
        </w:rPr>
        <w:t>’</w:t>
      </w:r>
      <w:r w:rsidRPr="0021688E">
        <w:rPr>
          <w:color w:val="000000" w:themeColor="text1"/>
          <w:lang w:val="fr-FR"/>
        </w:rPr>
        <w:t>enquête</w:t>
      </w:r>
      <w:r>
        <w:rPr>
          <w:color w:val="000000" w:themeColor="text1"/>
          <w:lang w:val="fr-FR"/>
        </w:rPr>
        <w:t xml:space="preserve"> </w:t>
      </w:r>
      <w:r w:rsidRPr="0021688E">
        <w:rPr>
          <w:color w:val="000000" w:themeColor="text1"/>
          <w:lang w:val="fr-FR"/>
        </w:rPr>
        <w:t>criminelle</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Centre</w:t>
      </w:r>
      <w:r>
        <w:rPr>
          <w:color w:val="000000" w:themeColor="text1"/>
          <w:lang w:val="fr-FR"/>
        </w:rPr>
        <w:t xml:space="preserve"> </w:t>
      </w:r>
      <w:r w:rsidRPr="0021688E">
        <w:rPr>
          <w:color w:val="000000" w:themeColor="text1"/>
          <w:lang w:val="fr-FR"/>
        </w:rPr>
        <w:t>d</w:t>
      </w:r>
      <w:r>
        <w:rPr>
          <w:color w:val="000000" w:themeColor="text1"/>
          <w:lang w:val="fr-FR"/>
        </w:rPr>
        <w:t>’</w:t>
      </w:r>
      <w:r w:rsidRPr="0021688E">
        <w:rPr>
          <w:color w:val="000000" w:themeColor="text1"/>
          <w:lang w:val="fr-FR"/>
        </w:rPr>
        <w:t>études</w:t>
      </w:r>
      <w:r>
        <w:rPr>
          <w:color w:val="000000" w:themeColor="text1"/>
          <w:lang w:val="fr-FR"/>
        </w:rPr>
        <w:t xml:space="preserve"> </w:t>
      </w:r>
      <w:r w:rsidRPr="0021688E">
        <w:rPr>
          <w:color w:val="000000" w:themeColor="text1"/>
          <w:lang w:val="fr-FR"/>
        </w:rPr>
        <w:t>techniques</w:t>
      </w:r>
      <w:r>
        <w:rPr>
          <w:color w:val="000000" w:themeColor="text1"/>
          <w:lang w:val="fr-FR"/>
        </w:rPr>
        <w:t xml:space="preserve"> </w:t>
      </w:r>
      <w:r w:rsidRPr="0021688E">
        <w:rPr>
          <w:color w:val="000000" w:themeColor="text1"/>
          <w:lang w:val="fr-FR"/>
        </w:rPr>
        <w:t>spécialisées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police.</w:t>
      </w:r>
    </w:p>
  </w:footnote>
  <w:footnote w:id="108">
    <w:p w14:paraId="309D393D" w14:textId="6D2D4795"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Disponible</w:t>
      </w:r>
      <w:r>
        <w:rPr>
          <w:color w:val="000000" w:themeColor="text1"/>
          <w:lang w:val="fr-FR"/>
        </w:rPr>
        <w:t xml:space="preserve"> </w:t>
      </w:r>
      <w:r w:rsidRPr="0021688E">
        <w:rPr>
          <w:color w:val="000000" w:themeColor="text1"/>
          <w:lang w:val="fr-FR"/>
        </w:rPr>
        <w:t>sur</w:t>
      </w:r>
      <w:r>
        <w:rPr>
          <w:color w:val="000000" w:themeColor="text1"/>
          <w:lang w:val="fr-FR"/>
        </w:rPr>
        <w:t xml:space="preserve"> : </w:t>
      </w:r>
      <w:hyperlink r:id="rId40" w:history="1">
        <w:r w:rsidRPr="006B3441">
          <w:rPr>
            <w:rStyle w:val="Lienhypertexte"/>
            <w:lang w:val="fr-FR"/>
          </w:rPr>
          <w:t>https://pavdh.sedh.gob.hn/</w:t>
        </w:r>
      </w:hyperlink>
      <w:r>
        <w:rPr>
          <w:color w:val="000000" w:themeColor="text1"/>
          <w:lang w:val="fr-FR"/>
        </w:rPr>
        <w:t xml:space="preserve"> </w:t>
      </w:r>
      <w:r w:rsidRPr="0021688E">
        <w:rPr>
          <w:color w:val="000000" w:themeColor="text1"/>
          <w:lang w:val="fr-FR"/>
        </w:rPr>
        <w:t>(consulté</w:t>
      </w:r>
      <w:r>
        <w:rPr>
          <w:color w:val="000000" w:themeColor="text1"/>
          <w:lang w:val="fr-FR"/>
        </w:rPr>
        <w:t xml:space="preserve"> </w:t>
      </w:r>
      <w:r w:rsidRPr="0021688E">
        <w:rPr>
          <w:color w:val="000000" w:themeColor="text1"/>
          <w:lang w:val="fr-FR"/>
        </w:rPr>
        <w:t>le</w:t>
      </w:r>
      <w:r>
        <w:rPr>
          <w:color w:val="000000" w:themeColor="text1"/>
          <w:lang w:val="fr-FR"/>
        </w:rPr>
        <w:t xml:space="preserve"> </w:t>
      </w:r>
      <w:r w:rsidRPr="0021688E">
        <w:rPr>
          <w:color w:val="000000" w:themeColor="text1"/>
          <w:lang w:val="fr-FR"/>
        </w:rPr>
        <w:t>24</w:t>
      </w:r>
      <w:r>
        <w:rPr>
          <w:color w:val="000000" w:themeColor="text1"/>
          <w:lang w:val="fr-FR"/>
        </w:rPr>
        <w:t> </w:t>
      </w:r>
      <w:r w:rsidRPr="0021688E">
        <w:rPr>
          <w:color w:val="000000" w:themeColor="text1"/>
          <w:lang w:val="fr-FR"/>
        </w:rPr>
        <w:t>mai</w:t>
      </w:r>
      <w:r>
        <w:rPr>
          <w:color w:val="000000" w:themeColor="text1"/>
          <w:lang w:val="fr-FR"/>
        </w:rPr>
        <w:t xml:space="preserve"> </w:t>
      </w:r>
      <w:r w:rsidRPr="0021688E">
        <w:rPr>
          <w:color w:val="000000" w:themeColor="text1"/>
          <w:lang w:val="fr-FR"/>
        </w:rPr>
        <w:t>2021).</w:t>
      </w:r>
    </w:p>
  </w:footnote>
  <w:footnote w:id="109">
    <w:p w14:paraId="1AA99ED9" w14:textId="440392F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Rapport</w:t>
      </w:r>
      <w:r>
        <w:rPr>
          <w:color w:val="000000" w:themeColor="text1"/>
          <w:lang w:val="fr-FR"/>
        </w:rPr>
        <w:t xml:space="preserve"> </w:t>
      </w:r>
      <w:r w:rsidRPr="0021688E">
        <w:rPr>
          <w:color w:val="000000" w:themeColor="text1"/>
          <w:lang w:val="fr-FR"/>
        </w:rPr>
        <w:t>national</w:t>
      </w:r>
      <w:r>
        <w:rPr>
          <w:color w:val="000000" w:themeColor="text1"/>
          <w:lang w:val="fr-FR"/>
        </w:rPr>
        <w:t xml:space="preserve"> </w:t>
      </w:r>
      <w:r w:rsidRPr="0021688E">
        <w:rPr>
          <w:color w:val="000000" w:themeColor="text1"/>
          <w:lang w:val="fr-FR"/>
        </w:rPr>
        <w:t>sur</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prévention</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prise</w:t>
      </w:r>
      <w:r>
        <w:rPr>
          <w:color w:val="000000" w:themeColor="text1"/>
          <w:lang w:val="fr-FR"/>
        </w:rPr>
        <w:t xml:space="preserve"> </w:t>
      </w:r>
      <w:r w:rsidRPr="0021688E">
        <w:rPr>
          <w:color w:val="000000" w:themeColor="text1"/>
          <w:lang w:val="fr-FR"/>
        </w:rPr>
        <w:t>en</w:t>
      </w:r>
      <w:r>
        <w:rPr>
          <w:color w:val="000000" w:themeColor="text1"/>
          <w:lang w:val="fr-FR"/>
        </w:rPr>
        <w:t xml:space="preserve"> </w:t>
      </w:r>
      <w:r w:rsidRPr="0021688E">
        <w:rPr>
          <w:color w:val="000000" w:themeColor="text1"/>
          <w:lang w:val="fr-FR"/>
        </w:rPr>
        <w:t>charge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victimes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poursuite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infractions</w:t>
      </w:r>
      <w:r>
        <w:rPr>
          <w:color w:val="000000" w:themeColor="text1"/>
          <w:lang w:val="fr-FR"/>
        </w:rPr>
        <w:t xml:space="preserve"> </w:t>
      </w:r>
      <w:r w:rsidRPr="0021688E">
        <w:rPr>
          <w:color w:val="000000" w:themeColor="text1"/>
          <w:lang w:val="fr-FR"/>
        </w:rPr>
        <w:t>de</w:t>
      </w:r>
      <w:r>
        <w:rPr>
          <w:color w:val="000000" w:themeColor="text1"/>
          <w:lang w:val="fr-FR"/>
        </w:rPr>
        <w:t> </w:t>
      </w:r>
      <w:r w:rsidRPr="0021688E">
        <w:rPr>
          <w:color w:val="000000" w:themeColor="text1"/>
          <w:lang w:val="fr-FR"/>
        </w:rPr>
        <w:t>traite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êtres</w:t>
      </w:r>
      <w:r>
        <w:rPr>
          <w:color w:val="000000" w:themeColor="text1"/>
          <w:lang w:val="fr-FR"/>
        </w:rPr>
        <w:t xml:space="preserve"> </w:t>
      </w:r>
      <w:r w:rsidRPr="0021688E">
        <w:rPr>
          <w:color w:val="000000" w:themeColor="text1"/>
          <w:lang w:val="fr-FR"/>
        </w:rPr>
        <w:t>humains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d</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au</w:t>
      </w:r>
      <w:r>
        <w:rPr>
          <w:color w:val="000000" w:themeColor="text1"/>
          <w:lang w:val="fr-FR"/>
        </w:rPr>
        <w:t xml:space="preserve"> </w:t>
      </w:r>
      <w:r w:rsidRPr="0021688E">
        <w:rPr>
          <w:color w:val="000000" w:themeColor="text1"/>
          <w:lang w:val="fr-FR"/>
        </w:rPr>
        <w:t>Honduras</w:t>
      </w:r>
      <w:r>
        <w:rPr>
          <w:color w:val="000000" w:themeColor="text1"/>
          <w:lang w:val="fr-FR"/>
        </w:rPr>
        <w:t xml:space="preserve"> </w:t>
      </w:r>
      <w:r w:rsidRPr="0021688E">
        <w:rPr>
          <w:color w:val="000000" w:themeColor="text1"/>
          <w:lang w:val="fr-FR"/>
        </w:rPr>
        <w:t>(2020)</w:t>
      </w:r>
      <w:r>
        <w:rPr>
          <w:color w:val="000000" w:themeColor="text1"/>
          <w:lang w:val="fr-FR"/>
        </w:rPr>
        <w:t xml:space="preserve"> − </w:t>
      </w:r>
      <w:r w:rsidRPr="0021688E">
        <w:rPr>
          <w:color w:val="000000" w:themeColor="text1"/>
          <w:lang w:val="fr-FR"/>
        </w:rPr>
        <w:t>Commission</w:t>
      </w:r>
      <w:r>
        <w:rPr>
          <w:color w:val="000000" w:themeColor="text1"/>
          <w:lang w:val="fr-FR"/>
        </w:rPr>
        <w:t xml:space="preserve"> </w:t>
      </w:r>
      <w:r w:rsidRPr="0021688E">
        <w:rPr>
          <w:color w:val="000000" w:themeColor="text1"/>
          <w:lang w:val="fr-FR"/>
        </w:rPr>
        <w:t>interinstitutionnelle</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lutte</w:t>
      </w:r>
      <w:r>
        <w:rPr>
          <w:color w:val="000000" w:themeColor="text1"/>
          <w:lang w:val="fr-FR"/>
        </w:rPr>
        <w:t xml:space="preserve"> </w:t>
      </w:r>
      <w:r w:rsidRPr="0021688E">
        <w:rPr>
          <w:color w:val="000000" w:themeColor="text1"/>
          <w:lang w:val="fr-FR"/>
        </w:rPr>
        <w:t>contre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exploitation</w:t>
      </w:r>
      <w:r>
        <w:rPr>
          <w:color w:val="000000" w:themeColor="text1"/>
          <w:lang w:val="fr-FR"/>
        </w:rPr>
        <w:t xml:space="preserve"> </w:t>
      </w:r>
      <w:r w:rsidRPr="0021688E">
        <w:rPr>
          <w:color w:val="000000" w:themeColor="text1"/>
          <w:lang w:val="fr-FR"/>
        </w:rPr>
        <w:t>sexuelle</w:t>
      </w:r>
      <w:r>
        <w:rPr>
          <w:color w:val="000000" w:themeColor="text1"/>
          <w:lang w:val="fr-FR"/>
        </w:rPr>
        <w:t xml:space="preserve"> </w:t>
      </w:r>
      <w:r w:rsidRPr="0021688E">
        <w:rPr>
          <w:color w:val="000000" w:themeColor="text1"/>
          <w:lang w:val="fr-FR"/>
        </w:rPr>
        <w:t>à</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fins</w:t>
      </w:r>
      <w:r>
        <w:rPr>
          <w:color w:val="000000" w:themeColor="text1"/>
          <w:lang w:val="fr-FR"/>
        </w:rPr>
        <w:t xml:space="preserve"> </w:t>
      </w:r>
      <w:r w:rsidRPr="0021688E">
        <w:rPr>
          <w:color w:val="000000" w:themeColor="text1"/>
          <w:lang w:val="fr-FR"/>
        </w:rPr>
        <w:t>commerciales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la</w:t>
      </w:r>
      <w:r>
        <w:rPr>
          <w:color w:val="000000" w:themeColor="text1"/>
          <w:lang w:val="fr-FR"/>
        </w:rPr>
        <w:t xml:space="preserve"> </w:t>
      </w:r>
      <w:r w:rsidRPr="0021688E">
        <w:rPr>
          <w:color w:val="000000" w:themeColor="text1"/>
          <w:lang w:val="fr-FR"/>
        </w:rPr>
        <w:t>traite</w:t>
      </w:r>
      <w:r>
        <w:rPr>
          <w:color w:val="000000" w:themeColor="text1"/>
          <w:lang w:val="fr-FR"/>
        </w:rPr>
        <w:t xml:space="preserve"> </w:t>
      </w:r>
      <w:r w:rsidRPr="0021688E">
        <w:rPr>
          <w:color w:val="000000" w:themeColor="text1"/>
          <w:lang w:val="fr-FR"/>
        </w:rPr>
        <w:t>des</w:t>
      </w:r>
      <w:r>
        <w:rPr>
          <w:color w:val="000000" w:themeColor="text1"/>
          <w:lang w:val="fr-FR"/>
        </w:rPr>
        <w:t> </w:t>
      </w:r>
      <w:r w:rsidRPr="0021688E">
        <w:rPr>
          <w:color w:val="000000" w:themeColor="text1"/>
          <w:lang w:val="fr-FR"/>
        </w:rPr>
        <w:t>personnes.</w:t>
      </w:r>
    </w:p>
  </w:footnote>
  <w:footnote w:id="110">
    <w:p w14:paraId="783F9B75" w14:textId="6D2B9890" w:rsidR="001A447E" w:rsidRPr="0021688E" w:rsidRDefault="001A447E" w:rsidP="00286956">
      <w:pPr>
        <w:pStyle w:val="Notedebasdepage"/>
        <w:rPr>
          <w:lang w:val="fr-FR"/>
        </w:rPr>
      </w:pPr>
      <w:r w:rsidRPr="0021688E">
        <w:rPr>
          <w:lang w:val="fr-FR"/>
        </w:rPr>
        <w:tab/>
      </w:r>
      <w:r w:rsidRPr="008516D1">
        <w:rPr>
          <w:rStyle w:val="Appelnotedebasdep"/>
        </w:rPr>
        <w:footnoteRef/>
      </w:r>
      <w:r w:rsidRPr="0021688E">
        <w:rPr>
          <w:lang w:val="fr-FR"/>
        </w:rPr>
        <w:tab/>
        <w:t>Disponible</w:t>
      </w:r>
      <w:r>
        <w:rPr>
          <w:lang w:val="fr-FR"/>
        </w:rPr>
        <w:t xml:space="preserve"> </w:t>
      </w:r>
      <w:r w:rsidRPr="0021688E">
        <w:rPr>
          <w:lang w:val="fr-FR"/>
        </w:rPr>
        <w:t>sur</w:t>
      </w:r>
      <w:r>
        <w:rPr>
          <w:lang w:val="fr-FR"/>
        </w:rPr>
        <w:t xml:space="preserve"> : </w:t>
      </w:r>
      <w:hyperlink r:id="rId41" w:history="1">
        <w:r w:rsidRPr="006B3441">
          <w:rPr>
            <w:rStyle w:val="Lienhypertexte"/>
            <w:lang w:val="fr-FR"/>
          </w:rPr>
          <w:t>https://bit.ly/3qZaAJA</w:t>
        </w:r>
      </w:hyperlink>
      <w:r>
        <w:rPr>
          <w:lang w:val="fr-FR"/>
        </w:rPr>
        <w:t xml:space="preserve"> </w:t>
      </w:r>
      <w:r w:rsidRPr="0021688E">
        <w:rPr>
          <w:lang w:val="fr-FR"/>
        </w:rPr>
        <w:t>(consulté</w:t>
      </w:r>
      <w:r>
        <w:rPr>
          <w:lang w:val="fr-FR"/>
        </w:rPr>
        <w:t xml:space="preserve"> </w:t>
      </w:r>
      <w:r w:rsidRPr="0021688E">
        <w:rPr>
          <w:lang w:val="fr-FR"/>
        </w:rPr>
        <w:t>le</w:t>
      </w:r>
      <w:r>
        <w:rPr>
          <w:lang w:val="fr-FR"/>
        </w:rPr>
        <w:t xml:space="preserve"> </w:t>
      </w:r>
      <w:r w:rsidRPr="0021688E">
        <w:rPr>
          <w:lang w:val="fr-FR"/>
        </w:rPr>
        <w:t>21</w:t>
      </w:r>
      <w:r>
        <w:rPr>
          <w:lang w:val="fr-FR"/>
        </w:rPr>
        <w:t> </w:t>
      </w:r>
      <w:r w:rsidRPr="0021688E">
        <w:rPr>
          <w:lang w:val="fr-FR"/>
        </w:rPr>
        <w:t>mai</w:t>
      </w:r>
      <w:r>
        <w:rPr>
          <w:lang w:val="fr-FR"/>
        </w:rPr>
        <w:t xml:space="preserve"> </w:t>
      </w:r>
      <w:r w:rsidRPr="0021688E">
        <w:rPr>
          <w:lang w:val="fr-FR"/>
        </w:rPr>
        <w:t>2021</w:t>
      </w:r>
      <w:r w:rsidRPr="008275A5">
        <w:rPr>
          <w:lang w:val="fr-FR"/>
        </w:rPr>
        <w:t>).</w:t>
      </w:r>
    </w:p>
  </w:footnote>
  <w:footnote w:id="111">
    <w:p w14:paraId="3B3BD349" w14:textId="03663084" w:rsidR="001A447E" w:rsidRPr="00F7770B" w:rsidRDefault="001A447E" w:rsidP="00286956">
      <w:pPr>
        <w:pStyle w:val="Notedebasdepage"/>
        <w:rPr>
          <w:lang w:val="fr-FR"/>
        </w:rPr>
      </w:pPr>
      <w:r w:rsidRPr="0021688E">
        <w:rPr>
          <w:lang w:val="fr-FR"/>
        </w:rPr>
        <w:tab/>
      </w:r>
      <w:r w:rsidRPr="008516D1">
        <w:rPr>
          <w:rStyle w:val="Appelnotedebasdep"/>
        </w:rPr>
        <w:footnoteRef/>
      </w:r>
      <w:r w:rsidRPr="0021688E">
        <w:rPr>
          <w:color w:val="000000" w:themeColor="text1"/>
          <w:lang w:val="fr-FR"/>
        </w:rPr>
        <w:tab/>
      </w:r>
      <w:r w:rsidRPr="00F7770B">
        <w:rPr>
          <w:lang w:val="fr-FR"/>
        </w:rPr>
        <w:t>Disponible</w:t>
      </w:r>
      <w:r>
        <w:rPr>
          <w:lang w:val="fr-FR"/>
        </w:rPr>
        <w:t xml:space="preserve"> </w:t>
      </w:r>
      <w:r w:rsidRPr="00F7770B">
        <w:rPr>
          <w:lang w:val="fr-FR"/>
        </w:rPr>
        <w:t>sur</w:t>
      </w:r>
      <w:r>
        <w:rPr>
          <w:lang w:val="fr-FR"/>
        </w:rPr>
        <w:t xml:space="preserve"> : </w:t>
      </w:r>
      <w:hyperlink r:id="rId42" w:history="1">
        <w:r w:rsidRPr="006B3441">
          <w:rPr>
            <w:rStyle w:val="Lienhypertexte"/>
            <w:lang w:val="fr-FR"/>
          </w:rPr>
          <w:t>https://bit.ly/3qZaAJA</w:t>
        </w:r>
      </w:hyperlink>
      <w:r>
        <w:rPr>
          <w:lang w:val="fr-FR"/>
        </w:rPr>
        <w:t xml:space="preserve"> </w:t>
      </w:r>
      <w:r w:rsidRPr="00F7770B">
        <w:rPr>
          <w:lang w:val="fr-FR"/>
        </w:rPr>
        <w:t>(consulté</w:t>
      </w:r>
      <w:r>
        <w:rPr>
          <w:lang w:val="fr-FR"/>
        </w:rPr>
        <w:t xml:space="preserve"> </w:t>
      </w:r>
      <w:r w:rsidRPr="00F7770B">
        <w:rPr>
          <w:lang w:val="fr-FR"/>
        </w:rPr>
        <w:t>le</w:t>
      </w:r>
      <w:r>
        <w:rPr>
          <w:lang w:val="fr-FR"/>
        </w:rPr>
        <w:t xml:space="preserve"> </w:t>
      </w:r>
      <w:r w:rsidRPr="00F7770B">
        <w:rPr>
          <w:lang w:val="fr-FR"/>
        </w:rPr>
        <w:t>5</w:t>
      </w:r>
      <w:r>
        <w:rPr>
          <w:lang w:val="fr-FR"/>
        </w:rPr>
        <w:t> </w:t>
      </w:r>
      <w:r w:rsidRPr="00F7770B">
        <w:rPr>
          <w:lang w:val="fr-FR"/>
        </w:rPr>
        <w:t>mai</w:t>
      </w:r>
      <w:r>
        <w:rPr>
          <w:lang w:val="fr-FR"/>
        </w:rPr>
        <w:t xml:space="preserve"> </w:t>
      </w:r>
      <w:r w:rsidRPr="00F7770B">
        <w:rPr>
          <w:lang w:val="fr-FR"/>
        </w:rPr>
        <w:t>2021).</w:t>
      </w:r>
    </w:p>
  </w:footnote>
  <w:footnote w:id="112">
    <w:p w14:paraId="0125740F" w14:textId="409A59BC"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Cour</w:t>
      </w:r>
      <w:r>
        <w:rPr>
          <w:color w:val="000000" w:themeColor="text1"/>
          <w:lang w:val="fr-FR"/>
        </w:rPr>
        <w:t xml:space="preserve"> </w:t>
      </w:r>
      <w:r w:rsidRPr="0021688E">
        <w:rPr>
          <w:color w:val="000000" w:themeColor="text1"/>
          <w:lang w:val="fr-FR"/>
        </w:rPr>
        <w:t>interaméricaine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droits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homme.</w:t>
      </w:r>
      <w:r>
        <w:rPr>
          <w:color w:val="000000" w:themeColor="text1"/>
          <w:lang w:val="fr-FR"/>
        </w:rPr>
        <w:t xml:space="preserve"> </w:t>
      </w:r>
      <w:r w:rsidRPr="0021688E">
        <w:rPr>
          <w:color w:val="000000" w:themeColor="text1"/>
          <w:lang w:val="fr-FR"/>
        </w:rPr>
        <w:t>Affaire</w:t>
      </w:r>
      <w:r>
        <w:rPr>
          <w:color w:val="000000" w:themeColor="text1"/>
          <w:lang w:val="fr-FR"/>
        </w:rPr>
        <w:t xml:space="preserve"> </w:t>
      </w:r>
      <w:r w:rsidRPr="006B3441">
        <w:rPr>
          <w:i/>
          <w:iCs/>
          <w:color w:val="000000" w:themeColor="text1"/>
          <w:lang w:val="fr-FR"/>
        </w:rPr>
        <w:t xml:space="preserve">Roche </w:t>
      </w:r>
      <w:proofErr w:type="spellStart"/>
      <w:r w:rsidRPr="006B3441">
        <w:rPr>
          <w:i/>
          <w:iCs/>
          <w:color w:val="000000" w:themeColor="text1"/>
          <w:lang w:val="fr-FR"/>
        </w:rPr>
        <w:t>Azaña</w:t>
      </w:r>
      <w:proofErr w:type="spellEnd"/>
      <w:r w:rsidRPr="006B3441">
        <w:rPr>
          <w:i/>
          <w:iCs/>
          <w:color w:val="000000" w:themeColor="text1"/>
          <w:lang w:val="fr-FR"/>
        </w:rPr>
        <w:t xml:space="preserve"> et consorts c. Nicaragua</w:t>
      </w:r>
      <w:r w:rsidRPr="0021688E">
        <w:rPr>
          <w:color w:val="000000" w:themeColor="text1"/>
          <w:lang w:val="fr-FR"/>
        </w:rPr>
        <w:t>.</w:t>
      </w:r>
      <w:r>
        <w:rPr>
          <w:color w:val="000000" w:themeColor="text1"/>
          <w:lang w:val="fr-FR"/>
        </w:rPr>
        <w:t xml:space="preserve"> </w:t>
      </w:r>
      <w:r w:rsidRPr="0021688E">
        <w:rPr>
          <w:color w:val="000000" w:themeColor="text1"/>
          <w:lang w:val="fr-FR"/>
        </w:rPr>
        <w:t>Fond</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réparations.</w:t>
      </w:r>
      <w:r>
        <w:rPr>
          <w:color w:val="000000" w:themeColor="text1"/>
          <w:lang w:val="fr-FR"/>
        </w:rPr>
        <w:t xml:space="preserve"> </w:t>
      </w:r>
      <w:r w:rsidRPr="0021688E">
        <w:rPr>
          <w:color w:val="000000" w:themeColor="text1"/>
          <w:lang w:val="fr-FR"/>
        </w:rPr>
        <w:t>Arrêt</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3</w:t>
      </w:r>
      <w:r>
        <w:rPr>
          <w:color w:val="000000" w:themeColor="text1"/>
          <w:lang w:val="fr-FR"/>
        </w:rPr>
        <w:t> </w:t>
      </w:r>
      <w:r w:rsidRPr="0021688E">
        <w:rPr>
          <w:color w:val="000000" w:themeColor="text1"/>
          <w:lang w:val="fr-FR"/>
        </w:rPr>
        <w:t>juin</w:t>
      </w:r>
      <w:r>
        <w:rPr>
          <w:color w:val="000000" w:themeColor="text1"/>
          <w:lang w:val="fr-FR"/>
        </w:rPr>
        <w:t xml:space="preserve"> </w:t>
      </w:r>
      <w:r w:rsidRPr="0021688E">
        <w:rPr>
          <w:color w:val="000000" w:themeColor="text1"/>
          <w:lang w:val="fr-FR"/>
        </w:rPr>
        <w:t>2020,</w:t>
      </w:r>
      <w:r>
        <w:rPr>
          <w:color w:val="000000" w:themeColor="text1"/>
          <w:lang w:val="fr-FR"/>
        </w:rPr>
        <w:t xml:space="preserve"> </w:t>
      </w:r>
      <w:r w:rsidRPr="0021688E">
        <w:rPr>
          <w:color w:val="000000" w:themeColor="text1"/>
          <w:lang w:val="fr-FR"/>
        </w:rPr>
        <w:t>par</w:t>
      </w:r>
      <w:r>
        <w:rPr>
          <w:color w:val="000000" w:themeColor="text1"/>
          <w:lang w:val="fr-FR"/>
        </w:rPr>
        <w:t>. </w:t>
      </w:r>
      <w:r w:rsidRPr="0021688E">
        <w:rPr>
          <w:color w:val="000000" w:themeColor="text1"/>
          <w:lang w:val="fr-FR"/>
        </w:rPr>
        <w:t>100.</w:t>
      </w:r>
    </w:p>
  </w:footnote>
  <w:footnote w:id="113">
    <w:p w14:paraId="14E22371" w14:textId="77D828AD" w:rsidR="001A447E" w:rsidRPr="0021688E" w:rsidRDefault="001A447E" w:rsidP="00286956">
      <w:pPr>
        <w:pStyle w:val="Notedebasdepage"/>
        <w:rPr>
          <w:color w:val="000000" w:themeColor="text1"/>
          <w:lang w:val="fr-FR"/>
        </w:rPr>
      </w:pPr>
      <w:r w:rsidRPr="0021688E">
        <w:rPr>
          <w:lang w:val="fr-FR"/>
        </w:rPr>
        <w:tab/>
      </w:r>
      <w:r w:rsidRPr="008516D1">
        <w:rPr>
          <w:rStyle w:val="Appelnotedebasdep"/>
        </w:rPr>
        <w:footnoteRef/>
      </w:r>
      <w:r w:rsidRPr="0021688E">
        <w:rPr>
          <w:color w:val="000000" w:themeColor="text1"/>
          <w:lang w:val="fr-FR"/>
        </w:rPr>
        <w:tab/>
        <w:t>Cour</w:t>
      </w:r>
      <w:r>
        <w:rPr>
          <w:color w:val="000000" w:themeColor="text1"/>
          <w:lang w:val="fr-FR"/>
        </w:rPr>
        <w:t xml:space="preserve"> </w:t>
      </w:r>
      <w:r w:rsidRPr="0021688E">
        <w:rPr>
          <w:color w:val="000000" w:themeColor="text1"/>
          <w:lang w:val="fr-FR"/>
        </w:rPr>
        <w:t>interaméricaine</w:t>
      </w:r>
      <w:r>
        <w:rPr>
          <w:color w:val="000000" w:themeColor="text1"/>
          <w:lang w:val="fr-FR"/>
        </w:rPr>
        <w:t xml:space="preserve"> </w:t>
      </w:r>
      <w:r w:rsidRPr="0021688E">
        <w:rPr>
          <w:color w:val="000000" w:themeColor="text1"/>
          <w:lang w:val="fr-FR"/>
        </w:rPr>
        <w:t>des</w:t>
      </w:r>
      <w:r>
        <w:rPr>
          <w:color w:val="000000" w:themeColor="text1"/>
          <w:lang w:val="fr-FR"/>
        </w:rPr>
        <w:t xml:space="preserve"> </w:t>
      </w:r>
      <w:r w:rsidRPr="0021688E">
        <w:rPr>
          <w:color w:val="000000" w:themeColor="text1"/>
          <w:lang w:val="fr-FR"/>
        </w:rPr>
        <w:t>droits</w:t>
      </w:r>
      <w:r>
        <w:rPr>
          <w:color w:val="000000" w:themeColor="text1"/>
          <w:lang w:val="fr-FR"/>
        </w:rPr>
        <w:t xml:space="preserve"> </w:t>
      </w:r>
      <w:r w:rsidRPr="0021688E">
        <w:rPr>
          <w:color w:val="000000" w:themeColor="text1"/>
          <w:lang w:val="fr-FR"/>
        </w:rPr>
        <w:t>de</w:t>
      </w:r>
      <w:r>
        <w:rPr>
          <w:color w:val="000000" w:themeColor="text1"/>
          <w:lang w:val="fr-FR"/>
        </w:rPr>
        <w:t xml:space="preserve"> </w:t>
      </w:r>
      <w:r w:rsidRPr="0021688E">
        <w:rPr>
          <w:color w:val="000000" w:themeColor="text1"/>
          <w:lang w:val="fr-FR"/>
        </w:rPr>
        <w:t>l</w:t>
      </w:r>
      <w:r>
        <w:rPr>
          <w:color w:val="000000" w:themeColor="text1"/>
          <w:lang w:val="fr-FR"/>
        </w:rPr>
        <w:t>’</w:t>
      </w:r>
      <w:r w:rsidRPr="0021688E">
        <w:rPr>
          <w:color w:val="000000" w:themeColor="text1"/>
          <w:lang w:val="fr-FR"/>
        </w:rPr>
        <w:t>homme.</w:t>
      </w:r>
      <w:r>
        <w:rPr>
          <w:color w:val="000000" w:themeColor="text1"/>
          <w:lang w:val="fr-FR"/>
        </w:rPr>
        <w:t xml:space="preserve"> </w:t>
      </w:r>
      <w:r w:rsidRPr="0021688E">
        <w:rPr>
          <w:color w:val="000000" w:themeColor="text1"/>
          <w:lang w:val="fr-FR"/>
        </w:rPr>
        <w:t>Affaire</w:t>
      </w:r>
      <w:r>
        <w:rPr>
          <w:color w:val="000000" w:themeColor="text1"/>
          <w:lang w:val="fr-FR"/>
        </w:rPr>
        <w:t xml:space="preserve"> </w:t>
      </w:r>
      <w:r w:rsidRPr="006B3441">
        <w:rPr>
          <w:i/>
          <w:iCs/>
          <w:color w:val="000000" w:themeColor="text1"/>
          <w:lang w:val="fr-FR"/>
        </w:rPr>
        <w:t xml:space="preserve">Guzmán </w:t>
      </w:r>
      <w:proofErr w:type="spellStart"/>
      <w:r w:rsidRPr="006B3441">
        <w:rPr>
          <w:i/>
          <w:iCs/>
          <w:color w:val="000000" w:themeColor="text1"/>
          <w:lang w:val="fr-FR"/>
        </w:rPr>
        <w:t>Albarracín</w:t>
      </w:r>
      <w:proofErr w:type="spellEnd"/>
      <w:r w:rsidRPr="006B3441">
        <w:rPr>
          <w:i/>
          <w:iCs/>
          <w:color w:val="000000" w:themeColor="text1"/>
          <w:lang w:val="fr-FR"/>
        </w:rPr>
        <w:t xml:space="preserve"> et consorts c. Équateur</w:t>
      </w:r>
      <w:r w:rsidRPr="0021688E">
        <w:rPr>
          <w:color w:val="000000" w:themeColor="text1"/>
          <w:lang w:val="fr-FR"/>
        </w:rPr>
        <w:t>.</w:t>
      </w:r>
      <w:r>
        <w:rPr>
          <w:color w:val="000000" w:themeColor="text1"/>
          <w:lang w:val="fr-FR"/>
        </w:rPr>
        <w:t xml:space="preserve"> </w:t>
      </w:r>
      <w:r w:rsidRPr="0021688E">
        <w:rPr>
          <w:color w:val="000000" w:themeColor="text1"/>
          <w:lang w:val="fr-FR"/>
        </w:rPr>
        <w:t>Fond,</w:t>
      </w:r>
      <w:r>
        <w:rPr>
          <w:color w:val="000000" w:themeColor="text1"/>
          <w:lang w:val="fr-FR"/>
        </w:rPr>
        <w:t xml:space="preserve"> </w:t>
      </w:r>
      <w:r w:rsidRPr="0021688E">
        <w:rPr>
          <w:color w:val="000000" w:themeColor="text1"/>
          <w:lang w:val="fr-FR"/>
        </w:rPr>
        <w:t>réparations</w:t>
      </w:r>
      <w:r>
        <w:rPr>
          <w:color w:val="000000" w:themeColor="text1"/>
          <w:lang w:val="fr-FR"/>
        </w:rPr>
        <w:t xml:space="preserve"> </w:t>
      </w:r>
      <w:r w:rsidRPr="0021688E">
        <w:rPr>
          <w:color w:val="000000" w:themeColor="text1"/>
          <w:lang w:val="fr-FR"/>
        </w:rPr>
        <w:t>et</w:t>
      </w:r>
      <w:r>
        <w:rPr>
          <w:color w:val="000000" w:themeColor="text1"/>
          <w:lang w:val="fr-FR"/>
        </w:rPr>
        <w:t xml:space="preserve"> </w:t>
      </w:r>
      <w:r w:rsidRPr="0021688E">
        <w:rPr>
          <w:color w:val="000000" w:themeColor="text1"/>
          <w:lang w:val="fr-FR"/>
        </w:rPr>
        <w:t>dépens.</w:t>
      </w:r>
      <w:r>
        <w:rPr>
          <w:color w:val="000000" w:themeColor="text1"/>
          <w:lang w:val="fr-FR"/>
        </w:rPr>
        <w:t xml:space="preserve"> </w:t>
      </w:r>
      <w:r w:rsidRPr="0021688E">
        <w:rPr>
          <w:color w:val="000000" w:themeColor="text1"/>
          <w:lang w:val="fr-FR"/>
        </w:rPr>
        <w:t>Arrêt</w:t>
      </w:r>
      <w:r>
        <w:rPr>
          <w:color w:val="000000" w:themeColor="text1"/>
          <w:lang w:val="fr-FR"/>
        </w:rPr>
        <w:t xml:space="preserve"> </w:t>
      </w:r>
      <w:r w:rsidRPr="0021688E">
        <w:rPr>
          <w:color w:val="000000" w:themeColor="text1"/>
          <w:lang w:val="fr-FR"/>
        </w:rPr>
        <w:t>du</w:t>
      </w:r>
      <w:r>
        <w:rPr>
          <w:color w:val="000000" w:themeColor="text1"/>
          <w:lang w:val="fr-FR"/>
        </w:rPr>
        <w:t xml:space="preserve"> </w:t>
      </w:r>
      <w:r w:rsidRPr="0021688E">
        <w:rPr>
          <w:color w:val="000000" w:themeColor="text1"/>
          <w:lang w:val="fr-FR"/>
        </w:rPr>
        <w:t>24</w:t>
      </w:r>
      <w:r>
        <w:rPr>
          <w:color w:val="000000" w:themeColor="text1"/>
          <w:lang w:val="fr-FR"/>
        </w:rPr>
        <w:t> </w:t>
      </w:r>
      <w:r w:rsidRPr="0021688E">
        <w:rPr>
          <w:color w:val="000000" w:themeColor="text1"/>
          <w:lang w:val="fr-FR"/>
        </w:rPr>
        <w:t>juin</w:t>
      </w:r>
      <w:r>
        <w:rPr>
          <w:color w:val="000000" w:themeColor="text1"/>
          <w:lang w:val="fr-FR"/>
        </w:rPr>
        <w:t xml:space="preserve"> </w:t>
      </w:r>
      <w:r w:rsidRPr="0021688E">
        <w:rPr>
          <w:color w:val="000000" w:themeColor="text1"/>
          <w:lang w:val="fr-FR"/>
        </w:rPr>
        <w:t>2020,</w:t>
      </w:r>
      <w:r>
        <w:rPr>
          <w:color w:val="000000" w:themeColor="text1"/>
          <w:lang w:val="fr-FR"/>
        </w:rPr>
        <w:t xml:space="preserve"> </w:t>
      </w:r>
      <w:r w:rsidRPr="0021688E">
        <w:rPr>
          <w:color w:val="000000" w:themeColor="text1"/>
          <w:lang w:val="fr-FR"/>
        </w:rPr>
        <w:t>par</w:t>
      </w:r>
      <w:r>
        <w:rPr>
          <w:color w:val="000000" w:themeColor="text1"/>
          <w:lang w:val="fr-FR"/>
        </w:rPr>
        <w:t>. </w:t>
      </w:r>
      <w:r w:rsidRPr="0021688E">
        <w:rPr>
          <w:color w:val="000000" w:themeColor="text1"/>
          <w:lang w:val="fr-FR"/>
        </w:rPr>
        <w:t>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DBF4" w14:textId="5409B56D" w:rsidR="001A447E" w:rsidRPr="006F597C" w:rsidRDefault="001A447E">
    <w:pPr>
      <w:pStyle w:val="En-tte"/>
    </w:pPr>
    <w:fldSimple w:instr=" TITLE  \* MERGEFORMAT ">
      <w:r>
        <w:t>CED/C/HND/AI/1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5816" w14:textId="319F8F26" w:rsidR="001A447E" w:rsidRPr="006F597C" w:rsidRDefault="001A447E" w:rsidP="006F597C">
    <w:pPr>
      <w:pStyle w:val="En-tte"/>
      <w:jc w:val="right"/>
    </w:pPr>
    <w:fldSimple w:instr=" TITLE  \* MERGEFORMAT ">
      <w:r>
        <w:t>CED/C/HND/AI/1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D916C0AA">
      <w:start w:val="1"/>
      <w:numFmt w:val="bullet"/>
      <w:lvlText w:val="•"/>
      <w:lvlJc w:val="left"/>
      <w:pPr>
        <w:tabs>
          <w:tab w:val="num" w:pos="2268"/>
        </w:tabs>
        <w:ind w:left="2268" w:hanging="170"/>
      </w:pPr>
      <w:rPr>
        <w:rFonts w:ascii="Times New Roman" w:hAnsi="Times New Roman" w:cs="Times New Roman" w:hint="default"/>
      </w:rPr>
    </w:lvl>
    <w:lvl w:ilvl="1" w:tplc="C41639EA" w:tentative="1">
      <w:start w:val="1"/>
      <w:numFmt w:val="bullet"/>
      <w:lvlText w:val="o"/>
      <w:lvlJc w:val="left"/>
      <w:pPr>
        <w:tabs>
          <w:tab w:val="num" w:pos="1440"/>
        </w:tabs>
        <w:ind w:left="1440" w:hanging="360"/>
      </w:pPr>
      <w:rPr>
        <w:rFonts w:ascii="Courier New" w:hAnsi="Courier New" w:hint="default"/>
      </w:rPr>
    </w:lvl>
    <w:lvl w:ilvl="2" w:tplc="578C15C2" w:tentative="1">
      <w:start w:val="1"/>
      <w:numFmt w:val="bullet"/>
      <w:lvlText w:val=""/>
      <w:lvlJc w:val="left"/>
      <w:pPr>
        <w:tabs>
          <w:tab w:val="num" w:pos="2160"/>
        </w:tabs>
        <w:ind w:left="2160" w:hanging="360"/>
      </w:pPr>
      <w:rPr>
        <w:rFonts w:ascii="Wingdings" w:hAnsi="Wingdings" w:hint="default"/>
      </w:rPr>
    </w:lvl>
    <w:lvl w:ilvl="3" w:tplc="F55A24A8" w:tentative="1">
      <w:start w:val="1"/>
      <w:numFmt w:val="bullet"/>
      <w:lvlText w:val=""/>
      <w:lvlJc w:val="left"/>
      <w:pPr>
        <w:tabs>
          <w:tab w:val="num" w:pos="2880"/>
        </w:tabs>
        <w:ind w:left="2880" w:hanging="360"/>
      </w:pPr>
      <w:rPr>
        <w:rFonts w:ascii="Symbol" w:hAnsi="Symbol" w:hint="default"/>
      </w:rPr>
    </w:lvl>
    <w:lvl w:ilvl="4" w:tplc="C3C6F552" w:tentative="1">
      <w:start w:val="1"/>
      <w:numFmt w:val="bullet"/>
      <w:lvlText w:val="o"/>
      <w:lvlJc w:val="left"/>
      <w:pPr>
        <w:tabs>
          <w:tab w:val="num" w:pos="3600"/>
        </w:tabs>
        <w:ind w:left="3600" w:hanging="360"/>
      </w:pPr>
      <w:rPr>
        <w:rFonts w:ascii="Courier New" w:hAnsi="Courier New" w:hint="default"/>
      </w:rPr>
    </w:lvl>
    <w:lvl w:ilvl="5" w:tplc="06925662" w:tentative="1">
      <w:start w:val="1"/>
      <w:numFmt w:val="bullet"/>
      <w:lvlText w:val=""/>
      <w:lvlJc w:val="left"/>
      <w:pPr>
        <w:tabs>
          <w:tab w:val="num" w:pos="4320"/>
        </w:tabs>
        <w:ind w:left="4320" w:hanging="360"/>
      </w:pPr>
      <w:rPr>
        <w:rFonts w:ascii="Wingdings" w:hAnsi="Wingdings" w:hint="default"/>
      </w:rPr>
    </w:lvl>
    <w:lvl w:ilvl="6" w:tplc="6E10FEB8" w:tentative="1">
      <w:start w:val="1"/>
      <w:numFmt w:val="bullet"/>
      <w:lvlText w:val=""/>
      <w:lvlJc w:val="left"/>
      <w:pPr>
        <w:tabs>
          <w:tab w:val="num" w:pos="5040"/>
        </w:tabs>
        <w:ind w:left="5040" w:hanging="360"/>
      </w:pPr>
      <w:rPr>
        <w:rFonts w:ascii="Symbol" w:hAnsi="Symbol" w:hint="default"/>
      </w:rPr>
    </w:lvl>
    <w:lvl w:ilvl="7" w:tplc="8A32252A" w:tentative="1">
      <w:start w:val="1"/>
      <w:numFmt w:val="bullet"/>
      <w:lvlText w:val="o"/>
      <w:lvlJc w:val="left"/>
      <w:pPr>
        <w:tabs>
          <w:tab w:val="num" w:pos="5760"/>
        </w:tabs>
        <w:ind w:left="5760" w:hanging="360"/>
      </w:pPr>
      <w:rPr>
        <w:rFonts w:ascii="Courier New" w:hAnsi="Courier New" w:hint="default"/>
      </w:rPr>
    </w:lvl>
    <w:lvl w:ilvl="8" w:tplc="2EAAC0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56E1854"/>
    <w:multiLevelType w:val="hybridMultilevel"/>
    <w:tmpl w:val="EE20DFCC"/>
    <w:lvl w:ilvl="0" w:tplc="1AC8CDFA">
      <w:start w:val="28"/>
      <w:numFmt w:val="decimal"/>
      <w:lvlText w:val="%1."/>
      <w:lvlJc w:val="left"/>
      <w:pPr>
        <w:ind w:left="720" w:hanging="360"/>
      </w:pPr>
      <w:rPr>
        <w:rFonts w:hint="default"/>
        <w:i w:val="0"/>
        <w:iCs/>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61D15B7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4F255F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8BD777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C434A206">
      <w:start w:val="1"/>
      <w:numFmt w:val="bullet"/>
      <w:lvlText w:val="•"/>
      <w:lvlJc w:val="left"/>
      <w:pPr>
        <w:tabs>
          <w:tab w:val="num" w:pos="1701"/>
        </w:tabs>
        <w:ind w:left="1701" w:hanging="170"/>
      </w:pPr>
      <w:rPr>
        <w:rFonts w:ascii="Times New Roman" w:hAnsi="Times New Roman" w:cs="Times New Roman" w:hint="default"/>
      </w:rPr>
    </w:lvl>
    <w:lvl w:ilvl="1" w:tplc="5DBE9854" w:tentative="1">
      <w:start w:val="1"/>
      <w:numFmt w:val="bullet"/>
      <w:lvlText w:val="o"/>
      <w:lvlJc w:val="left"/>
      <w:pPr>
        <w:tabs>
          <w:tab w:val="num" w:pos="1440"/>
        </w:tabs>
        <w:ind w:left="1440" w:hanging="360"/>
      </w:pPr>
      <w:rPr>
        <w:rFonts w:ascii="Courier New" w:hAnsi="Courier New" w:hint="default"/>
      </w:rPr>
    </w:lvl>
    <w:lvl w:ilvl="2" w:tplc="40A4368C" w:tentative="1">
      <w:start w:val="1"/>
      <w:numFmt w:val="bullet"/>
      <w:lvlText w:val=""/>
      <w:lvlJc w:val="left"/>
      <w:pPr>
        <w:tabs>
          <w:tab w:val="num" w:pos="2160"/>
        </w:tabs>
        <w:ind w:left="2160" w:hanging="360"/>
      </w:pPr>
      <w:rPr>
        <w:rFonts w:ascii="Wingdings" w:hAnsi="Wingdings" w:hint="default"/>
      </w:rPr>
    </w:lvl>
    <w:lvl w:ilvl="3" w:tplc="0AEA0F52" w:tentative="1">
      <w:start w:val="1"/>
      <w:numFmt w:val="bullet"/>
      <w:lvlText w:val=""/>
      <w:lvlJc w:val="left"/>
      <w:pPr>
        <w:tabs>
          <w:tab w:val="num" w:pos="2880"/>
        </w:tabs>
        <w:ind w:left="2880" w:hanging="360"/>
      </w:pPr>
      <w:rPr>
        <w:rFonts w:ascii="Symbol" w:hAnsi="Symbol" w:hint="default"/>
      </w:rPr>
    </w:lvl>
    <w:lvl w:ilvl="4" w:tplc="0366D17A" w:tentative="1">
      <w:start w:val="1"/>
      <w:numFmt w:val="bullet"/>
      <w:lvlText w:val="o"/>
      <w:lvlJc w:val="left"/>
      <w:pPr>
        <w:tabs>
          <w:tab w:val="num" w:pos="3600"/>
        </w:tabs>
        <w:ind w:left="3600" w:hanging="360"/>
      </w:pPr>
      <w:rPr>
        <w:rFonts w:ascii="Courier New" w:hAnsi="Courier New" w:hint="default"/>
      </w:rPr>
    </w:lvl>
    <w:lvl w:ilvl="5" w:tplc="F1B081C8" w:tentative="1">
      <w:start w:val="1"/>
      <w:numFmt w:val="bullet"/>
      <w:lvlText w:val=""/>
      <w:lvlJc w:val="left"/>
      <w:pPr>
        <w:tabs>
          <w:tab w:val="num" w:pos="4320"/>
        </w:tabs>
        <w:ind w:left="4320" w:hanging="360"/>
      </w:pPr>
      <w:rPr>
        <w:rFonts w:ascii="Wingdings" w:hAnsi="Wingdings" w:hint="default"/>
      </w:rPr>
    </w:lvl>
    <w:lvl w:ilvl="6" w:tplc="4E30E1DC" w:tentative="1">
      <w:start w:val="1"/>
      <w:numFmt w:val="bullet"/>
      <w:lvlText w:val=""/>
      <w:lvlJc w:val="left"/>
      <w:pPr>
        <w:tabs>
          <w:tab w:val="num" w:pos="5040"/>
        </w:tabs>
        <w:ind w:left="5040" w:hanging="360"/>
      </w:pPr>
      <w:rPr>
        <w:rFonts w:ascii="Symbol" w:hAnsi="Symbol" w:hint="default"/>
      </w:rPr>
    </w:lvl>
    <w:lvl w:ilvl="7" w:tplc="6A2EFACA" w:tentative="1">
      <w:start w:val="1"/>
      <w:numFmt w:val="bullet"/>
      <w:lvlText w:val="o"/>
      <w:lvlJc w:val="left"/>
      <w:pPr>
        <w:tabs>
          <w:tab w:val="num" w:pos="5760"/>
        </w:tabs>
        <w:ind w:left="5760" w:hanging="360"/>
      </w:pPr>
      <w:rPr>
        <w:rFonts w:ascii="Courier New" w:hAnsi="Courier New" w:hint="default"/>
      </w:rPr>
    </w:lvl>
    <w:lvl w:ilvl="8" w:tplc="E304B9B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4"/>
  </w:num>
  <w:num w:numId="18">
    <w:abstractNumId w:val="15"/>
  </w:num>
  <w:num w:numId="19">
    <w:abstractNumId w:val="17"/>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73"/>
    <w:rsid w:val="00017F94"/>
    <w:rsid w:val="00022D2E"/>
    <w:rsid w:val="00023842"/>
    <w:rsid w:val="000334F9"/>
    <w:rsid w:val="0007796D"/>
    <w:rsid w:val="000B0754"/>
    <w:rsid w:val="000B7790"/>
    <w:rsid w:val="00111F2F"/>
    <w:rsid w:val="00133EDE"/>
    <w:rsid w:val="0013732F"/>
    <w:rsid w:val="0014365E"/>
    <w:rsid w:val="00176178"/>
    <w:rsid w:val="001A447E"/>
    <w:rsid w:val="001F525A"/>
    <w:rsid w:val="00216393"/>
    <w:rsid w:val="00223272"/>
    <w:rsid w:val="0024779E"/>
    <w:rsid w:val="00255700"/>
    <w:rsid w:val="00286956"/>
    <w:rsid w:val="00292E5A"/>
    <w:rsid w:val="002F2D61"/>
    <w:rsid w:val="00301C05"/>
    <w:rsid w:val="00307F10"/>
    <w:rsid w:val="00312EC8"/>
    <w:rsid w:val="00392B1D"/>
    <w:rsid w:val="003A61DD"/>
    <w:rsid w:val="00446FE5"/>
    <w:rsid w:val="00452396"/>
    <w:rsid w:val="004C4D99"/>
    <w:rsid w:val="005505B7"/>
    <w:rsid w:val="00573BE5"/>
    <w:rsid w:val="00586ED3"/>
    <w:rsid w:val="00596AA9"/>
    <w:rsid w:val="005F691A"/>
    <w:rsid w:val="00665171"/>
    <w:rsid w:val="00674E82"/>
    <w:rsid w:val="006B3441"/>
    <w:rsid w:val="006F597C"/>
    <w:rsid w:val="0071601D"/>
    <w:rsid w:val="00751325"/>
    <w:rsid w:val="0077586E"/>
    <w:rsid w:val="007A62E6"/>
    <w:rsid w:val="007E042C"/>
    <w:rsid w:val="0080684C"/>
    <w:rsid w:val="00871C75"/>
    <w:rsid w:val="008776DC"/>
    <w:rsid w:val="008A5387"/>
    <w:rsid w:val="009507F3"/>
    <w:rsid w:val="009666A5"/>
    <w:rsid w:val="009705C8"/>
    <w:rsid w:val="009B75A4"/>
    <w:rsid w:val="009E6097"/>
    <w:rsid w:val="00A30353"/>
    <w:rsid w:val="00A647FA"/>
    <w:rsid w:val="00A74554"/>
    <w:rsid w:val="00AB2CD9"/>
    <w:rsid w:val="00AC3823"/>
    <w:rsid w:val="00AE323C"/>
    <w:rsid w:val="00B00181"/>
    <w:rsid w:val="00B41D73"/>
    <w:rsid w:val="00B765F7"/>
    <w:rsid w:val="00B9212A"/>
    <w:rsid w:val="00BA0CA9"/>
    <w:rsid w:val="00BB4948"/>
    <w:rsid w:val="00C02897"/>
    <w:rsid w:val="00C240B4"/>
    <w:rsid w:val="00C74031"/>
    <w:rsid w:val="00CE2527"/>
    <w:rsid w:val="00CF2BDE"/>
    <w:rsid w:val="00D3439C"/>
    <w:rsid w:val="00DA1596"/>
    <w:rsid w:val="00DB1831"/>
    <w:rsid w:val="00DD3BFD"/>
    <w:rsid w:val="00DF6678"/>
    <w:rsid w:val="00E652F0"/>
    <w:rsid w:val="00ED5AA3"/>
    <w:rsid w:val="00EE63B9"/>
    <w:rsid w:val="00F2321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DBA87"/>
  <w15:docId w15:val="{D2275DC6-B26A-4930-A477-33F360FA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uiPriority w:val="9"/>
    <w:qFormat/>
    <w:rsid w:val="00022D2E"/>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Titre1Car">
    <w:name w:val="Titre 1 Car"/>
    <w:aliases w:val="Table_G Car,Cuadro_G Car"/>
    <w:basedOn w:val="Policepardfaut"/>
    <w:link w:val="Titre1"/>
    <w:uiPriority w:val="9"/>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22D2E"/>
    <w:pPr>
      <w:keepNext/>
      <w:keepLines/>
      <w:tabs>
        <w:tab w:val="right" w:pos="851"/>
      </w:tabs>
      <w:spacing w:before="240" w:after="240" w:line="360" w:lineRule="exact"/>
      <w:ind w:left="1134" w:right="1134" w:hanging="1134"/>
      <w:outlineLvl w:val="0"/>
    </w:pPr>
    <w:rPr>
      <w:b/>
      <w:sz w:val="34"/>
    </w:rPr>
  </w:style>
  <w:style w:type="character" w:customStyle="1" w:styleId="HMGChar">
    <w:name w:val="_ H __M_G Char"/>
    <w:link w:val="HMG"/>
    <w:rsid w:val="00286956"/>
    <w:rPr>
      <w:rFonts w:ascii="Times New Roman" w:eastAsiaTheme="minorHAnsi" w:hAnsi="Times New Roman" w:cs="Times New Roman"/>
      <w:b/>
      <w:sz w:val="34"/>
      <w:szCs w:val="20"/>
      <w:lang w:eastAsia="en-US"/>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uiPriority w:val="99"/>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paragraph" w:styleId="Paragraphedeliste">
    <w:name w:val="List Paragraph"/>
    <w:basedOn w:val="Normal"/>
    <w:link w:val="ParagraphedelisteCar"/>
    <w:uiPriority w:val="34"/>
    <w:qFormat/>
    <w:rsid w:val="00286956"/>
    <w:pPr>
      <w:suppressAutoHyphens w:val="0"/>
      <w:kinsoku/>
      <w:overflowPunct/>
      <w:autoSpaceDE/>
      <w:autoSpaceDN/>
      <w:adjustRightInd/>
      <w:snapToGrid/>
      <w:spacing w:line="360" w:lineRule="auto"/>
      <w:ind w:left="720"/>
      <w:contextualSpacing/>
      <w:jc w:val="both"/>
    </w:pPr>
    <w:rPr>
      <w:rFonts w:eastAsia="Times New Roman"/>
      <w:sz w:val="24"/>
      <w:lang w:val="es-ES" w:eastAsia="es-ES"/>
    </w:rPr>
  </w:style>
  <w:style w:type="character" w:customStyle="1" w:styleId="ParagraphedelisteCar">
    <w:name w:val="Paragraphe de liste Car"/>
    <w:link w:val="Paragraphedeliste"/>
    <w:uiPriority w:val="34"/>
    <w:locked/>
    <w:rsid w:val="00286956"/>
    <w:rPr>
      <w:rFonts w:ascii="Times New Roman" w:hAnsi="Times New Roman" w:cs="Times New Roman"/>
      <w:sz w:val="24"/>
      <w:szCs w:val="20"/>
      <w:lang w:val="es-ES" w:eastAsia="es-ES"/>
    </w:rPr>
  </w:style>
  <w:style w:type="character" w:styleId="Mentionnonrsolue">
    <w:name w:val="Unresolved Mention"/>
    <w:basedOn w:val="Policepardfaut"/>
    <w:uiPriority w:val="99"/>
    <w:semiHidden/>
    <w:unhideWhenUsed/>
    <w:rsid w:val="003A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ol.dpi@seguridad.gob.h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enuncias@inp.goh.hn" TargetMode="External"/><Relationship Id="rId4" Type="http://schemas.openxmlformats.org/officeDocument/2006/relationships/webSettings" Target="webSettings.xml"/><Relationship Id="rId9" Type="http://schemas.openxmlformats.org/officeDocument/2006/relationships/hyperlink" Target="mailto:denuncias_inp@yahoo.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it.ly/3wprWRf" TargetMode="External"/><Relationship Id="rId13" Type="http://schemas.openxmlformats.org/officeDocument/2006/relationships/hyperlink" Target="https://bit.ly/3wwkxj5" TargetMode="External"/><Relationship Id="rId18" Type="http://schemas.openxmlformats.org/officeDocument/2006/relationships/hyperlink" Target="https://t.co/ITwOSES880" TargetMode="External"/><Relationship Id="rId26" Type="http://schemas.openxmlformats.org/officeDocument/2006/relationships/hyperlink" Target="https://bit.ly/3r0jIhb" TargetMode="External"/><Relationship Id="rId39" Type="http://schemas.openxmlformats.org/officeDocument/2006/relationships/hyperlink" Target="https://bit.ly/3dY88xO" TargetMode="External"/><Relationship Id="rId3" Type="http://schemas.openxmlformats.org/officeDocument/2006/relationships/hyperlink" Target="https://bit.ly/2UEHzXx" TargetMode="External"/><Relationship Id="rId21" Type="http://schemas.openxmlformats.org/officeDocument/2006/relationships/hyperlink" Target="https://bit.ly/3dY4NPi" TargetMode="External"/><Relationship Id="rId34" Type="http://schemas.openxmlformats.org/officeDocument/2006/relationships/hyperlink" Target="https://bit.ly/3wwkxj5" TargetMode="External"/><Relationship Id="rId42" Type="http://schemas.openxmlformats.org/officeDocument/2006/relationships/hyperlink" Target="https://bit.ly/3qZaAJA" TargetMode="External"/><Relationship Id="rId7" Type="http://schemas.openxmlformats.org/officeDocument/2006/relationships/hyperlink" Target="https://bit.ly/2Uwx1d8" TargetMode="External"/><Relationship Id="rId12" Type="http://schemas.openxmlformats.org/officeDocument/2006/relationships/hyperlink" Target="https://bit.ly/3k2KPqk" TargetMode="External"/><Relationship Id="rId17" Type="http://schemas.openxmlformats.org/officeDocument/2006/relationships/hyperlink" Target="https://bit.ly/3qXsJHM" TargetMode="External"/><Relationship Id="rId25" Type="http://schemas.openxmlformats.org/officeDocument/2006/relationships/hyperlink" Target="https://bit.ly/3hrntsX" TargetMode="External"/><Relationship Id="rId33" Type="http://schemas.openxmlformats.org/officeDocument/2006/relationships/hyperlink" Target="https://bit.ly/3AOjazC" TargetMode="External"/><Relationship Id="rId38" Type="http://schemas.openxmlformats.org/officeDocument/2006/relationships/hyperlink" Target="https://bit.ly/3yFu2hh" TargetMode="External"/><Relationship Id="rId2" Type="http://schemas.openxmlformats.org/officeDocument/2006/relationships/hyperlink" Target="https://bit.ly/3qXpAI2" TargetMode="External"/><Relationship Id="rId16" Type="http://schemas.openxmlformats.org/officeDocument/2006/relationships/hyperlink" Target="https://bit.ly/3e4Tm8q" TargetMode="External"/><Relationship Id="rId20" Type="http://schemas.openxmlformats.org/officeDocument/2006/relationships/hyperlink" Target="https://bit.ly/3r3GuVp" TargetMode="External"/><Relationship Id="rId29" Type="http://schemas.openxmlformats.org/officeDocument/2006/relationships/hyperlink" Target="https://bit.ly/3htU3KT" TargetMode="External"/><Relationship Id="rId41" Type="http://schemas.openxmlformats.org/officeDocument/2006/relationships/hyperlink" Target="https://bit.ly/3qZaAJA" TargetMode="External"/><Relationship Id="rId1" Type="http://schemas.openxmlformats.org/officeDocument/2006/relationships/hyperlink" Target="https://bit.ly/36r2uQQ" TargetMode="External"/><Relationship Id="rId6" Type="http://schemas.openxmlformats.org/officeDocument/2006/relationships/hyperlink" Target="https://bit.ly/3hWf8fI" TargetMode="External"/><Relationship Id="rId11" Type="http://schemas.openxmlformats.org/officeDocument/2006/relationships/hyperlink" Target="https://bit.ly/3hROkgD" TargetMode="External"/><Relationship Id="rId24" Type="http://schemas.openxmlformats.org/officeDocument/2006/relationships/hyperlink" Target="https://bit.ly/3e4nn8B" TargetMode="External"/><Relationship Id="rId32" Type="http://schemas.openxmlformats.org/officeDocument/2006/relationships/hyperlink" Target="https://bit.ly/3hU9ydV" TargetMode="External"/><Relationship Id="rId37" Type="http://schemas.openxmlformats.org/officeDocument/2006/relationships/hyperlink" Target="https://bit.ly/3hQQcq9" TargetMode="External"/><Relationship Id="rId40" Type="http://schemas.openxmlformats.org/officeDocument/2006/relationships/hyperlink" Target="https://pavdh.sedh.gob.hn/" TargetMode="External"/><Relationship Id="rId5" Type="http://schemas.openxmlformats.org/officeDocument/2006/relationships/hyperlink" Target="https://bit.ly/3qZaAJA" TargetMode="External"/><Relationship Id="rId15" Type="http://schemas.openxmlformats.org/officeDocument/2006/relationships/hyperlink" Target="https://bit.ly/3yFqNq7" TargetMode="External"/><Relationship Id="rId23" Type="http://schemas.openxmlformats.org/officeDocument/2006/relationships/hyperlink" Target="https://bit.ly/3AOhGW4" TargetMode="External"/><Relationship Id="rId28" Type="http://schemas.openxmlformats.org/officeDocument/2006/relationships/hyperlink" Target="https://bit.ly/3wwkxj5" TargetMode="External"/><Relationship Id="rId36" Type="http://schemas.openxmlformats.org/officeDocument/2006/relationships/hyperlink" Target="https://bit.ly/3hQk99S" TargetMode="External"/><Relationship Id="rId10" Type="http://schemas.openxmlformats.org/officeDocument/2006/relationships/hyperlink" Target="https://bit.ly/2UwxbRM" TargetMode="External"/><Relationship Id="rId19" Type="http://schemas.openxmlformats.org/officeDocument/2006/relationships/hyperlink" Target="https://bit.ly/3hQhjle" TargetMode="External"/><Relationship Id="rId31" Type="http://schemas.openxmlformats.org/officeDocument/2006/relationships/hyperlink" Target="https://bit.ly/2SY4mx6" TargetMode="External"/><Relationship Id="rId4" Type="http://schemas.openxmlformats.org/officeDocument/2006/relationships/hyperlink" Target="https://bit.ly/3ekQAfJ" TargetMode="External"/><Relationship Id="rId9" Type="http://schemas.openxmlformats.org/officeDocument/2006/relationships/hyperlink" Target="https://bit.ly/3dZ24oY" TargetMode="External"/><Relationship Id="rId14" Type="http://schemas.openxmlformats.org/officeDocument/2006/relationships/hyperlink" Target="https://bit.ly/3wwkxj5" TargetMode="External"/><Relationship Id="rId22" Type="http://schemas.openxmlformats.org/officeDocument/2006/relationships/hyperlink" Target="https://bit.ly/3AOhGW4" TargetMode="External"/><Relationship Id="rId27" Type="http://schemas.openxmlformats.org/officeDocument/2006/relationships/hyperlink" Target="https://bit.ly/3yIjhdY" TargetMode="External"/><Relationship Id="rId30" Type="http://schemas.openxmlformats.org/officeDocument/2006/relationships/hyperlink" Target="https://bit.ly/3wu6JFL" TargetMode="External"/><Relationship Id="rId35" Type="http://schemas.openxmlformats.org/officeDocument/2006/relationships/hyperlink" Target="https://bit.ly/2T05a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32</Pages>
  <Words>17668</Words>
  <Characters>97175</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CED/C/HND/AI/1</vt:lpstr>
    </vt:vector>
  </TitlesOfParts>
  <Company>DCM</Company>
  <LinksUpToDate>false</LinksUpToDate>
  <CharactersWithSpaces>114614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CED/C/HND/AI/1</dc:title>
  <dc:subject/>
  <dc:creator>Nicolas MORIN</dc:creator>
  <cp:keywords/>
  <cp:lastModifiedBy>Nicolas Morin</cp:lastModifiedBy>
  <cp:revision>2</cp:revision>
  <cp:lastPrinted>2014-05-14T10:59:00Z</cp:lastPrinted>
  <dcterms:created xsi:type="dcterms:W3CDTF">2022-01-24T09:24:00Z</dcterms:created>
  <dcterms:modified xsi:type="dcterms:W3CDTF">2022-01-24T09:24:00Z</dcterms:modified>
</cp:coreProperties>
</file>