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682"/>
        <w:gridCol w:w="1858"/>
        <w:gridCol w:w="2819"/>
      </w:tblGrid>
      <w:tr w:rsidR="002D5AAC" w:rsidTr="008B360C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B14A8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18649F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B14A88" w:rsidP="00B14A88">
            <w:pPr>
              <w:jc w:val="right"/>
            </w:pPr>
            <w:r w:rsidRPr="00B14A88">
              <w:rPr>
                <w:sz w:val="40"/>
              </w:rPr>
              <w:t>CERD</w:t>
            </w:r>
            <w:r>
              <w:t>/C/ITA/CO/19-20</w:t>
            </w:r>
          </w:p>
        </w:tc>
      </w:tr>
      <w:tr w:rsidR="002D5AAC" w:rsidRPr="00B14A88" w:rsidTr="008B360C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18649F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6E57F8A" wp14:editId="1D5AA581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2B74B1" w:rsidP="00033EE1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7511D7">
              <w:rPr>
                <w:b/>
                <w:spacing w:val="-4"/>
                <w:w w:val="100"/>
                <w:sz w:val="34"/>
                <w:szCs w:val="40"/>
              </w:rPr>
              <w:t>Международная конвенция</w:t>
            </w:r>
            <w:r w:rsidRPr="007511D7">
              <w:rPr>
                <w:b/>
                <w:spacing w:val="-4"/>
                <w:w w:val="100"/>
                <w:sz w:val="34"/>
                <w:szCs w:val="40"/>
              </w:rPr>
              <w:br/>
              <w:t>о ликвидации всех форм</w:t>
            </w:r>
            <w:r w:rsidRPr="007511D7">
              <w:rPr>
                <w:b/>
                <w:spacing w:val="-4"/>
                <w:w w:val="100"/>
                <w:sz w:val="34"/>
                <w:szCs w:val="40"/>
              </w:rPr>
              <w:br/>
              <w:t>расовой дискриминации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B14A88" w:rsidRDefault="00B14A88" w:rsidP="00712895">
            <w:pPr>
              <w:spacing w:before="240"/>
              <w:rPr>
                <w:lang w:val="en-US"/>
              </w:rPr>
            </w:pPr>
            <w:r w:rsidRPr="00B14A88">
              <w:rPr>
                <w:lang w:val="en-US"/>
              </w:rPr>
              <w:t>Distr. General</w:t>
            </w:r>
          </w:p>
          <w:p w:rsidR="00B14A88" w:rsidRPr="00B14A88" w:rsidRDefault="00B14A88" w:rsidP="00B14A88">
            <w:pPr>
              <w:spacing w:line="240" w:lineRule="exact"/>
              <w:rPr>
                <w:lang w:val="en-US"/>
              </w:rPr>
            </w:pPr>
            <w:r w:rsidRPr="00B14A88">
              <w:rPr>
                <w:lang w:val="en-US"/>
              </w:rPr>
              <w:t>17 February 2017</w:t>
            </w:r>
          </w:p>
          <w:p w:rsidR="00B14A88" w:rsidRPr="00B14A88" w:rsidRDefault="00B14A88" w:rsidP="00B14A88">
            <w:pPr>
              <w:spacing w:line="240" w:lineRule="exact"/>
              <w:rPr>
                <w:lang w:val="en-US"/>
              </w:rPr>
            </w:pPr>
            <w:r w:rsidRPr="00B14A88">
              <w:rPr>
                <w:lang w:val="en-US"/>
              </w:rPr>
              <w:t>Russian</w:t>
            </w:r>
          </w:p>
          <w:p w:rsidR="00B14A88" w:rsidRPr="00B14A88" w:rsidRDefault="00B14A88" w:rsidP="00B14A88">
            <w:pPr>
              <w:spacing w:line="240" w:lineRule="exact"/>
              <w:rPr>
                <w:lang w:val="en-US"/>
              </w:rPr>
            </w:pPr>
            <w:r w:rsidRPr="00B14A88">
              <w:rPr>
                <w:lang w:val="en-US"/>
              </w:rPr>
              <w:t>Original: English</w:t>
            </w:r>
          </w:p>
        </w:tc>
      </w:tr>
    </w:tbl>
    <w:p w:rsidR="00B400C8" w:rsidRPr="00B400C8" w:rsidRDefault="00B400C8" w:rsidP="00B400C8">
      <w:pPr>
        <w:spacing w:before="120"/>
        <w:rPr>
          <w:b/>
          <w:sz w:val="24"/>
        </w:rPr>
      </w:pPr>
      <w:r w:rsidRPr="00B400C8">
        <w:rPr>
          <w:b/>
          <w:sz w:val="24"/>
        </w:rPr>
        <w:t>Комитет по ликвидации расовой дискриминации</w:t>
      </w:r>
    </w:p>
    <w:p w:rsidR="00B400C8" w:rsidRPr="00B400C8" w:rsidRDefault="00B400C8" w:rsidP="00B400C8">
      <w:pPr>
        <w:pStyle w:val="HChGR"/>
      </w:pPr>
      <w:r w:rsidRPr="00B400C8">
        <w:tab/>
      </w:r>
      <w:r w:rsidRPr="00B400C8">
        <w:tab/>
        <w:t>Заключительные замечания по объединенным девятнадцатому и двадцатому периодическим докладам Италии</w:t>
      </w:r>
      <w:r w:rsidRPr="00B400C8">
        <w:rPr>
          <w:rStyle w:val="aa"/>
          <w:b w:val="0"/>
          <w:sz w:val="20"/>
          <w:vertAlign w:val="baseline"/>
        </w:rPr>
        <w:footnoteReference w:customMarkFollows="1" w:id="1"/>
        <w:t>*</w:t>
      </w:r>
    </w:p>
    <w:p w:rsidR="00B400C8" w:rsidRPr="00B400C8" w:rsidRDefault="00B400C8" w:rsidP="00B400C8">
      <w:pPr>
        <w:pStyle w:val="SingleTxtGR"/>
      </w:pPr>
      <w:r w:rsidRPr="00B400C8">
        <w:t>1.</w:t>
      </w:r>
      <w:r w:rsidRPr="00B400C8">
        <w:tab/>
        <w:t>Комитет рассмотрел объединенные девятнадцатый и двадцатый период</w:t>
      </w:r>
      <w:r w:rsidRPr="00B400C8">
        <w:t>и</w:t>
      </w:r>
      <w:r w:rsidRPr="00B400C8">
        <w:t>ческие доклады Италии, представленные в одном документе (CERD/C/ITA/</w:t>
      </w:r>
      <w:r w:rsidR="00190638" w:rsidRPr="00190638">
        <w:br/>
      </w:r>
      <w:r w:rsidRPr="00B400C8">
        <w:t>19-20), на своих 2504-м и 2505-м заседаниях (см. CERD/C/SR.2504 и 2505), с</w:t>
      </w:r>
      <w:r w:rsidRPr="00B400C8">
        <w:t>о</w:t>
      </w:r>
      <w:r w:rsidRPr="00B400C8">
        <w:t xml:space="preserve">стоявшихся 1 и 2 декабря 2016 года. На своем 2513-м заседании, состоявшемся 8 декабря 2016 года, он принял настоящие заключительные замечания. </w:t>
      </w:r>
    </w:p>
    <w:p w:rsidR="00B400C8" w:rsidRPr="00B400C8" w:rsidRDefault="00190638" w:rsidP="00190638">
      <w:pPr>
        <w:pStyle w:val="H1GR"/>
      </w:pPr>
      <w:r>
        <w:rPr>
          <w:lang w:val="en-US"/>
        </w:rPr>
        <w:tab/>
      </w:r>
      <w:r w:rsidR="00B400C8" w:rsidRPr="00B400C8">
        <w:t>A.</w:t>
      </w:r>
      <w:r w:rsidR="00B400C8" w:rsidRPr="00B400C8">
        <w:tab/>
        <w:t>Введение</w:t>
      </w:r>
    </w:p>
    <w:p w:rsidR="00B400C8" w:rsidRPr="00B400C8" w:rsidRDefault="00B400C8" w:rsidP="00B400C8">
      <w:pPr>
        <w:pStyle w:val="SingleTxtGR"/>
      </w:pPr>
      <w:r w:rsidRPr="00B400C8">
        <w:t>2.</w:t>
      </w:r>
      <w:r w:rsidRPr="00B400C8">
        <w:tab/>
        <w:t>Комитет приветствует своевременное представление объединенных д</w:t>
      </w:r>
      <w:r w:rsidRPr="00B400C8">
        <w:t>е</w:t>
      </w:r>
      <w:r w:rsidRPr="00B400C8">
        <w:t>вятнадцатого и двадцатого периодических докладов Италии и содержащуюся в них информацию. Комитет выражает признател</w:t>
      </w:r>
      <w:r w:rsidRPr="00B400C8">
        <w:t>ь</w:t>
      </w:r>
      <w:r w:rsidRPr="00B400C8">
        <w:t>ность за письменные ответы на перечень вопросов, открытый и конструктивный диалог, состоявшийся с дел</w:t>
      </w:r>
      <w:r w:rsidRPr="00B400C8">
        <w:t>е</w:t>
      </w:r>
      <w:r w:rsidRPr="00B400C8">
        <w:t>гацией государства-участника, и дополнительную информацию, представле</w:t>
      </w:r>
      <w:r w:rsidRPr="00B400C8">
        <w:t>н</w:t>
      </w:r>
      <w:r w:rsidRPr="00B400C8">
        <w:t xml:space="preserve">ную ему в письменном виде. </w:t>
      </w:r>
    </w:p>
    <w:p w:rsidR="00B400C8" w:rsidRPr="00B400C8" w:rsidRDefault="00190638" w:rsidP="00190638">
      <w:pPr>
        <w:pStyle w:val="H1GR"/>
      </w:pPr>
      <w:r>
        <w:rPr>
          <w:lang w:val="en-US"/>
        </w:rPr>
        <w:tab/>
      </w:r>
      <w:r w:rsidR="00B400C8" w:rsidRPr="00B400C8">
        <w:t>B.</w:t>
      </w:r>
      <w:r w:rsidR="00B400C8" w:rsidRPr="00B400C8">
        <w:tab/>
        <w:t>Позитивные аспекты</w:t>
      </w:r>
    </w:p>
    <w:p w:rsidR="00B400C8" w:rsidRPr="00B400C8" w:rsidRDefault="00B400C8" w:rsidP="00B400C8">
      <w:pPr>
        <w:pStyle w:val="SingleTxtGR"/>
      </w:pPr>
      <w:r w:rsidRPr="00B400C8">
        <w:t>3.</w:t>
      </w:r>
      <w:r w:rsidRPr="00B400C8">
        <w:tab/>
        <w:t>Комитет высоко оценивает усилия государства-участника по организации на море операций в ц</w:t>
      </w:r>
      <w:r w:rsidRPr="00B400C8">
        <w:t>е</w:t>
      </w:r>
      <w:r w:rsidRPr="00B400C8">
        <w:t>лях поиска и спасения мигрантов и просителей убежища, а также по оказанию им гуманитарной помощи и обеспечению их междунаро</w:t>
      </w:r>
      <w:r w:rsidRPr="00B400C8">
        <w:t>д</w:t>
      </w:r>
      <w:r w:rsidRPr="00B400C8">
        <w:t xml:space="preserve">ной защиты. Он знает о тех больших трудностях, с которыми сталкивается </w:t>
      </w:r>
      <w:r w:rsidR="005A3671">
        <w:br/>
      </w:r>
      <w:r w:rsidRPr="00B400C8">
        <w:t>государство-участник, в том числе о том факте, что, как сообщил глава делег</w:t>
      </w:r>
      <w:r w:rsidRPr="00B400C8">
        <w:t>а</w:t>
      </w:r>
      <w:r w:rsidRPr="00B400C8">
        <w:t>ции, несмотря на усилия государства-участника, в 2016 году из моря были и</w:t>
      </w:r>
      <w:r w:rsidRPr="00B400C8">
        <w:t>з</w:t>
      </w:r>
      <w:r w:rsidRPr="00B400C8">
        <w:t xml:space="preserve">влечены тела 355 погибших. </w:t>
      </w:r>
    </w:p>
    <w:p w:rsidR="00B400C8" w:rsidRPr="00B400C8" w:rsidRDefault="00B400C8" w:rsidP="00B400C8">
      <w:pPr>
        <w:pStyle w:val="SingleTxtGR"/>
      </w:pPr>
      <w:r w:rsidRPr="00B400C8">
        <w:t>4.</w:t>
      </w:r>
      <w:r w:rsidRPr="00B400C8">
        <w:tab/>
        <w:t>Кроме того, Комитет приветствует следующие законодательные и пол</w:t>
      </w:r>
      <w:r w:rsidRPr="00B400C8">
        <w:t>и</w:t>
      </w:r>
      <w:r w:rsidRPr="00B400C8">
        <w:t>тические меры, принятые государством-участником:</w:t>
      </w:r>
    </w:p>
    <w:p w:rsidR="00B400C8" w:rsidRPr="00B400C8" w:rsidRDefault="00190638" w:rsidP="00B400C8">
      <w:pPr>
        <w:pStyle w:val="SingleTxtGR"/>
      </w:pPr>
      <w:r>
        <w:rPr>
          <w:lang w:val="en-US"/>
        </w:rPr>
        <w:tab/>
      </w:r>
      <w:r w:rsidR="00B400C8" w:rsidRPr="00B400C8">
        <w:t>а)</w:t>
      </w:r>
      <w:r w:rsidR="00B400C8" w:rsidRPr="00B400C8">
        <w:tab/>
        <w:t>Закон № 67/2014, принятый в апреле 2014 года с целью отмены уголовной ответственности за въезд на территорию государства-участника и пребывание на ней в нарушение установленных правил и введения вместо не</w:t>
      </w:r>
      <w:r>
        <w:t>е</w:t>
      </w:r>
      <w:r w:rsidR="00B400C8" w:rsidRPr="00B400C8">
        <w:t xml:space="preserve"> административной ответственности, как это было рекомендовано Комитетом </w:t>
      </w:r>
      <w:r w:rsidR="005A3671">
        <w:br/>
      </w:r>
      <w:r w:rsidR="00B400C8" w:rsidRPr="00B400C8">
        <w:t>в его предыдущих заключительных замечан</w:t>
      </w:r>
      <w:r>
        <w:t>иях (CERD/C/ITA/CO/16-18, пункт</w:t>
      </w:r>
      <w:r>
        <w:rPr>
          <w:lang w:val="en-US"/>
        </w:rPr>
        <w:t> </w:t>
      </w:r>
      <w:r w:rsidR="00B400C8" w:rsidRPr="00B400C8">
        <w:t>22);</w:t>
      </w:r>
    </w:p>
    <w:p w:rsidR="00B400C8" w:rsidRPr="00B400C8" w:rsidRDefault="00190638" w:rsidP="00B400C8">
      <w:pPr>
        <w:pStyle w:val="SingleTxtGR"/>
      </w:pPr>
      <w:r>
        <w:lastRenderedPageBreak/>
        <w:tab/>
      </w:r>
      <w:r w:rsidR="00B400C8" w:rsidRPr="00B400C8">
        <w:t>b)</w:t>
      </w:r>
      <w:r w:rsidR="00B400C8" w:rsidRPr="00B400C8">
        <w:tab/>
        <w:t>Законодательный декрет № 18/2014, принятый 21 февраля 2014 г</w:t>
      </w:r>
      <w:r w:rsidR="00B400C8" w:rsidRPr="00B400C8">
        <w:t>о</w:t>
      </w:r>
      <w:r w:rsidR="00B400C8" w:rsidRPr="00B400C8">
        <w:t>да с целью выполнения Директивы 2011/95/EU Европейского союза, в которой закреплены нормы, регулирующие порядок квалификации граждан третьих стран или лиц без гражданства в качестве бенефициаров международной защ</w:t>
      </w:r>
      <w:r w:rsidR="00B400C8" w:rsidRPr="00B400C8">
        <w:t>и</w:t>
      </w:r>
      <w:r w:rsidR="00B400C8" w:rsidRPr="00B400C8">
        <w:t>ты, предоставление единообразного статуса беженцам или лицам, имеющим право на дополнительную защиту, и содержание защиты, предоставляемой б</w:t>
      </w:r>
      <w:r w:rsidR="00B400C8" w:rsidRPr="00B400C8">
        <w:t>е</w:t>
      </w:r>
      <w:r w:rsidR="00B400C8" w:rsidRPr="00B400C8">
        <w:t xml:space="preserve">женцам; </w:t>
      </w:r>
    </w:p>
    <w:p w:rsidR="00B400C8" w:rsidRPr="00B400C8" w:rsidRDefault="00190638" w:rsidP="00B400C8">
      <w:pPr>
        <w:pStyle w:val="SingleTxtGR"/>
      </w:pPr>
      <w:r>
        <w:tab/>
      </w:r>
      <w:r w:rsidR="00B400C8" w:rsidRPr="00B400C8">
        <w:t>c)</w:t>
      </w:r>
      <w:r w:rsidR="00B400C8" w:rsidRPr="00B400C8">
        <w:tab/>
        <w:t>Национальный план действий по борьбе против расизма, ксеноф</w:t>
      </w:r>
      <w:r w:rsidR="00B400C8" w:rsidRPr="00B400C8">
        <w:t>о</w:t>
      </w:r>
      <w:r w:rsidR="00B400C8" w:rsidRPr="00B400C8">
        <w:t>бии и связанной с ними нете</w:t>
      </w:r>
      <w:r w:rsidR="00B400C8" w:rsidRPr="00B400C8">
        <w:t>р</w:t>
      </w:r>
      <w:r w:rsidR="00B400C8" w:rsidRPr="00B400C8">
        <w:t>пимости, принятый 7 августа 2015 года.</w:t>
      </w:r>
    </w:p>
    <w:p w:rsidR="00B400C8" w:rsidRPr="00B400C8" w:rsidRDefault="00B400C8" w:rsidP="00B400C8">
      <w:pPr>
        <w:pStyle w:val="SingleTxtGR"/>
      </w:pPr>
      <w:r w:rsidRPr="00B400C8">
        <w:t>5.</w:t>
      </w:r>
      <w:r w:rsidRPr="00B400C8">
        <w:tab/>
        <w:t>Комитет также приветствует ратификацию государством-участником сл</w:t>
      </w:r>
      <w:r w:rsidRPr="00B400C8">
        <w:t>е</w:t>
      </w:r>
      <w:r w:rsidRPr="00B400C8">
        <w:t>дующих международных договоров или его присоединение к ним:</w:t>
      </w:r>
    </w:p>
    <w:p w:rsidR="00B400C8" w:rsidRPr="00B400C8" w:rsidRDefault="00190638" w:rsidP="00B400C8">
      <w:pPr>
        <w:pStyle w:val="SingleTxtGR"/>
      </w:pPr>
      <w:r>
        <w:tab/>
      </w:r>
      <w:r w:rsidR="00B400C8" w:rsidRPr="00B400C8">
        <w:t>a)</w:t>
      </w:r>
      <w:r w:rsidR="00B400C8" w:rsidRPr="00B400C8">
        <w:tab/>
        <w:t xml:space="preserve">Факультативного протокола к Конвенции против пыток и других жестоких, бесчеловечных или унижающих достоинство видов обращения и наказания, 3 апреля 2013 года; </w:t>
      </w:r>
    </w:p>
    <w:p w:rsidR="00B400C8" w:rsidRPr="00B400C8" w:rsidRDefault="00190638" w:rsidP="00B400C8">
      <w:pPr>
        <w:pStyle w:val="SingleTxtGR"/>
      </w:pPr>
      <w:r>
        <w:tab/>
      </w:r>
      <w:r w:rsidR="00B400C8" w:rsidRPr="00B400C8">
        <w:t>b)</w:t>
      </w:r>
      <w:r w:rsidR="00B400C8" w:rsidRPr="00B400C8">
        <w:tab/>
        <w:t>Факультативного протокола к Международному пакту об эконом</w:t>
      </w:r>
      <w:r w:rsidR="00B400C8" w:rsidRPr="00B400C8">
        <w:t>и</w:t>
      </w:r>
      <w:r w:rsidR="00B400C8" w:rsidRPr="00B400C8">
        <w:t>ческих, социальных и культу</w:t>
      </w:r>
      <w:r w:rsidR="00B400C8" w:rsidRPr="00B400C8">
        <w:t>р</w:t>
      </w:r>
      <w:r w:rsidR="00B400C8" w:rsidRPr="00B400C8">
        <w:t xml:space="preserve">ных правах, 20 февраля 2015 года; </w:t>
      </w:r>
    </w:p>
    <w:p w:rsidR="00B400C8" w:rsidRPr="00B400C8" w:rsidRDefault="00190638" w:rsidP="00B400C8">
      <w:pPr>
        <w:pStyle w:val="SingleTxtGR"/>
      </w:pPr>
      <w:r>
        <w:tab/>
      </w:r>
      <w:r w:rsidR="00B400C8" w:rsidRPr="00B400C8">
        <w:t>c)</w:t>
      </w:r>
      <w:r w:rsidR="00B400C8" w:rsidRPr="00B400C8">
        <w:tab/>
        <w:t xml:space="preserve">Конвенции о сокращении безгражданства, 1 декабря 2015 года; </w:t>
      </w:r>
    </w:p>
    <w:p w:rsidR="00B400C8" w:rsidRPr="00B400C8" w:rsidRDefault="00190638" w:rsidP="00B400C8">
      <w:pPr>
        <w:pStyle w:val="SingleTxtGR"/>
      </w:pPr>
      <w:r>
        <w:tab/>
      </w:r>
      <w:r w:rsidR="00B400C8" w:rsidRPr="00B400C8">
        <w:t>d)</w:t>
      </w:r>
      <w:r w:rsidR="00B400C8" w:rsidRPr="00B400C8">
        <w:tab/>
        <w:t>Факультативного протокола к Конвенции о правах ребенка, каса</w:t>
      </w:r>
      <w:r w:rsidR="00B400C8" w:rsidRPr="00B400C8">
        <w:t>ю</w:t>
      </w:r>
      <w:r w:rsidR="00B400C8" w:rsidRPr="00B400C8">
        <w:t xml:space="preserve">щегося процедуры сообщений, 4 февраля 2016 года. </w:t>
      </w:r>
    </w:p>
    <w:p w:rsidR="00B400C8" w:rsidRPr="00B400C8" w:rsidRDefault="00190638" w:rsidP="00190638">
      <w:pPr>
        <w:pStyle w:val="H1GR"/>
      </w:pPr>
      <w:r>
        <w:tab/>
      </w:r>
      <w:r w:rsidR="00B400C8" w:rsidRPr="00B400C8">
        <w:t>C.</w:t>
      </w:r>
      <w:r w:rsidR="00B400C8" w:rsidRPr="00B400C8">
        <w:tab/>
        <w:t>Вопросы, вызывающие обеспокоенность, и рекомендации</w:t>
      </w:r>
    </w:p>
    <w:p w:rsidR="00B400C8" w:rsidRPr="00B400C8" w:rsidRDefault="00B400C8" w:rsidP="00190638">
      <w:pPr>
        <w:pStyle w:val="H23GR"/>
      </w:pPr>
      <w:r w:rsidRPr="00B400C8">
        <w:tab/>
      </w:r>
      <w:r w:rsidRPr="00B400C8">
        <w:tab/>
        <w:t>Антидис</w:t>
      </w:r>
      <w:r w:rsidR="00190638">
        <w:t>криминационное законодательство</w:t>
      </w:r>
    </w:p>
    <w:p w:rsidR="00B400C8" w:rsidRPr="00B400C8" w:rsidRDefault="00B400C8" w:rsidP="00B400C8">
      <w:pPr>
        <w:pStyle w:val="SingleTxtGR"/>
      </w:pPr>
      <w:r w:rsidRPr="00B400C8">
        <w:t>6.</w:t>
      </w:r>
      <w:r w:rsidRPr="00B400C8">
        <w:tab/>
        <w:t>Комитет принимает к сведению положение об общем равенстве, соде</w:t>
      </w:r>
      <w:r w:rsidRPr="00B400C8">
        <w:t>р</w:t>
      </w:r>
      <w:r w:rsidRPr="00B400C8">
        <w:t>жащееся в статье 3 Конст</w:t>
      </w:r>
      <w:r w:rsidRPr="00B400C8">
        <w:t>и</w:t>
      </w:r>
      <w:r w:rsidRPr="00B400C8">
        <w:t>туции, и заверения делегации государства-участника в том, что положения статьи 1 Конвенции в полном объеме инкорпорированы в его внутреннее законодательство. Вместе с тем Комитет по-прежнему обесп</w:t>
      </w:r>
      <w:r w:rsidRPr="00B400C8">
        <w:t>о</w:t>
      </w:r>
      <w:r w:rsidRPr="00B400C8">
        <w:t>коен отсутствием ясности относительно конкретных законов и положений, з</w:t>
      </w:r>
      <w:r w:rsidRPr="00B400C8">
        <w:t>а</w:t>
      </w:r>
      <w:r w:rsidRPr="00B400C8">
        <w:t>прещающих, в соотве</w:t>
      </w:r>
      <w:r w:rsidRPr="00B400C8">
        <w:t>т</w:t>
      </w:r>
      <w:r w:rsidRPr="00B400C8">
        <w:t>ствии со статьей 1 Конвенции, расовую дискриминацию, в частности дискриминацию по признакам цвета кожи и национального или э</w:t>
      </w:r>
      <w:r w:rsidRPr="00B400C8">
        <w:t>т</w:t>
      </w:r>
      <w:r w:rsidRPr="00B400C8">
        <w:t>нического происхождения, а также независимо от того, является ли дискрим</w:t>
      </w:r>
      <w:r w:rsidRPr="00B400C8">
        <w:t>и</w:t>
      </w:r>
      <w:r w:rsidRPr="00B400C8">
        <w:t xml:space="preserve">нация </w:t>
      </w:r>
      <w:r w:rsidR="00190638">
        <w:t>«</w:t>
      </w:r>
      <w:r w:rsidRPr="00B400C8">
        <w:t>целью или следствием</w:t>
      </w:r>
      <w:r w:rsidR="00190638">
        <w:t>»</w:t>
      </w:r>
      <w:r w:rsidRPr="00B400C8">
        <w:t xml:space="preserve"> (статья 1). </w:t>
      </w:r>
    </w:p>
    <w:p w:rsidR="00B400C8" w:rsidRPr="00B400C8" w:rsidRDefault="00B400C8" w:rsidP="00B400C8">
      <w:pPr>
        <w:pStyle w:val="SingleTxtGR"/>
      </w:pPr>
      <w:r w:rsidRPr="00B400C8">
        <w:t>7.</w:t>
      </w:r>
      <w:r w:rsidRPr="00B400C8">
        <w:tab/>
      </w:r>
      <w:r w:rsidRPr="00190638">
        <w:rPr>
          <w:b/>
        </w:rPr>
        <w:t>Комитет рекомендует государству-участнику принять необходимые меры для обеспечения того, чтобы его внутреннее антидискриминационное законод</w:t>
      </w:r>
      <w:r w:rsidRPr="00190638">
        <w:rPr>
          <w:b/>
        </w:rPr>
        <w:t>а</w:t>
      </w:r>
      <w:r w:rsidRPr="00190638">
        <w:rPr>
          <w:b/>
        </w:rPr>
        <w:t>тельство запрещало все формы дискриминации в соответствии со статьей 1 Конвенции, в том числе дискриминацию по признакам цвета к</w:t>
      </w:r>
      <w:r w:rsidRPr="00190638">
        <w:rPr>
          <w:b/>
        </w:rPr>
        <w:t>о</w:t>
      </w:r>
      <w:r w:rsidRPr="00190638">
        <w:rPr>
          <w:b/>
        </w:rPr>
        <w:t>жи и национального или этнического происхождения, а также дискрим</w:t>
      </w:r>
      <w:r w:rsidRPr="00190638">
        <w:rPr>
          <w:b/>
        </w:rPr>
        <w:t>и</w:t>
      </w:r>
      <w:r w:rsidRPr="00190638">
        <w:rPr>
          <w:b/>
        </w:rPr>
        <w:t>нацию в результате умысла или негативного воздействия. Он напоминает о том, что законодательные гарантии запрещения расовой дискриминации должны применяться к негражданам независимо от их иммиграционного статуса, как это было подчеркнуто Ком</w:t>
      </w:r>
      <w:r w:rsidR="00190638">
        <w:rPr>
          <w:b/>
        </w:rPr>
        <w:t>итетом в его общей рекоменд</w:t>
      </w:r>
      <w:r w:rsidR="00190638">
        <w:rPr>
          <w:b/>
        </w:rPr>
        <w:t>а</w:t>
      </w:r>
      <w:r w:rsidR="00190638">
        <w:rPr>
          <w:b/>
        </w:rPr>
        <w:t>ции </w:t>
      </w:r>
      <w:r w:rsidRPr="00190638">
        <w:rPr>
          <w:b/>
        </w:rPr>
        <w:t>№ 30 (2004) о дискриминации н</w:t>
      </w:r>
      <w:r w:rsidRPr="00190638">
        <w:rPr>
          <w:b/>
        </w:rPr>
        <w:t>е</w:t>
      </w:r>
      <w:r w:rsidRPr="00190638">
        <w:rPr>
          <w:b/>
        </w:rPr>
        <w:t>граждан. Комитет просит государство-участник представить в своем следующем периодическом докладе дал</w:t>
      </w:r>
      <w:r w:rsidRPr="00190638">
        <w:rPr>
          <w:b/>
        </w:rPr>
        <w:t>ь</w:t>
      </w:r>
      <w:r w:rsidRPr="00190638">
        <w:rPr>
          <w:b/>
        </w:rPr>
        <w:t>нейшие разъяснения относительно законодательной базы и точные форм</w:t>
      </w:r>
      <w:r w:rsidRPr="00190638">
        <w:rPr>
          <w:b/>
        </w:rPr>
        <w:t>у</w:t>
      </w:r>
      <w:r w:rsidRPr="00190638">
        <w:rPr>
          <w:b/>
        </w:rPr>
        <w:t>лировки правовых положений, которые запрещают все формы расовой дискриминации в соответствии со статьей 1 Конвенции.</w:t>
      </w:r>
    </w:p>
    <w:p w:rsidR="00B400C8" w:rsidRPr="00B400C8" w:rsidRDefault="00B400C8" w:rsidP="00190638">
      <w:pPr>
        <w:pStyle w:val="H23GR"/>
      </w:pPr>
      <w:r w:rsidRPr="00B400C8">
        <w:tab/>
      </w:r>
      <w:r w:rsidRPr="00B400C8">
        <w:tab/>
        <w:t xml:space="preserve">Дезагрегированные статистические данные </w:t>
      </w:r>
    </w:p>
    <w:p w:rsidR="00B400C8" w:rsidRPr="00B400C8" w:rsidRDefault="00B400C8" w:rsidP="00B400C8">
      <w:pPr>
        <w:pStyle w:val="SingleTxtGR"/>
      </w:pPr>
      <w:r w:rsidRPr="00B400C8">
        <w:t>8.</w:t>
      </w:r>
      <w:r w:rsidRPr="00B400C8">
        <w:tab/>
        <w:t>Комитет отмечает недавние усилия государства-участника по улучшению сбора данных об уголовных преступлениях, совершенных по расистским мот</w:t>
      </w:r>
      <w:r w:rsidRPr="00B400C8">
        <w:t>и</w:t>
      </w:r>
      <w:r w:rsidRPr="00B400C8">
        <w:t>вам, но вновь выражает обеспокоенность в связи с отсутствием подробных данных о расовом и этническом составе населения государства-участника. Т</w:t>
      </w:r>
      <w:r w:rsidRPr="00B400C8">
        <w:t>а</w:t>
      </w:r>
      <w:r w:rsidRPr="00B400C8">
        <w:t>кие данные являются важнейшей отправной точкой для последующего пре</w:t>
      </w:r>
      <w:r w:rsidRPr="00B400C8">
        <w:t>д</w:t>
      </w:r>
      <w:r w:rsidRPr="00B400C8">
        <w:t xml:space="preserve">ставления более подробных социально-экономических показателей в разбивке </w:t>
      </w:r>
      <w:r w:rsidRPr="00B400C8">
        <w:lastRenderedPageBreak/>
        <w:t>по социальным группам, которые позволят выявить различия в степени ос</w:t>
      </w:r>
      <w:r w:rsidRPr="00B400C8">
        <w:t>у</w:t>
      </w:r>
      <w:r w:rsidRPr="00B400C8">
        <w:t>ществления закрепленных в Конвенции прав лицами, защищаемыми согласно статье 1. Комитет подчеркивает, что такие дезагрегированные статистические данные чрезвычайно важны при определении эмпирической основы для выя</w:t>
      </w:r>
      <w:r w:rsidRPr="00B400C8">
        <w:t>в</w:t>
      </w:r>
      <w:r w:rsidRPr="00B400C8">
        <w:t>ления конкретных групп, которые подвергаются дискриминации по признакам расы, цвета кожи, родового, национального или этнического происхождения, принятия надлежащих мер, включая специальные меры, в целях устранения н</w:t>
      </w:r>
      <w:r w:rsidRPr="00B400C8">
        <w:t>е</w:t>
      </w:r>
      <w:r w:rsidRPr="00B400C8">
        <w:t>раве</w:t>
      </w:r>
      <w:r w:rsidRPr="00B400C8">
        <w:t>н</w:t>
      </w:r>
      <w:r w:rsidRPr="00B400C8">
        <w:t xml:space="preserve">ства и оценки результативности принятых мер (статьи 1, 2 и 5). </w:t>
      </w:r>
    </w:p>
    <w:p w:rsidR="00B400C8" w:rsidRPr="00B400C8" w:rsidRDefault="00B400C8" w:rsidP="00B400C8">
      <w:pPr>
        <w:pStyle w:val="SingleTxtGR"/>
      </w:pPr>
      <w:r w:rsidRPr="00B400C8">
        <w:t>9.</w:t>
      </w:r>
      <w:r w:rsidRPr="00B400C8">
        <w:tab/>
      </w:r>
      <w:r w:rsidRPr="00190638">
        <w:rPr>
          <w:b/>
        </w:rPr>
        <w:t>Комитет рекомендует государству-участнику создать механизм для сбора дезагрегированных данных не только об уголовных преступлениях, совершенных по расистским мотивам, но и о нарушениях статьи 1 Конве</w:t>
      </w:r>
      <w:r w:rsidRPr="00190638">
        <w:rPr>
          <w:b/>
        </w:rPr>
        <w:t>н</w:t>
      </w:r>
      <w:r w:rsidRPr="00190638">
        <w:rPr>
          <w:b/>
        </w:rPr>
        <w:t>ции, на которые отдельно от Уголовного кодекса и в дополнение к нему распространяет свое действие законодательс</w:t>
      </w:r>
      <w:r w:rsidR="005A3671">
        <w:rPr>
          <w:b/>
        </w:rPr>
        <w:t>тво государства-участника, т.е. </w:t>
      </w:r>
      <w:r w:rsidRPr="00190638">
        <w:rPr>
          <w:b/>
        </w:rPr>
        <w:t>другие нормы гражданского и административного права, гарантиру</w:t>
      </w:r>
      <w:r w:rsidRPr="00190638">
        <w:rPr>
          <w:b/>
        </w:rPr>
        <w:t>ю</w:t>
      </w:r>
      <w:r w:rsidRPr="00190638">
        <w:rPr>
          <w:b/>
        </w:rPr>
        <w:t>щие равные возможности пользоваться правами независимо от расы, цвета к</w:t>
      </w:r>
      <w:r w:rsidRPr="00190638">
        <w:rPr>
          <w:b/>
        </w:rPr>
        <w:t>о</w:t>
      </w:r>
      <w:r w:rsidRPr="00190638">
        <w:rPr>
          <w:b/>
        </w:rPr>
        <w:t>жи, родового, национального или этнического происхождения. Он также напоминает о своей предыдущей рекомендации в отношении сбора деза</w:t>
      </w:r>
      <w:r w:rsidRPr="00190638">
        <w:rPr>
          <w:b/>
        </w:rPr>
        <w:t>г</w:t>
      </w:r>
      <w:r w:rsidRPr="00190638">
        <w:rPr>
          <w:b/>
        </w:rPr>
        <w:t>регированных статистических данных об этническом составе населения государства-участника с учетом принятых Комитетом пересмотренных р</w:t>
      </w:r>
      <w:r w:rsidRPr="00190638">
        <w:rPr>
          <w:b/>
        </w:rPr>
        <w:t>у</w:t>
      </w:r>
      <w:r w:rsidRPr="00190638">
        <w:rPr>
          <w:b/>
        </w:rPr>
        <w:t>ководящих принципов представления докладов (см. CERD/C/2007/1, пун</w:t>
      </w:r>
      <w:r w:rsidRPr="00190638">
        <w:rPr>
          <w:b/>
        </w:rPr>
        <w:t>к</w:t>
      </w:r>
      <w:r w:rsidRPr="00190638">
        <w:rPr>
          <w:b/>
        </w:rPr>
        <w:t>ты 10 и 12) и общей рекомендации № 8 (1990), касающейся толкования и применения пунктов 1 и 4 статьи 1 Конвенции.</w:t>
      </w:r>
    </w:p>
    <w:p w:rsidR="00B400C8" w:rsidRPr="00B400C8" w:rsidRDefault="00190638" w:rsidP="00190638">
      <w:pPr>
        <w:pStyle w:val="H23GR"/>
        <w:rPr>
          <w:bCs/>
        </w:rPr>
      </w:pPr>
      <w:r>
        <w:tab/>
      </w:r>
      <w:r>
        <w:tab/>
      </w:r>
      <w:r w:rsidR="00B400C8" w:rsidRPr="00B400C8">
        <w:t>Национ</w:t>
      </w:r>
      <w:r>
        <w:t>альное правозащитное учреждение</w:t>
      </w:r>
    </w:p>
    <w:p w:rsidR="00B400C8" w:rsidRPr="00B400C8" w:rsidRDefault="00B400C8" w:rsidP="00B400C8">
      <w:pPr>
        <w:pStyle w:val="SingleTxtGR"/>
      </w:pPr>
      <w:r w:rsidRPr="00B400C8">
        <w:t>10.</w:t>
      </w:r>
      <w:r w:rsidRPr="00B400C8">
        <w:tab/>
        <w:t>Комитет выражает сожаление в связи с отсутствием прогресса в деле с</w:t>
      </w:r>
      <w:r w:rsidRPr="00B400C8">
        <w:t>о</w:t>
      </w:r>
      <w:r w:rsidRPr="00B400C8">
        <w:t>здания национального правозащитного учреждения</w:t>
      </w:r>
      <w:r w:rsidR="005A3671">
        <w:t>,</w:t>
      </w:r>
      <w:r w:rsidRPr="00B400C8">
        <w:t xml:space="preserve"> несмотря на его предыд</w:t>
      </w:r>
      <w:r w:rsidRPr="00B400C8">
        <w:t>у</w:t>
      </w:r>
      <w:r w:rsidRPr="00B400C8">
        <w:t>щую рекомендацию, содержащуюся в его заключительных замечаниях 2012 г</w:t>
      </w:r>
      <w:r w:rsidRPr="00B400C8">
        <w:t>о</w:t>
      </w:r>
      <w:r w:rsidRPr="00B400C8">
        <w:t xml:space="preserve">да, и выраженное государством-участником твердое намерение сделать это (статья 2). </w:t>
      </w:r>
    </w:p>
    <w:p w:rsidR="00B400C8" w:rsidRPr="00B400C8" w:rsidRDefault="00B400C8" w:rsidP="00B400C8">
      <w:pPr>
        <w:pStyle w:val="SingleTxtGR"/>
      </w:pPr>
      <w:r w:rsidRPr="00B400C8">
        <w:t>11.</w:t>
      </w:r>
      <w:r w:rsidRPr="00B400C8">
        <w:tab/>
      </w:r>
      <w:r w:rsidRPr="00190638">
        <w:rPr>
          <w:b/>
        </w:rPr>
        <w:t>Ссылаясь на свою общую рекомендацию № 17 (1993) о создании национальных институтов по содействию осуществлению Конвенции, К</w:t>
      </w:r>
      <w:r w:rsidRPr="00190638">
        <w:rPr>
          <w:b/>
        </w:rPr>
        <w:t>о</w:t>
      </w:r>
      <w:r w:rsidRPr="00190638">
        <w:rPr>
          <w:b/>
        </w:rPr>
        <w:t>митет рек</w:t>
      </w:r>
      <w:r w:rsidRPr="00190638">
        <w:rPr>
          <w:b/>
        </w:rPr>
        <w:t>о</w:t>
      </w:r>
      <w:r w:rsidRPr="00190638">
        <w:rPr>
          <w:b/>
        </w:rPr>
        <w:t>мендует государству-участнику без дальнейшего промедления и при активном участии субъектов гражданского общества создать наци</w:t>
      </w:r>
      <w:r w:rsidRPr="00190638">
        <w:rPr>
          <w:b/>
        </w:rPr>
        <w:t>о</w:t>
      </w:r>
      <w:r w:rsidRPr="00190638">
        <w:rPr>
          <w:b/>
        </w:rPr>
        <w:t>нальное правозащитное учреждение в соответствии с принципами, каса</w:t>
      </w:r>
      <w:r w:rsidRPr="00190638">
        <w:rPr>
          <w:b/>
        </w:rPr>
        <w:t>ю</w:t>
      </w:r>
      <w:r w:rsidRPr="00190638">
        <w:rPr>
          <w:b/>
        </w:rPr>
        <w:t>щимися статуса наци</w:t>
      </w:r>
      <w:r w:rsidRPr="00190638">
        <w:rPr>
          <w:b/>
        </w:rPr>
        <w:t>о</w:t>
      </w:r>
      <w:r w:rsidRPr="00190638">
        <w:rPr>
          <w:b/>
        </w:rPr>
        <w:t>нальных учреждений для поощрения и защиты прав человека (Парижские принципы).</w:t>
      </w:r>
      <w:r w:rsidRPr="00B400C8">
        <w:t xml:space="preserve"> </w:t>
      </w:r>
    </w:p>
    <w:p w:rsidR="00B400C8" w:rsidRPr="00B400C8" w:rsidRDefault="00B400C8" w:rsidP="00190638">
      <w:pPr>
        <w:pStyle w:val="H23GR"/>
      </w:pPr>
      <w:r w:rsidRPr="00B400C8">
        <w:tab/>
      </w:r>
      <w:r w:rsidRPr="00B400C8">
        <w:tab/>
        <w:t>Национальное управление по борьбе с расовой дискриминац</w:t>
      </w:r>
      <w:r w:rsidRPr="00B400C8">
        <w:t>и</w:t>
      </w:r>
      <w:r w:rsidR="00190638">
        <w:t>ей</w:t>
      </w:r>
    </w:p>
    <w:p w:rsidR="00B400C8" w:rsidRPr="00B400C8" w:rsidRDefault="00B400C8" w:rsidP="00B400C8">
      <w:pPr>
        <w:pStyle w:val="SingleTxtGR"/>
      </w:pPr>
      <w:r w:rsidRPr="00B400C8">
        <w:t>12.</w:t>
      </w:r>
      <w:r w:rsidRPr="00B400C8">
        <w:tab/>
        <w:t>Отмечая важную работу, которую продолжает проводить Национальное управление по борьбе с расовой дискриминацией (ЮНАР) в целях поощрения равенства и борьбы против расовой дискриминации в государстве-участнике, Комитет по-прежнему обеспокоен тем, что оно не является полностью незав</w:t>
      </w:r>
      <w:r w:rsidRPr="00B400C8">
        <w:t>и</w:t>
      </w:r>
      <w:r w:rsidRPr="00B400C8">
        <w:t xml:space="preserve">симым (статья 2). </w:t>
      </w:r>
    </w:p>
    <w:p w:rsidR="00B400C8" w:rsidRPr="00B400C8" w:rsidRDefault="00B400C8" w:rsidP="00B400C8">
      <w:pPr>
        <w:pStyle w:val="SingleTxtGR"/>
      </w:pPr>
      <w:r w:rsidRPr="00B400C8">
        <w:t>13.</w:t>
      </w:r>
      <w:r w:rsidRPr="00B400C8">
        <w:tab/>
      </w:r>
      <w:r w:rsidRPr="00190638">
        <w:rPr>
          <w:b/>
        </w:rPr>
        <w:t>Комитет рекомендует государству-участнику обеспечить, чтобы Национальное управление по борьбе с расовой дискриминацией (ЮНАР) было независимым как в соответствии с законодательством, так и на практике и чтобы оно располагало достаточными людскими и финанс</w:t>
      </w:r>
      <w:r w:rsidRPr="00190638">
        <w:rPr>
          <w:b/>
        </w:rPr>
        <w:t>о</w:t>
      </w:r>
      <w:r w:rsidRPr="00190638">
        <w:rPr>
          <w:b/>
        </w:rPr>
        <w:t>выми ресурсами для э</w:t>
      </w:r>
      <w:r w:rsidRPr="00190638">
        <w:rPr>
          <w:b/>
        </w:rPr>
        <w:t>ф</w:t>
      </w:r>
      <w:r w:rsidRPr="00190638">
        <w:rPr>
          <w:b/>
        </w:rPr>
        <w:t>фективного выполнения своего мандата. Он также подчеркивает, что любой план по включению Управления в структуру н</w:t>
      </w:r>
      <w:r w:rsidRPr="00190638">
        <w:rPr>
          <w:b/>
        </w:rPr>
        <w:t>е</w:t>
      </w:r>
      <w:r w:rsidRPr="00190638">
        <w:rPr>
          <w:b/>
        </w:rPr>
        <w:t>зависимого орган</w:t>
      </w:r>
      <w:r w:rsidR="005A3671">
        <w:rPr>
          <w:b/>
        </w:rPr>
        <w:t>а с более широкими полномочиями</w:t>
      </w:r>
      <w:r w:rsidRPr="00190638">
        <w:rPr>
          <w:b/>
        </w:rPr>
        <w:t xml:space="preserve"> должен гарантир</w:t>
      </w:r>
      <w:r w:rsidRPr="00190638">
        <w:rPr>
          <w:b/>
        </w:rPr>
        <w:t>о</w:t>
      </w:r>
      <w:r w:rsidRPr="00190638">
        <w:rPr>
          <w:b/>
        </w:rPr>
        <w:t>вать независимость и эффективность его мандата по борьбе с расовой ди</w:t>
      </w:r>
      <w:r w:rsidRPr="00190638">
        <w:rPr>
          <w:b/>
        </w:rPr>
        <w:t>с</w:t>
      </w:r>
      <w:r w:rsidRPr="00190638">
        <w:rPr>
          <w:b/>
        </w:rPr>
        <w:t>криминацией.</w:t>
      </w:r>
      <w:r w:rsidRPr="00B400C8">
        <w:t xml:space="preserve"> </w:t>
      </w:r>
    </w:p>
    <w:p w:rsidR="00B400C8" w:rsidRPr="00B400C8" w:rsidRDefault="00B400C8" w:rsidP="00190638">
      <w:pPr>
        <w:pStyle w:val="H23GR"/>
      </w:pPr>
      <w:r w:rsidRPr="00B400C8">
        <w:tab/>
      </w:r>
      <w:r w:rsidRPr="00B400C8">
        <w:tab/>
        <w:t xml:space="preserve">Ненавистнические высказывания расистского толка </w:t>
      </w:r>
    </w:p>
    <w:p w:rsidR="00B400C8" w:rsidRPr="00B400C8" w:rsidRDefault="00B400C8" w:rsidP="00B400C8">
      <w:pPr>
        <w:pStyle w:val="SingleTxtGR"/>
      </w:pPr>
      <w:r w:rsidRPr="00B400C8">
        <w:t>14.</w:t>
      </w:r>
      <w:r w:rsidRPr="00B400C8">
        <w:tab/>
        <w:t>Комитет отмечает возбуждение судебного преследования против некот</w:t>
      </w:r>
      <w:r w:rsidRPr="00B400C8">
        <w:t>о</w:t>
      </w:r>
      <w:r w:rsidRPr="00B400C8">
        <w:t>рых местных политиков за распространение идей, основанных на расовом пр</w:t>
      </w:r>
      <w:r w:rsidRPr="00B400C8">
        <w:t>е</w:t>
      </w:r>
      <w:r w:rsidRPr="00B400C8">
        <w:lastRenderedPageBreak/>
        <w:t>восходстве или ненависти, но выражает озабоченность по поводу того, что п</w:t>
      </w:r>
      <w:r w:rsidRPr="00B400C8">
        <w:t>о</w:t>
      </w:r>
      <w:r w:rsidRPr="00B400C8">
        <w:t>ложения Конституции, предусматривающей иммунитет для членов парл</w:t>
      </w:r>
      <w:r w:rsidRPr="00B400C8">
        <w:t>а</w:t>
      </w:r>
      <w:r w:rsidRPr="00B400C8">
        <w:t>мента за мнения, которые они высказывают в ходе осуществления своих функций, м</w:t>
      </w:r>
      <w:r w:rsidRPr="00B400C8">
        <w:t>о</w:t>
      </w:r>
      <w:r w:rsidRPr="00B400C8">
        <w:t>гут препятствовать их привлечению к ответственности. Он выражает особую обеспокоенность по поводу распространенности в ходе политических дебатов расистских высказываний, стигматизации и негативных стереотипов в отнош</w:t>
      </w:r>
      <w:r w:rsidRPr="00B400C8">
        <w:t>е</w:t>
      </w:r>
      <w:r w:rsidRPr="00B400C8">
        <w:t>нии мигрантов, мусульман, лиц африканского происхождения, общин рома, синти и камминанти, которые себе также позволяют и средства массовой и</w:t>
      </w:r>
      <w:r w:rsidRPr="00B400C8">
        <w:t>н</w:t>
      </w:r>
      <w:r w:rsidRPr="00B400C8">
        <w:t>формации. Кроме того, Комитет выражает обеспокоенность по поводу а) случ</w:t>
      </w:r>
      <w:r w:rsidRPr="00B400C8">
        <w:t>а</w:t>
      </w:r>
      <w:r w:rsidRPr="00B400C8">
        <w:t>ев ненавистнических высказываний расистского толка в Интернете, включая растущее число групп в сети «Фейсбук», которые поощряют или разжигают ненависть в отношении неграждан, и b) отсутствия данных о судебном пресл</w:t>
      </w:r>
      <w:r w:rsidRPr="00B400C8">
        <w:t>е</w:t>
      </w:r>
      <w:r w:rsidRPr="00B400C8">
        <w:t>довании виновных лиц и средствах правовой защиты, предоставляемых жер</w:t>
      </w:r>
      <w:r w:rsidRPr="00B400C8">
        <w:t>т</w:t>
      </w:r>
      <w:r w:rsidRPr="00B400C8">
        <w:t xml:space="preserve">вам (статьи 2 и 4). </w:t>
      </w:r>
    </w:p>
    <w:p w:rsidR="00B400C8" w:rsidRPr="00AB0155" w:rsidRDefault="00B400C8" w:rsidP="00B400C8">
      <w:pPr>
        <w:pStyle w:val="SingleTxtGR"/>
        <w:rPr>
          <w:b/>
          <w:bCs/>
        </w:rPr>
      </w:pPr>
      <w:r w:rsidRPr="00B400C8">
        <w:t>15.</w:t>
      </w:r>
      <w:r w:rsidRPr="00B400C8">
        <w:tab/>
      </w:r>
      <w:r w:rsidRPr="00AB0155">
        <w:rPr>
          <w:b/>
        </w:rPr>
        <w:t>С учетом своей общей рекомендации № 35 (2013) о борьбе с нен</w:t>
      </w:r>
      <w:r w:rsidRPr="00AB0155">
        <w:rPr>
          <w:b/>
        </w:rPr>
        <w:t>а</w:t>
      </w:r>
      <w:r w:rsidRPr="00AB0155">
        <w:rPr>
          <w:b/>
        </w:rPr>
        <w:t>вистническими высказываниями расистского толка Комитет рекомендует госуда</w:t>
      </w:r>
      <w:r w:rsidRPr="00AB0155">
        <w:rPr>
          <w:b/>
        </w:rPr>
        <w:t>р</w:t>
      </w:r>
      <w:r w:rsidRPr="00AB0155">
        <w:rPr>
          <w:b/>
        </w:rPr>
        <w:t xml:space="preserve">ству-участнику: </w:t>
      </w:r>
    </w:p>
    <w:p w:rsidR="00B400C8" w:rsidRPr="00AB0155" w:rsidRDefault="00AB0155" w:rsidP="00B400C8">
      <w:pPr>
        <w:pStyle w:val="SingleTxtGR"/>
        <w:rPr>
          <w:b/>
          <w:bCs/>
        </w:rPr>
      </w:pPr>
      <w:r>
        <w:rPr>
          <w:b/>
        </w:rPr>
        <w:tab/>
      </w:r>
      <w:r w:rsidR="00B400C8" w:rsidRPr="00AB0155">
        <w:rPr>
          <w:b/>
        </w:rPr>
        <w:t>a)</w:t>
      </w:r>
      <w:r w:rsidR="00B400C8" w:rsidRPr="00AB0155">
        <w:rPr>
          <w:b/>
        </w:rPr>
        <w:tab/>
        <w:t>обеспечить, чтобы все лица, включая политиков на всех уро</w:t>
      </w:r>
      <w:r w:rsidR="00B400C8" w:rsidRPr="00AB0155">
        <w:rPr>
          <w:b/>
        </w:rPr>
        <w:t>в</w:t>
      </w:r>
      <w:r w:rsidR="00B400C8" w:rsidRPr="00AB0155">
        <w:rPr>
          <w:b/>
        </w:rPr>
        <w:t>нях, привл</w:t>
      </w:r>
      <w:r w:rsidR="00B400C8" w:rsidRPr="00AB0155">
        <w:rPr>
          <w:b/>
        </w:rPr>
        <w:t>е</w:t>
      </w:r>
      <w:r w:rsidR="00B400C8" w:rsidRPr="00AB0155">
        <w:rPr>
          <w:b/>
        </w:rPr>
        <w:t>кались к ответственности и наказывались за распространение идей, основанных на расовом превосходстве или ненависти, и другие нарушения статьи 4 Конвенции, в том числе путем отмены парламентского иммунитета от ответственности за ненавистнические высказывания р</w:t>
      </w:r>
      <w:r w:rsidR="00B400C8" w:rsidRPr="00AB0155">
        <w:rPr>
          <w:b/>
        </w:rPr>
        <w:t>а</w:t>
      </w:r>
      <w:r w:rsidR="00B400C8" w:rsidRPr="00AB0155">
        <w:rPr>
          <w:b/>
        </w:rPr>
        <w:t>систского толка в соответствии с общей рекомендацией № 7 (1985) относ</w:t>
      </w:r>
      <w:r w:rsidR="00B400C8" w:rsidRPr="00AB0155">
        <w:rPr>
          <w:b/>
        </w:rPr>
        <w:t>и</w:t>
      </w:r>
      <w:r w:rsidR="00B400C8" w:rsidRPr="00AB0155">
        <w:rPr>
          <w:b/>
        </w:rPr>
        <w:t>тельно осуществления статьи 4;</w:t>
      </w:r>
    </w:p>
    <w:p w:rsidR="00B400C8" w:rsidRPr="00AB0155" w:rsidRDefault="00AB0155" w:rsidP="00B400C8">
      <w:pPr>
        <w:pStyle w:val="SingleTxtGR"/>
        <w:rPr>
          <w:b/>
          <w:bCs/>
        </w:rPr>
      </w:pPr>
      <w:r>
        <w:rPr>
          <w:b/>
        </w:rPr>
        <w:tab/>
      </w:r>
      <w:r w:rsidR="00B400C8" w:rsidRPr="00AB0155">
        <w:rPr>
          <w:b/>
        </w:rPr>
        <w:t>b)</w:t>
      </w:r>
      <w:r w:rsidR="00B400C8" w:rsidRPr="00AB0155">
        <w:rPr>
          <w:b/>
        </w:rPr>
        <w:tab/>
        <w:t>обеспечить, чтобы жертвам ненавистнических высказываний расистского толка предоставлялись эффективные средства правовой з</w:t>
      </w:r>
      <w:r w:rsidR="00B400C8" w:rsidRPr="00AB0155">
        <w:rPr>
          <w:b/>
        </w:rPr>
        <w:t>а</w:t>
      </w:r>
      <w:r w:rsidR="00B400C8" w:rsidRPr="00AB0155">
        <w:rPr>
          <w:b/>
        </w:rPr>
        <w:t xml:space="preserve">щиты; </w:t>
      </w:r>
    </w:p>
    <w:p w:rsidR="00B400C8" w:rsidRPr="00AB0155" w:rsidRDefault="00AB0155" w:rsidP="00B400C8">
      <w:pPr>
        <w:pStyle w:val="SingleTxtGR"/>
        <w:rPr>
          <w:b/>
          <w:bCs/>
        </w:rPr>
      </w:pPr>
      <w:r>
        <w:rPr>
          <w:b/>
        </w:rPr>
        <w:tab/>
      </w:r>
      <w:r w:rsidR="00B400C8" w:rsidRPr="00AB0155">
        <w:rPr>
          <w:b/>
        </w:rPr>
        <w:t>c)</w:t>
      </w:r>
      <w:r w:rsidR="00B400C8" w:rsidRPr="00AB0155">
        <w:rPr>
          <w:b/>
        </w:rPr>
        <w:tab/>
        <w:t>создать согласованный механизм сбора данных для регистр</w:t>
      </w:r>
      <w:r w:rsidR="00B400C8" w:rsidRPr="00AB0155">
        <w:rPr>
          <w:b/>
        </w:rPr>
        <w:t>а</w:t>
      </w:r>
      <w:r w:rsidR="00B400C8" w:rsidRPr="00AB0155">
        <w:rPr>
          <w:b/>
        </w:rPr>
        <w:t>ции на систематической основе случаев ненавистнических высказываний расистского толка, применения соответствующего законодательства, мер наказания, назначаемых виновным, и средств правовой защиты, пред</w:t>
      </w:r>
      <w:r w:rsidR="00B400C8" w:rsidRPr="00AB0155">
        <w:rPr>
          <w:b/>
        </w:rPr>
        <w:t>о</w:t>
      </w:r>
      <w:r w:rsidR="00B400C8" w:rsidRPr="00AB0155">
        <w:rPr>
          <w:b/>
        </w:rPr>
        <w:t xml:space="preserve">ставляемых жертвам; </w:t>
      </w:r>
    </w:p>
    <w:p w:rsidR="00B400C8" w:rsidRPr="00AB0155" w:rsidRDefault="00AB0155" w:rsidP="00B400C8">
      <w:pPr>
        <w:pStyle w:val="SingleTxtGR"/>
        <w:rPr>
          <w:b/>
          <w:bCs/>
        </w:rPr>
      </w:pPr>
      <w:r>
        <w:rPr>
          <w:b/>
        </w:rPr>
        <w:tab/>
      </w:r>
      <w:r w:rsidR="00B400C8" w:rsidRPr="00AB0155">
        <w:rPr>
          <w:b/>
        </w:rPr>
        <w:t>d)</w:t>
      </w:r>
      <w:r w:rsidR="00B400C8" w:rsidRPr="00AB0155">
        <w:rPr>
          <w:b/>
        </w:rPr>
        <w:tab/>
        <w:t>безоговорочно осуждать на самом высоком политическом уровне распространение ненавистнических высказываний и ненавистн</w:t>
      </w:r>
      <w:r w:rsidR="00B400C8" w:rsidRPr="00AB0155">
        <w:rPr>
          <w:b/>
        </w:rPr>
        <w:t>и</w:t>
      </w:r>
      <w:r w:rsidR="00B400C8" w:rsidRPr="00AB0155">
        <w:rPr>
          <w:b/>
        </w:rPr>
        <w:t>ческих идей и участвовать в пропаганде культуры терпимости и ув</w:t>
      </w:r>
      <w:r w:rsidR="00B400C8" w:rsidRPr="00AB0155">
        <w:rPr>
          <w:b/>
        </w:rPr>
        <w:t>а</w:t>
      </w:r>
      <w:r w:rsidR="00B400C8" w:rsidRPr="00AB0155">
        <w:rPr>
          <w:b/>
        </w:rPr>
        <w:t xml:space="preserve">жения; </w:t>
      </w:r>
    </w:p>
    <w:p w:rsidR="00B400C8" w:rsidRPr="00AB0155" w:rsidRDefault="00AB0155" w:rsidP="00B400C8">
      <w:pPr>
        <w:pStyle w:val="SingleTxtGR"/>
        <w:rPr>
          <w:b/>
          <w:bCs/>
        </w:rPr>
      </w:pPr>
      <w:r>
        <w:rPr>
          <w:b/>
        </w:rPr>
        <w:tab/>
      </w:r>
      <w:r w:rsidR="00B400C8" w:rsidRPr="00AB0155">
        <w:rPr>
          <w:b/>
        </w:rPr>
        <w:t>e)</w:t>
      </w:r>
      <w:r w:rsidR="00B400C8" w:rsidRPr="00AB0155">
        <w:rPr>
          <w:b/>
        </w:rPr>
        <w:tab/>
        <w:t>обеспечить, чтобы запрет на ненавистнические высказывания расистского толка распространялся на Интернет, и ратифицировать Д</w:t>
      </w:r>
      <w:r w:rsidR="00B400C8" w:rsidRPr="00AB0155">
        <w:rPr>
          <w:b/>
        </w:rPr>
        <w:t>о</w:t>
      </w:r>
      <w:r w:rsidR="00B400C8" w:rsidRPr="00AB0155">
        <w:rPr>
          <w:b/>
        </w:rPr>
        <w:t>полнительный протокол к Конвенции о преступлениях в сфере компь</w:t>
      </w:r>
      <w:r w:rsidR="00B400C8" w:rsidRPr="00AB0155">
        <w:rPr>
          <w:b/>
        </w:rPr>
        <w:t>ю</w:t>
      </w:r>
      <w:r w:rsidR="00B400C8" w:rsidRPr="00AB0155">
        <w:rPr>
          <w:b/>
        </w:rPr>
        <w:t>терной информации, касающийся уголовной ответственности за акты р</w:t>
      </w:r>
      <w:r w:rsidR="00B400C8" w:rsidRPr="00AB0155">
        <w:rPr>
          <w:b/>
        </w:rPr>
        <w:t>а</w:t>
      </w:r>
      <w:r w:rsidR="00B400C8" w:rsidRPr="00AB0155">
        <w:rPr>
          <w:b/>
        </w:rPr>
        <w:t xml:space="preserve">систского и ксенофобского характера, совершаемые через компьютерные системы; </w:t>
      </w:r>
    </w:p>
    <w:p w:rsidR="00B400C8" w:rsidRPr="00AB0155" w:rsidRDefault="00AB0155" w:rsidP="00B400C8">
      <w:pPr>
        <w:pStyle w:val="SingleTxtGR"/>
        <w:rPr>
          <w:b/>
          <w:bCs/>
        </w:rPr>
      </w:pPr>
      <w:r>
        <w:rPr>
          <w:b/>
        </w:rPr>
        <w:tab/>
      </w:r>
      <w:r w:rsidR="00B400C8" w:rsidRPr="00AB0155">
        <w:rPr>
          <w:b/>
        </w:rPr>
        <w:t>f)</w:t>
      </w:r>
      <w:r w:rsidR="00B400C8" w:rsidRPr="00AB0155">
        <w:rPr>
          <w:b/>
        </w:rPr>
        <w:tab/>
        <w:t>поощрять государственные и частные средства массовой и</w:t>
      </w:r>
      <w:r w:rsidR="00B400C8" w:rsidRPr="00AB0155">
        <w:rPr>
          <w:b/>
        </w:rPr>
        <w:t>н</w:t>
      </w:r>
      <w:r w:rsidR="00B400C8" w:rsidRPr="00AB0155">
        <w:rPr>
          <w:b/>
        </w:rPr>
        <w:t>формации к принятию и соблюдению кодексов профессиональной этики и жу</w:t>
      </w:r>
      <w:r w:rsidR="00B400C8" w:rsidRPr="00AB0155">
        <w:rPr>
          <w:b/>
        </w:rPr>
        <w:t>р</w:t>
      </w:r>
      <w:r w:rsidR="00B400C8" w:rsidRPr="00AB0155">
        <w:rPr>
          <w:b/>
        </w:rPr>
        <w:t>налистики, предусматривающих соблюдение принципов, закрепленных в Конвенции, и других основополагающих норм в области прав человека, включая отказ от стереотипизации и упоминания без надобности расы, р</w:t>
      </w:r>
      <w:r w:rsidR="00B400C8" w:rsidRPr="00AB0155">
        <w:rPr>
          <w:b/>
        </w:rPr>
        <w:t>е</w:t>
      </w:r>
      <w:r w:rsidR="00B400C8" w:rsidRPr="00AB0155">
        <w:rPr>
          <w:b/>
        </w:rPr>
        <w:t xml:space="preserve">лигии и других групповых характеристик, которое может провоцировать проявление нетерпимости; </w:t>
      </w:r>
    </w:p>
    <w:p w:rsidR="00B400C8" w:rsidRPr="00AB0155" w:rsidRDefault="00AB0155" w:rsidP="00B400C8">
      <w:pPr>
        <w:pStyle w:val="SingleTxtGR"/>
        <w:rPr>
          <w:b/>
          <w:bCs/>
        </w:rPr>
      </w:pPr>
      <w:r>
        <w:rPr>
          <w:b/>
        </w:rPr>
        <w:tab/>
      </w:r>
      <w:r w:rsidR="00B400C8" w:rsidRPr="00AB0155">
        <w:rPr>
          <w:b/>
        </w:rPr>
        <w:t>g)</w:t>
      </w:r>
      <w:r w:rsidR="00B400C8" w:rsidRPr="00AB0155">
        <w:rPr>
          <w:b/>
        </w:rPr>
        <w:tab/>
        <w:t>обеспечить, чтобы, в соответствии с пунктом с) статьи 4 Ко</w:t>
      </w:r>
      <w:r w:rsidR="00B400C8" w:rsidRPr="00AB0155">
        <w:rPr>
          <w:b/>
        </w:rPr>
        <w:t>н</w:t>
      </w:r>
      <w:r w:rsidR="00B400C8" w:rsidRPr="00AB0155">
        <w:rPr>
          <w:b/>
        </w:rPr>
        <w:t>венции, национальным или местным органам государственной власти или государственным учреждениям не разрешалось поощрять расовую ди</w:t>
      </w:r>
      <w:r w:rsidR="00B400C8" w:rsidRPr="00AB0155">
        <w:rPr>
          <w:b/>
        </w:rPr>
        <w:t>с</w:t>
      </w:r>
      <w:r w:rsidR="00B400C8" w:rsidRPr="00AB0155">
        <w:rPr>
          <w:b/>
        </w:rPr>
        <w:t>кримин</w:t>
      </w:r>
      <w:r w:rsidR="00B400C8" w:rsidRPr="00AB0155">
        <w:rPr>
          <w:b/>
        </w:rPr>
        <w:t>а</w:t>
      </w:r>
      <w:r w:rsidR="00B400C8" w:rsidRPr="00AB0155">
        <w:rPr>
          <w:b/>
        </w:rPr>
        <w:t>цию или подстрекать к ней;</w:t>
      </w:r>
    </w:p>
    <w:p w:rsidR="00B400C8" w:rsidRPr="00B400C8" w:rsidRDefault="00AB0155" w:rsidP="00B400C8">
      <w:pPr>
        <w:pStyle w:val="SingleTxtGR"/>
        <w:rPr>
          <w:b/>
          <w:bCs/>
        </w:rPr>
      </w:pPr>
      <w:r>
        <w:rPr>
          <w:b/>
        </w:rPr>
        <w:tab/>
      </w:r>
      <w:r w:rsidR="00B400C8" w:rsidRPr="00AB0155">
        <w:rPr>
          <w:b/>
        </w:rPr>
        <w:t>h)</w:t>
      </w:r>
      <w:r w:rsidR="00B400C8" w:rsidRPr="00AB0155">
        <w:rPr>
          <w:b/>
        </w:rPr>
        <w:tab/>
        <w:t>использовать платформы государственных учреждений для п</w:t>
      </w:r>
      <w:r w:rsidR="00B400C8" w:rsidRPr="00AB0155">
        <w:rPr>
          <w:b/>
        </w:rPr>
        <w:t>о</w:t>
      </w:r>
      <w:r w:rsidR="00B400C8" w:rsidRPr="00AB0155">
        <w:rPr>
          <w:b/>
        </w:rPr>
        <w:t xml:space="preserve">ощрения, в соответствии с подпунктом е) пункта 1 статьи 2 Конвенции, </w:t>
      </w:r>
      <w:r w:rsidR="00B400C8" w:rsidRPr="00AB0155">
        <w:rPr>
          <w:b/>
        </w:rPr>
        <w:lastRenderedPageBreak/>
        <w:t xml:space="preserve">средств устранения барьеров между расами и противодействия политике, которая способствует углублению расового разделения. </w:t>
      </w:r>
    </w:p>
    <w:p w:rsidR="00B400C8" w:rsidRPr="00B400C8" w:rsidRDefault="00B400C8" w:rsidP="00AB0155">
      <w:pPr>
        <w:pStyle w:val="H23GR"/>
      </w:pPr>
      <w:r w:rsidRPr="00B400C8">
        <w:tab/>
      </w:r>
      <w:r w:rsidRPr="00B400C8">
        <w:tab/>
        <w:t>Преступл</w:t>
      </w:r>
      <w:r w:rsidR="00AB0155">
        <w:t>ения на почве расовой ненависти</w:t>
      </w:r>
    </w:p>
    <w:p w:rsidR="00B400C8" w:rsidRPr="00B400C8" w:rsidRDefault="00B400C8" w:rsidP="00B400C8">
      <w:pPr>
        <w:pStyle w:val="SingleTxtGR"/>
      </w:pPr>
      <w:r w:rsidRPr="00B400C8">
        <w:t>16.</w:t>
      </w:r>
      <w:r w:rsidRPr="00B400C8">
        <w:tab/>
        <w:t>Комитет отмечает меры, принятые государством-участником для борьбы с преступлениями на почве расовой ненависти, включая создание в 2010 году при Министерстве внутренних дел Наблюдательного центра по вопросам защ</w:t>
      </w:r>
      <w:r w:rsidRPr="00B400C8">
        <w:t>и</w:t>
      </w:r>
      <w:r w:rsidRPr="00B400C8">
        <w:t>ты от актов дискриминации, задача которого состоит в поощрении представл</w:t>
      </w:r>
      <w:r w:rsidRPr="00B400C8">
        <w:t>е</w:t>
      </w:r>
      <w:r w:rsidRPr="00B400C8">
        <w:t>ния информации о преступлениях на почве ненависти и обеспечении их рег</w:t>
      </w:r>
      <w:r w:rsidRPr="00B400C8">
        <w:t>и</w:t>
      </w:r>
      <w:r w:rsidRPr="00B400C8">
        <w:t>страции. Вместе с тем Комитет вновь выражает обеспокоенность по пово</w:t>
      </w:r>
      <w:r w:rsidR="00AB0155">
        <w:t>ду: а) </w:t>
      </w:r>
      <w:r w:rsidRPr="00B400C8">
        <w:t>недавних сообщений о насилии и преступлениях на расовой почве, а также отсутствия эффективных мер реагирования на такие акты, b) положения об отягчающих обстоятельствах в Законе № 205/1993 (Закон Манчино), которое, как представляется, ослабляет зако</w:t>
      </w:r>
      <w:r w:rsidR="00AB0155">
        <w:t>н, поскольку «</w:t>
      </w:r>
      <w:r w:rsidRPr="00B400C8">
        <w:t>расистский мотив</w:t>
      </w:r>
      <w:r w:rsidR="00AB0155">
        <w:t>»</w:t>
      </w:r>
      <w:r w:rsidRPr="00B400C8">
        <w:t xml:space="preserve"> признается в нем в качестве отягчающего обстоятельства лишь в том случае, когда он явл</w:t>
      </w:r>
      <w:r w:rsidRPr="00B400C8">
        <w:t>я</w:t>
      </w:r>
      <w:r w:rsidRPr="00B400C8">
        <w:t>ется единственным мотивом преступления, а не тогда, когда существует н</w:t>
      </w:r>
      <w:r w:rsidRPr="00B400C8">
        <w:t>е</w:t>
      </w:r>
      <w:r w:rsidRPr="00B400C8">
        <w:t>сколько мотивов, и c) отсутствия механизма для сбора на систематической и последов</w:t>
      </w:r>
      <w:r w:rsidRPr="00B400C8">
        <w:t>а</w:t>
      </w:r>
      <w:r w:rsidRPr="00B400C8">
        <w:t>тельной основе данных о преступлениях на почве расовой ненависти, в том числе информации о решениях, принятых для применения Закона Манч</w:t>
      </w:r>
      <w:r w:rsidRPr="00B400C8">
        <w:t>и</w:t>
      </w:r>
      <w:r w:rsidRPr="00B400C8">
        <w:t xml:space="preserve">но, мерах наказания, назначенных виновным, и средствах правовой защиты, предоставленных жертвам (статьи 2, 4 и 6). </w:t>
      </w:r>
    </w:p>
    <w:p w:rsidR="00B400C8" w:rsidRPr="00AB0155" w:rsidRDefault="00B400C8" w:rsidP="00B400C8">
      <w:pPr>
        <w:pStyle w:val="SingleTxtGR"/>
        <w:rPr>
          <w:b/>
          <w:bCs/>
        </w:rPr>
      </w:pPr>
      <w:r w:rsidRPr="00B400C8">
        <w:t>17.</w:t>
      </w:r>
      <w:r w:rsidRPr="00B400C8">
        <w:tab/>
      </w:r>
      <w:r w:rsidRPr="00AB0155">
        <w:rPr>
          <w:b/>
        </w:rPr>
        <w:t>Принимая во внимание свою общую рекомендацию № 31 (2005) о предупреждении расовой дискриминации в процессе отправления и фун</w:t>
      </w:r>
      <w:r w:rsidRPr="00AB0155">
        <w:rPr>
          <w:b/>
        </w:rPr>
        <w:t>к</w:t>
      </w:r>
      <w:r w:rsidRPr="00AB0155">
        <w:rPr>
          <w:b/>
        </w:rPr>
        <w:t>ционирования системы уголовного правосудия, Комитет рекомендует гос</w:t>
      </w:r>
      <w:r w:rsidRPr="00AB0155">
        <w:rPr>
          <w:b/>
        </w:rPr>
        <w:t>у</w:t>
      </w:r>
      <w:r w:rsidRPr="00AB0155">
        <w:rPr>
          <w:b/>
        </w:rPr>
        <w:t xml:space="preserve">дарству-участнику: </w:t>
      </w:r>
    </w:p>
    <w:p w:rsidR="00B400C8" w:rsidRPr="00AB0155" w:rsidRDefault="00AB0155" w:rsidP="00B400C8">
      <w:pPr>
        <w:pStyle w:val="SingleTxtGR"/>
        <w:rPr>
          <w:b/>
          <w:bCs/>
        </w:rPr>
      </w:pPr>
      <w:r>
        <w:rPr>
          <w:b/>
        </w:rPr>
        <w:tab/>
      </w:r>
      <w:r w:rsidR="00B400C8" w:rsidRPr="00AB0155">
        <w:rPr>
          <w:b/>
        </w:rPr>
        <w:t>a)</w:t>
      </w:r>
      <w:r w:rsidR="00B400C8" w:rsidRPr="00AB0155">
        <w:rPr>
          <w:b/>
        </w:rPr>
        <w:tab/>
        <w:t>расследовать все сообщения о преступлениях на почве расовой нен</w:t>
      </w:r>
      <w:r w:rsidR="00B400C8" w:rsidRPr="00AB0155">
        <w:rPr>
          <w:b/>
        </w:rPr>
        <w:t>а</w:t>
      </w:r>
      <w:r w:rsidR="00B400C8" w:rsidRPr="00AB0155">
        <w:rPr>
          <w:b/>
        </w:rPr>
        <w:t xml:space="preserve">висти, привлекать к ответственности виновных и назначать им меры наказания, соизмеримые с тяжестью совершенного преступления, а также предоставлять жертвам эффективные средства правовой защиты; </w:t>
      </w:r>
    </w:p>
    <w:p w:rsidR="00B400C8" w:rsidRPr="00AB0155" w:rsidRDefault="00AB0155" w:rsidP="00B400C8">
      <w:pPr>
        <w:pStyle w:val="SingleTxtGR"/>
        <w:rPr>
          <w:b/>
          <w:bCs/>
        </w:rPr>
      </w:pPr>
      <w:r>
        <w:rPr>
          <w:b/>
        </w:rPr>
        <w:tab/>
      </w:r>
      <w:r w:rsidR="00B400C8" w:rsidRPr="00AB0155">
        <w:rPr>
          <w:b/>
        </w:rPr>
        <w:t>b)</w:t>
      </w:r>
      <w:r w:rsidR="00B400C8" w:rsidRPr="00AB0155">
        <w:rPr>
          <w:b/>
        </w:rPr>
        <w:tab/>
        <w:t>собирать на систематической основе дезагрегированные да</w:t>
      </w:r>
      <w:r w:rsidR="00B400C8" w:rsidRPr="00AB0155">
        <w:rPr>
          <w:b/>
        </w:rPr>
        <w:t>н</w:t>
      </w:r>
      <w:r w:rsidR="00B400C8" w:rsidRPr="00AB0155">
        <w:rPr>
          <w:b/>
        </w:rPr>
        <w:t>ные об инцидентах и преступлениях на почве ненависти, в частности в том, что касается действий, предпринимаемых по линии отправления пр</w:t>
      </w:r>
      <w:r w:rsidR="00B400C8" w:rsidRPr="00AB0155">
        <w:rPr>
          <w:b/>
        </w:rPr>
        <w:t>а</w:t>
      </w:r>
      <w:r w:rsidR="00B400C8" w:rsidRPr="00AB0155">
        <w:rPr>
          <w:b/>
        </w:rPr>
        <w:t>восудия, включая судебные преследования и основания для отказа от пр</w:t>
      </w:r>
      <w:r w:rsidR="00B400C8" w:rsidRPr="00AB0155">
        <w:rPr>
          <w:b/>
        </w:rPr>
        <w:t>е</w:t>
      </w:r>
      <w:r w:rsidR="00B400C8" w:rsidRPr="00AB0155">
        <w:rPr>
          <w:b/>
        </w:rPr>
        <w:t>следования в тех случаях, к</w:t>
      </w:r>
      <w:r w:rsidR="00B400C8" w:rsidRPr="00AB0155">
        <w:rPr>
          <w:b/>
        </w:rPr>
        <w:t>о</w:t>
      </w:r>
      <w:r w:rsidR="00B400C8" w:rsidRPr="00AB0155">
        <w:rPr>
          <w:b/>
        </w:rPr>
        <w:t xml:space="preserve">гда было выявлено ответственное лицо; </w:t>
      </w:r>
    </w:p>
    <w:p w:rsidR="00B400C8" w:rsidRPr="00AB0155" w:rsidRDefault="00AB0155" w:rsidP="00B400C8">
      <w:pPr>
        <w:pStyle w:val="SingleTxtGR"/>
        <w:rPr>
          <w:b/>
          <w:bCs/>
        </w:rPr>
      </w:pPr>
      <w:r>
        <w:rPr>
          <w:b/>
        </w:rPr>
        <w:tab/>
      </w:r>
      <w:r w:rsidR="00B400C8" w:rsidRPr="00AB0155">
        <w:rPr>
          <w:b/>
        </w:rPr>
        <w:t>c)</w:t>
      </w:r>
      <w:r w:rsidR="00B400C8" w:rsidRPr="00AB0155">
        <w:rPr>
          <w:b/>
        </w:rPr>
        <w:tab/>
        <w:t>принять, в консультации с затрагиваемыми группами, ко</w:t>
      </w:r>
      <w:r w:rsidR="00B400C8" w:rsidRPr="00AB0155">
        <w:rPr>
          <w:b/>
        </w:rPr>
        <w:t>н</w:t>
      </w:r>
      <w:r w:rsidR="00B400C8" w:rsidRPr="00AB0155">
        <w:rPr>
          <w:b/>
        </w:rPr>
        <w:t>кретные меры в целях улучшения положения дел с сообщением о престу</w:t>
      </w:r>
      <w:r w:rsidR="00B400C8" w:rsidRPr="00AB0155">
        <w:rPr>
          <w:b/>
        </w:rPr>
        <w:t>п</w:t>
      </w:r>
      <w:r w:rsidR="00B400C8" w:rsidRPr="00AB0155">
        <w:rPr>
          <w:b/>
        </w:rPr>
        <w:t>лениях на почве расовой ненависти путем обеспечения транспарентности и доступн</w:t>
      </w:r>
      <w:r w:rsidR="00B400C8" w:rsidRPr="00AB0155">
        <w:rPr>
          <w:b/>
        </w:rPr>
        <w:t>о</w:t>
      </w:r>
      <w:r w:rsidR="00B400C8" w:rsidRPr="00AB0155">
        <w:rPr>
          <w:b/>
        </w:rPr>
        <w:t>сти механизма подачи соответствующих заявлений и укрепления доверия жертв к полиции и системе правосудия;</w:t>
      </w:r>
    </w:p>
    <w:p w:rsidR="00B400C8" w:rsidRPr="00B400C8" w:rsidRDefault="00AB0155" w:rsidP="00B400C8">
      <w:pPr>
        <w:pStyle w:val="SingleTxtGR"/>
      </w:pPr>
      <w:r>
        <w:rPr>
          <w:b/>
        </w:rPr>
        <w:tab/>
      </w:r>
      <w:r w:rsidR="00B400C8" w:rsidRPr="00AB0155">
        <w:rPr>
          <w:b/>
        </w:rPr>
        <w:t>d)</w:t>
      </w:r>
      <w:r w:rsidR="00B400C8" w:rsidRPr="00AB0155">
        <w:rPr>
          <w:b/>
        </w:rPr>
        <w:tab/>
        <w:t>укрепить закон об отягчающих обстоятельствах, с тем чтобы его можно было применять к общеуголовным преступлениям, когда рас</w:t>
      </w:r>
      <w:r w:rsidR="00B400C8" w:rsidRPr="00AB0155">
        <w:rPr>
          <w:b/>
        </w:rPr>
        <w:t>о</w:t>
      </w:r>
      <w:r w:rsidR="00B400C8" w:rsidRPr="00AB0155">
        <w:rPr>
          <w:b/>
        </w:rPr>
        <w:t>вая ненависть я</w:t>
      </w:r>
      <w:r w:rsidR="00B400C8" w:rsidRPr="00AB0155">
        <w:rPr>
          <w:b/>
        </w:rPr>
        <w:t>в</w:t>
      </w:r>
      <w:r w:rsidR="00B400C8" w:rsidRPr="00AB0155">
        <w:rPr>
          <w:b/>
        </w:rPr>
        <w:t>ляется одним из нескольких и/или смешанных мотивов.</w:t>
      </w:r>
      <w:r w:rsidR="00B400C8" w:rsidRPr="00B400C8">
        <w:t xml:space="preserve"> </w:t>
      </w:r>
    </w:p>
    <w:p w:rsidR="00B400C8" w:rsidRPr="00B400C8" w:rsidRDefault="00B400C8" w:rsidP="00AB0155">
      <w:pPr>
        <w:pStyle w:val="H23GR"/>
      </w:pPr>
      <w:r w:rsidRPr="00B400C8">
        <w:tab/>
      </w:r>
      <w:r w:rsidRPr="00B400C8">
        <w:tab/>
        <w:t>Смешанные миграционные потоки: мигранты, просители убе</w:t>
      </w:r>
      <w:r w:rsidR="00AB0155">
        <w:t>жища и </w:t>
      </w:r>
      <w:r w:rsidRPr="00B400C8">
        <w:t xml:space="preserve">беженцы </w:t>
      </w:r>
    </w:p>
    <w:p w:rsidR="00B400C8" w:rsidRPr="00B400C8" w:rsidRDefault="00B400C8" w:rsidP="00B400C8">
      <w:pPr>
        <w:pStyle w:val="SingleTxtGR"/>
      </w:pPr>
      <w:r w:rsidRPr="00B400C8">
        <w:t>18.</w:t>
      </w:r>
      <w:r w:rsidRPr="00B400C8">
        <w:tab/>
        <w:t>Комитету известно об усилиях государства-участника по осуществлению конкретных прав лиц, которые, спасаясь от вооруженных конфликтов и пресл</w:t>
      </w:r>
      <w:r w:rsidRPr="00B400C8">
        <w:t>е</w:t>
      </w:r>
      <w:r w:rsidRPr="00B400C8">
        <w:t>дований, прибывают на его территорию, а также об усилиях по обеспечению соблюдения прав мигрантов, прибывающих в страну вместе с беженцами и просителями убежища. Эти усилия следует наращивать посредством укрепл</w:t>
      </w:r>
      <w:r w:rsidRPr="00B400C8">
        <w:t>е</w:t>
      </w:r>
      <w:r w:rsidRPr="00B400C8">
        <w:t>ния международного сотру</w:t>
      </w:r>
      <w:r w:rsidR="005A3671">
        <w:t>дничества, в частности</w:t>
      </w:r>
      <w:r w:rsidRPr="00B400C8">
        <w:t xml:space="preserve"> с Европейским союзом и странами происхождения, транзита и приема.</w:t>
      </w:r>
    </w:p>
    <w:p w:rsidR="00B400C8" w:rsidRPr="00B400C8" w:rsidRDefault="00B400C8" w:rsidP="00B400C8">
      <w:pPr>
        <w:pStyle w:val="SingleTxtGR"/>
      </w:pPr>
      <w:r w:rsidRPr="00B400C8">
        <w:t>19.</w:t>
      </w:r>
      <w:r w:rsidRPr="00B400C8">
        <w:tab/>
        <w:t xml:space="preserve">Комитет приветствует принятие в апреле 2014 года Закона № </w:t>
      </w:r>
      <w:r w:rsidR="00AB0155">
        <w:t xml:space="preserve">67/2014 об </w:t>
      </w:r>
      <w:r w:rsidRPr="00B400C8">
        <w:t>отмене уголовной о</w:t>
      </w:r>
      <w:r w:rsidRPr="00B400C8">
        <w:t>т</w:t>
      </w:r>
      <w:r w:rsidRPr="00B400C8">
        <w:t>ветственности за въезд на территорию государства-участника и пребывание на ней в нарушение уст</w:t>
      </w:r>
      <w:r w:rsidRPr="00B400C8">
        <w:t>а</w:t>
      </w:r>
      <w:r w:rsidR="005A3671">
        <w:t>новленных правил</w:t>
      </w:r>
      <w:r w:rsidRPr="00B400C8">
        <w:t>, но по-</w:t>
      </w:r>
      <w:r w:rsidRPr="00B400C8">
        <w:lastRenderedPageBreak/>
        <w:t>прежнему обеспокоен тем, что мигранты с неурегулированным статусом, п</w:t>
      </w:r>
      <w:r w:rsidRPr="00B400C8">
        <w:t>о</w:t>
      </w:r>
      <w:r w:rsidRPr="00B400C8">
        <w:t>вторно въезжающие в страну после высылки, будут и впредь подвергаться уг</w:t>
      </w:r>
      <w:r w:rsidRPr="00B400C8">
        <w:t>о</w:t>
      </w:r>
      <w:r w:rsidRPr="00B400C8">
        <w:t>ловным наказаниям. Комитет также выражает обеспокоенность по поводу пр</w:t>
      </w:r>
      <w:r w:rsidRPr="00B400C8">
        <w:t>и</w:t>
      </w:r>
      <w:r w:rsidRPr="00B400C8">
        <w:t>меняемого государством-участником, в соотв</w:t>
      </w:r>
      <w:r w:rsidR="00AB0155">
        <w:t>етствии с вынесенной в мае 2015 </w:t>
      </w:r>
      <w:r w:rsidRPr="00B400C8">
        <w:t>года рекомендацией Европейской комиссии, подхода, который предусма</w:t>
      </w:r>
      <w:r w:rsidRPr="00B400C8">
        <w:t>т</w:t>
      </w:r>
      <w:r w:rsidRPr="00B400C8">
        <w:t xml:space="preserve">ривает создание так называемых </w:t>
      </w:r>
      <w:r w:rsidR="00AB0155">
        <w:t>«</w:t>
      </w:r>
      <w:r w:rsidRPr="00B400C8">
        <w:t>хотспотов</w:t>
      </w:r>
      <w:r w:rsidR="00AB0155">
        <w:t>»</w:t>
      </w:r>
      <w:r w:rsidRPr="00B400C8">
        <w:t xml:space="preserve"> </w:t>
      </w:r>
      <w:r w:rsidR="00AB0155">
        <w:t>–</w:t>
      </w:r>
      <w:r w:rsidRPr="00B400C8">
        <w:t xml:space="preserve"> специальных центров перви</w:t>
      </w:r>
      <w:r w:rsidRPr="00B400C8">
        <w:t>ч</w:t>
      </w:r>
      <w:r w:rsidRPr="00B400C8">
        <w:t>ной регистрации мигрантов, где может быстро устанавливаться личность м</w:t>
      </w:r>
      <w:r w:rsidRPr="00B400C8">
        <w:t>и</w:t>
      </w:r>
      <w:r w:rsidRPr="00B400C8">
        <w:t>грантов и просителей убежища, прибывающих в страну в нарушение устано</w:t>
      </w:r>
      <w:r w:rsidRPr="00B400C8">
        <w:t>в</w:t>
      </w:r>
      <w:r w:rsidRPr="00B400C8">
        <w:t>ленных правил, и приниматься решение об их переводе в другие пункты для целей обработки заявлений о предоставлении убежища, отправке в другие гос</w:t>
      </w:r>
      <w:r w:rsidRPr="00B400C8">
        <w:t>у</w:t>
      </w:r>
      <w:r w:rsidRPr="00B400C8">
        <w:t xml:space="preserve">дарства </w:t>
      </w:r>
      <w:r w:rsidR="00AB0155">
        <w:t>–</w:t>
      </w:r>
      <w:r w:rsidRPr="00B400C8">
        <w:t xml:space="preserve"> члены Европейского союза или возвращении в их страны происхо</w:t>
      </w:r>
      <w:r w:rsidRPr="00B400C8">
        <w:t>ж</w:t>
      </w:r>
      <w:r w:rsidRPr="00B400C8">
        <w:t>дения. В связи с этим подходом обеспокоенность у Комитета вызывают след</w:t>
      </w:r>
      <w:r w:rsidRPr="00B400C8">
        <w:t>у</w:t>
      </w:r>
      <w:r w:rsidRPr="00B400C8">
        <w:t>ющие а</w:t>
      </w:r>
      <w:r w:rsidRPr="00B400C8">
        <w:t>с</w:t>
      </w:r>
      <w:r w:rsidRPr="00B400C8">
        <w:t xml:space="preserve">пекты: </w:t>
      </w:r>
    </w:p>
    <w:p w:rsidR="00B400C8" w:rsidRPr="00B400C8" w:rsidRDefault="00AB0155" w:rsidP="00B400C8">
      <w:pPr>
        <w:pStyle w:val="SingleTxtGR"/>
      </w:pPr>
      <w:r>
        <w:tab/>
      </w:r>
      <w:r w:rsidR="00B400C8" w:rsidRPr="00B400C8">
        <w:t>a)</w:t>
      </w:r>
      <w:r w:rsidR="00B400C8" w:rsidRPr="00B400C8">
        <w:tab/>
        <w:t xml:space="preserve">отсутствие правовой основы для создания </w:t>
      </w:r>
      <w:r>
        <w:t>«</w:t>
      </w:r>
      <w:r w:rsidR="00B400C8" w:rsidRPr="00B400C8">
        <w:t>хотспотов</w:t>
      </w:r>
      <w:r>
        <w:t>»</w:t>
      </w:r>
      <w:r w:rsidR="00B400C8" w:rsidRPr="00B400C8">
        <w:t xml:space="preserve"> и фактич</w:t>
      </w:r>
      <w:r w:rsidR="00B400C8" w:rsidRPr="00B400C8">
        <w:t>е</w:t>
      </w:r>
      <w:r w:rsidR="00B400C8" w:rsidRPr="00B400C8">
        <w:t>ское содержание мигрантов и просителей убежища под стражей сверх разр</w:t>
      </w:r>
      <w:r w:rsidR="00B400C8" w:rsidRPr="00B400C8">
        <w:t>е</w:t>
      </w:r>
      <w:r w:rsidR="00B400C8" w:rsidRPr="00B400C8">
        <w:t xml:space="preserve">шенного законом срока в 48 часов; </w:t>
      </w:r>
    </w:p>
    <w:p w:rsidR="00B400C8" w:rsidRPr="00B400C8" w:rsidRDefault="00AB0155" w:rsidP="00B400C8">
      <w:pPr>
        <w:pStyle w:val="SingleTxtGR"/>
      </w:pPr>
      <w:r>
        <w:tab/>
      </w:r>
      <w:r w:rsidR="00B400C8" w:rsidRPr="00B400C8">
        <w:t>b)</w:t>
      </w:r>
      <w:r w:rsidR="00B400C8" w:rsidRPr="00B400C8">
        <w:tab/>
        <w:t xml:space="preserve">недостаточное количество центров приема и неудовлетворительные условия содержания в них; </w:t>
      </w:r>
    </w:p>
    <w:p w:rsidR="00B400C8" w:rsidRPr="00B400C8" w:rsidRDefault="00AB0155" w:rsidP="00B400C8">
      <w:pPr>
        <w:pStyle w:val="SingleTxtGR"/>
      </w:pPr>
      <w:r>
        <w:tab/>
      </w:r>
      <w:r w:rsidR="00B400C8" w:rsidRPr="00B400C8">
        <w:t>c)</w:t>
      </w:r>
      <w:r w:rsidR="00B400C8" w:rsidRPr="00B400C8">
        <w:tab/>
        <w:t>ненадлежащая защита несопровождаемых и разлученных с родит</w:t>
      </w:r>
      <w:r w:rsidR="00B400C8" w:rsidRPr="00B400C8">
        <w:t>е</w:t>
      </w:r>
      <w:r w:rsidR="00B400C8" w:rsidRPr="00B400C8">
        <w:t xml:space="preserve">лями несовершеннолетних, система попечительства над которыми не является достаточно персонализированной и предусматривает возложение слишком большой ответственности на некоторые муниципалитеты; </w:t>
      </w:r>
    </w:p>
    <w:p w:rsidR="00B400C8" w:rsidRPr="00B400C8" w:rsidRDefault="00AB0155" w:rsidP="00B400C8">
      <w:pPr>
        <w:pStyle w:val="SingleTxtGR"/>
      </w:pPr>
      <w:r>
        <w:tab/>
      </w:r>
      <w:r w:rsidR="00B400C8" w:rsidRPr="00B400C8">
        <w:t>d)</w:t>
      </w:r>
      <w:r w:rsidR="00B400C8" w:rsidRPr="00B400C8">
        <w:tab/>
        <w:t xml:space="preserve">применение насилия с целью принуждения к снятию отпечатков пальцев; </w:t>
      </w:r>
    </w:p>
    <w:p w:rsidR="00B400C8" w:rsidRPr="00B400C8" w:rsidRDefault="00AB0155" w:rsidP="00B400C8">
      <w:pPr>
        <w:pStyle w:val="SingleTxtGR"/>
      </w:pPr>
      <w:r>
        <w:tab/>
      </w:r>
      <w:r w:rsidR="00B400C8" w:rsidRPr="00B400C8">
        <w:t>e)</w:t>
      </w:r>
      <w:r w:rsidR="00B400C8" w:rsidRPr="00B400C8">
        <w:tab/>
        <w:t>отсутствие четких руководящих принципов, процедур и распред</w:t>
      </w:r>
      <w:r w:rsidR="00B400C8" w:rsidRPr="00B400C8">
        <w:t>е</w:t>
      </w:r>
      <w:r w:rsidR="00B400C8" w:rsidRPr="00B400C8">
        <w:t>ления обязанностей в том, что касается выявления лиц, которые находятся в уязвимом положении и нуждаются в особом внимании и мерах защиты, вкл</w:t>
      </w:r>
      <w:r w:rsidR="00B400C8" w:rsidRPr="00B400C8">
        <w:t>ю</w:t>
      </w:r>
      <w:r w:rsidR="00B400C8" w:rsidRPr="00B400C8">
        <w:t>чая жертв пыток, торговли людьми, сексуального и гендерного насилия, и ок</w:t>
      </w:r>
      <w:r w:rsidR="00B400C8" w:rsidRPr="00B400C8">
        <w:t>а</w:t>
      </w:r>
      <w:r w:rsidR="00B400C8" w:rsidRPr="00B400C8">
        <w:t xml:space="preserve">зания им помощи; </w:t>
      </w:r>
    </w:p>
    <w:p w:rsidR="00B400C8" w:rsidRPr="00B400C8" w:rsidRDefault="00AB0155" w:rsidP="00B400C8">
      <w:pPr>
        <w:pStyle w:val="SingleTxtGR"/>
      </w:pPr>
      <w:r>
        <w:tab/>
      </w:r>
      <w:r w:rsidR="00B400C8" w:rsidRPr="00B400C8">
        <w:t>f)</w:t>
      </w:r>
      <w:r w:rsidR="00B400C8" w:rsidRPr="00B400C8">
        <w:tab/>
        <w:t>отсутствие эффективных превентивных гарантий против принуд</w:t>
      </w:r>
      <w:r w:rsidR="00B400C8" w:rsidRPr="00B400C8">
        <w:t>и</w:t>
      </w:r>
      <w:r w:rsidR="00B400C8" w:rsidRPr="00B400C8">
        <w:t>тельного возвращения, включая диспропорционально сильный акцент на гра</w:t>
      </w:r>
      <w:r w:rsidR="00B400C8" w:rsidRPr="00B400C8">
        <w:t>ж</w:t>
      </w:r>
      <w:r w:rsidR="00B400C8" w:rsidRPr="00B400C8">
        <w:t>данство, который делается в рамках предусматривающего создание центров первичной регистрации мигрантов подхода и который повышает вероятность нарушения запрета на коллективную высылку и принципа недопустимости принудительного возвращения (ст</w:t>
      </w:r>
      <w:r w:rsidR="00B400C8" w:rsidRPr="00B400C8">
        <w:t>а</w:t>
      </w:r>
      <w:r w:rsidR="00B400C8" w:rsidRPr="00B400C8">
        <w:t xml:space="preserve">тьи 1, 2, 5 и 6). </w:t>
      </w:r>
    </w:p>
    <w:p w:rsidR="00B400C8" w:rsidRPr="00AB0155" w:rsidRDefault="00B400C8" w:rsidP="00B400C8">
      <w:pPr>
        <w:pStyle w:val="SingleTxtGR"/>
        <w:rPr>
          <w:b/>
          <w:bCs/>
        </w:rPr>
      </w:pPr>
      <w:r w:rsidRPr="00B400C8">
        <w:t>20.</w:t>
      </w:r>
      <w:r w:rsidRPr="00B400C8">
        <w:tab/>
      </w:r>
      <w:r w:rsidRPr="00AB0155">
        <w:rPr>
          <w:b/>
        </w:rPr>
        <w:t xml:space="preserve">Комитет рекомендует государству-участнику: </w:t>
      </w:r>
    </w:p>
    <w:p w:rsidR="00B400C8" w:rsidRPr="00AB0155" w:rsidRDefault="00AB0155" w:rsidP="00B400C8">
      <w:pPr>
        <w:pStyle w:val="SingleTxtGR"/>
        <w:rPr>
          <w:b/>
          <w:bCs/>
        </w:rPr>
      </w:pPr>
      <w:r>
        <w:rPr>
          <w:b/>
        </w:rPr>
        <w:tab/>
      </w:r>
      <w:r w:rsidR="00B400C8" w:rsidRPr="00AB0155">
        <w:rPr>
          <w:b/>
        </w:rPr>
        <w:t>a)</w:t>
      </w:r>
      <w:r w:rsidR="00B400C8" w:rsidRPr="00AB0155">
        <w:rPr>
          <w:b/>
        </w:rPr>
        <w:tab/>
        <w:t>рассмотреть возможность введения в законодательном порядке презумпции недопустимости заключения иммигрантов под стражу и обе</w:t>
      </w:r>
      <w:r w:rsidR="00B400C8" w:rsidRPr="00AB0155">
        <w:rPr>
          <w:b/>
        </w:rPr>
        <w:t>с</w:t>
      </w:r>
      <w:r w:rsidR="00B400C8" w:rsidRPr="00AB0155">
        <w:rPr>
          <w:b/>
        </w:rPr>
        <w:t>печить, чтобы заключение иммигрантов под стражу применялось лишь в качестве крайней меры, после того как в каждом конкретном случае будет установлено, что такая мера является абсолютно необходимой, соразме</w:t>
      </w:r>
      <w:r w:rsidR="00B400C8" w:rsidRPr="00AB0155">
        <w:rPr>
          <w:b/>
        </w:rPr>
        <w:t>р</w:t>
      </w:r>
      <w:r w:rsidR="00B400C8" w:rsidRPr="00AB0155">
        <w:rPr>
          <w:b/>
        </w:rPr>
        <w:t xml:space="preserve">ной, законной и непроизвольной, и в течение как можно более короткого периода времени; </w:t>
      </w:r>
    </w:p>
    <w:p w:rsidR="00B400C8" w:rsidRPr="00AB0155" w:rsidRDefault="00AB0155" w:rsidP="00B400C8">
      <w:pPr>
        <w:pStyle w:val="SingleTxtGR"/>
        <w:rPr>
          <w:b/>
          <w:bCs/>
        </w:rPr>
      </w:pPr>
      <w:r>
        <w:rPr>
          <w:b/>
        </w:rPr>
        <w:tab/>
      </w:r>
      <w:r w:rsidR="00B400C8" w:rsidRPr="00AB0155">
        <w:rPr>
          <w:b/>
        </w:rPr>
        <w:t>b)</w:t>
      </w:r>
      <w:r w:rsidR="00B400C8" w:rsidRPr="00AB0155">
        <w:rPr>
          <w:b/>
        </w:rPr>
        <w:tab/>
        <w:t>декриминализовать все случаи повторного въезда в страну или пр</w:t>
      </w:r>
      <w:r w:rsidR="00B400C8" w:rsidRPr="00AB0155">
        <w:rPr>
          <w:b/>
        </w:rPr>
        <w:t>е</w:t>
      </w:r>
      <w:r w:rsidR="00B400C8" w:rsidRPr="00AB0155">
        <w:rPr>
          <w:b/>
        </w:rPr>
        <w:t xml:space="preserve">бывания на ее территории в нарушение установленных правил; </w:t>
      </w:r>
    </w:p>
    <w:p w:rsidR="00B400C8" w:rsidRPr="00AB0155" w:rsidRDefault="00AB0155" w:rsidP="00B400C8">
      <w:pPr>
        <w:pStyle w:val="SingleTxtGR"/>
        <w:rPr>
          <w:b/>
          <w:bCs/>
        </w:rPr>
      </w:pPr>
      <w:r>
        <w:rPr>
          <w:b/>
        </w:rPr>
        <w:tab/>
      </w:r>
      <w:r w:rsidR="00B400C8" w:rsidRPr="00AB0155">
        <w:rPr>
          <w:b/>
        </w:rPr>
        <w:t>с)</w:t>
      </w:r>
      <w:r w:rsidR="00B400C8" w:rsidRPr="00AB0155">
        <w:rPr>
          <w:b/>
        </w:rPr>
        <w:tab/>
        <w:t>обеспечить, чтобы создание и функционирование всех учр</w:t>
      </w:r>
      <w:r w:rsidR="00B400C8" w:rsidRPr="00AB0155">
        <w:rPr>
          <w:b/>
        </w:rPr>
        <w:t>е</w:t>
      </w:r>
      <w:r w:rsidR="00B400C8" w:rsidRPr="00AB0155">
        <w:rPr>
          <w:b/>
        </w:rPr>
        <w:t>ждений, где содержатся под стражей мигранты и просители убежища, им</w:t>
      </w:r>
      <w:r w:rsidR="00B400C8" w:rsidRPr="00AB0155">
        <w:rPr>
          <w:b/>
        </w:rPr>
        <w:t>е</w:t>
      </w:r>
      <w:r w:rsidR="00B400C8" w:rsidRPr="00AB0155">
        <w:rPr>
          <w:b/>
        </w:rPr>
        <w:t>ли под собой правовую основу и чтобы их содержание под стражей не пр</w:t>
      </w:r>
      <w:r w:rsidR="00B400C8" w:rsidRPr="00AB0155">
        <w:rPr>
          <w:b/>
        </w:rPr>
        <w:t>е</w:t>
      </w:r>
      <w:r w:rsidR="00B400C8" w:rsidRPr="00AB0155">
        <w:rPr>
          <w:b/>
        </w:rPr>
        <w:t xml:space="preserve">вышало разрешенный законом срок в 48 часов; </w:t>
      </w:r>
    </w:p>
    <w:p w:rsidR="00B400C8" w:rsidRPr="00AB0155" w:rsidRDefault="00AB0155" w:rsidP="00B400C8">
      <w:pPr>
        <w:pStyle w:val="SingleTxtGR"/>
        <w:rPr>
          <w:b/>
          <w:bCs/>
        </w:rPr>
      </w:pPr>
      <w:r>
        <w:rPr>
          <w:b/>
        </w:rPr>
        <w:tab/>
      </w:r>
      <w:r w:rsidR="00B400C8" w:rsidRPr="00AB0155">
        <w:rPr>
          <w:b/>
        </w:rPr>
        <w:t>d)</w:t>
      </w:r>
      <w:r w:rsidR="00B400C8" w:rsidRPr="00AB0155">
        <w:rPr>
          <w:b/>
        </w:rPr>
        <w:tab/>
        <w:t>обеспечить, чтобы число цен</w:t>
      </w:r>
      <w:r w:rsidR="005A3671">
        <w:rPr>
          <w:b/>
        </w:rPr>
        <w:t>тров приема было достаточным, а </w:t>
      </w:r>
      <w:r w:rsidR="00B400C8" w:rsidRPr="00AB0155">
        <w:rPr>
          <w:b/>
        </w:rPr>
        <w:t xml:space="preserve">условия содержания в них </w:t>
      </w:r>
      <w:r w:rsidR="00281CB6">
        <w:rPr>
          <w:b/>
        </w:rPr>
        <w:t>–</w:t>
      </w:r>
      <w:r w:rsidR="00B400C8" w:rsidRPr="00AB0155">
        <w:rPr>
          <w:b/>
        </w:rPr>
        <w:t xml:space="preserve"> надлежащими, и чтобы в рамках управления центрами первичной регистрации мигрантов и укомплектования штата их сотрудников учитывались проблемы в области прав человека и потребн</w:t>
      </w:r>
      <w:r w:rsidR="00B400C8" w:rsidRPr="00AB0155">
        <w:rPr>
          <w:b/>
        </w:rPr>
        <w:t>о</w:t>
      </w:r>
      <w:r w:rsidR="00B400C8" w:rsidRPr="00AB0155">
        <w:rPr>
          <w:b/>
        </w:rPr>
        <w:t>сти мигрантов и прос</w:t>
      </w:r>
      <w:r w:rsidR="00B400C8" w:rsidRPr="00AB0155">
        <w:rPr>
          <w:b/>
        </w:rPr>
        <w:t>и</w:t>
      </w:r>
      <w:r w:rsidR="00B400C8" w:rsidRPr="00AB0155">
        <w:rPr>
          <w:b/>
        </w:rPr>
        <w:t xml:space="preserve">телей убежища; </w:t>
      </w:r>
    </w:p>
    <w:p w:rsidR="00B400C8" w:rsidRPr="00AB0155" w:rsidRDefault="00AB0155" w:rsidP="00B400C8">
      <w:pPr>
        <w:pStyle w:val="SingleTxtGR"/>
        <w:rPr>
          <w:b/>
          <w:bCs/>
        </w:rPr>
      </w:pPr>
      <w:r>
        <w:rPr>
          <w:b/>
        </w:rPr>
        <w:lastRenderedPageBreak/>
        <w:tab/>
      </w:r>
      <w:r w:rsidR="00B400C8" w:rsidRPr="00AB0155">
        <w:rPr>
          <w:b/>
        </w:rPr>
        <w:t>e)</w:t>
      </w:r>
      <w:r w:rsidR="00B400C8" w:rsidRPr="00AB0155">
        <w:rPr>
          <w:b/>
        </w:rPr>
        <w:tab/>
        <w:t>применять учитывающие гендерные, культурные и возрастные аспекты процедуры индивидуальной проверки и оценки для обеспечения быстрого и надлежащего выявления лиц, нуждающихся в международной защите или нах</w:t>
      </w:r>
      <w:r w:rsidR="00B400C8" w:rsidRPr="00AB0155">
        <w:rPr>
          <w:b/>
        </w:rPr>
        <w:t>о</w:t>
      </w:r>
      <w:r w:rsidR="00B400C8" w:rsidRPr="00AB0155">
        <w:rPr>
          <w:b/>
        </w:rPr>
        <w:t xml:space="preserve">дящихся в уязвимом положении; </w:t>
      </w:r>
    </w:p>
    <w:p w:rsidR="00B400C8" w:rsidRPr="00AB0155" w:rsidRDefault="00AB0155" w:rsidP="00B400C8">
      <w:pPr>
        <w:pStyle w:val="SingleTxtGR"/>
        <w:rPr>
          <w:b/>
          <w:bCs/>
        </w:rPr>
      </w:pPr>
      <w:r>
        <w:rPr>
          <w:b/>
        </w:rPr>
        <w:tab/>
      </w:r>
      <w:r w:rsidR="00B400C8" w:rsidRPr="00AB0155">
        <w:rPr>
          <w:b/>
        </w:rPr>
        <w:t>f)</w:t>
      </w:r>
      <w:r w:rsidR="00B400C8" w:rsidRPr="00AB0155">
        <w:rPr>
          <w:b/>
        </w:rPr>
        <w:tab/>
        <w:t>гарантировать физическую неприкосновенность мигрантов и просителей убежища, обеспечивать, чтобы они получали помощь от адв</w:t>
      </w:r>
      <w:r w:rsidR="00B400C8" w:rsidRPr="00AB0155">
        <w:rPr>
          <w:b/>
        </w:rPr>
        <w:t>о</w:t>
      </w:r>
      <w:r w:rsidR="00B400C8" w:rsidRPr="00AB0155">
        <w:rPr>
          <w:b/>
        </w:rPr>
        <w:t>катов и независимых наблюдателей и чтобы сотрудники правоохранител</w:t>
      </w:r>
      <w:r w:rsidR="00B400C8" w:rsidRPr="00AB0155">
        <w:rPr>
          <w:b/>
        </w:rPr>
        <w:t>ь</w:t>
      </w:r>
      <w:r w:rsidR="00B400C8" w:rsidRPr="00AB0155">
        <w:rPr>
          <w:b/>
        </w:rPr>
        <w:t>ных органов руководствовались принципом минимального применения силы при снятии с них отп</w:t>
      </w:r>
      <w:r w:rsidR="00B400C8" w:rsidRPr="00AB0155">
        <w:rPr>
          <w:b/>
        </w:rPr>
        <w:t>е</w:t>
      </w:r>
      <w:r w:rsidR="00B400C8" w:rsidRPr="00AB0155">
        <w:rPr>
          <w:b/>
        </w:rPr>
        <w:t>чатков пальцев;</w:t>
      </w:r>
    </w:p>
    <w:p w:rsidR="00B400C8" w:rsidRPr="00AB0155" w:rsidRDefault="00AB0155" w:rsidP="00B400C8">
      <w:pPr>
        <w:pStyle w:val="SingleTxtGR"/>
        <w:rPr>
          <w:b/>
          <w:bCs/>
        </w:rPr>
      </w:pPr>
      <w:r>
        <w:rPr>
          <w:b/>
        </w:rPr>
        <w:tab/>
      </w:r>
      <w:r w:rsidR="00B400C8" w:rsidRPr="00AB0155">
        <w:rPr>
          <w:b/>
        </w:rPr>
        <w:t>g)</w:t>
      </w:r>
      <w:r w:rsidR="00B400C8" w:rsidRPr="00AB0155">
        <w:rPr>
          <w:b/>
        </w:rPr>
        <w:tab/>
        <w:t xml:space="preserve"> строго соблюдать принцип недопустимости принудительного возвращения и изменить процедуры высылки в целях обеспечения того, чтобы никакое лицо не могло быть выслано без проведения индивидуал</w:t>
      </w:r>
      <w:r w:rsidR="00B400C8" w:rsidRPr="00AB0155">
        <w:rPr>
          <w:b/>
        </w:rPr>
        <w:t>ь</w:t>
      </w:r>
      <w:r w:rsidR="00B400C8" w:rsidRPr="00AB0155">
        <w:rPr>
          <w:b/>
        </w:rPr>
        <w:t xml:space="preserve">ной оценки на предмет того, что по возвращении ему не будет угрожать опасность серьезного нарушения его прав человека; </w:t>
      </w:r>
    </w:p>
    <w:p w:rsidR="00B400C8" w:rsidRPr="00B400C8" w:rsidRDefault="00AB0155" w:rsidP="00B400C8">
      <w:pPr>
        <w:pStyle w:val="SingleTxtGR"/>
      </w:pPr>
      <w:r>
        <w:rPr>
          <w:b/>
        </w:rPr>
        <w:tab/>
      </w:r>
      <w:r w:rsidR="00B400C8" w:rsidRPr="00AB0155">
        <w:rPr>
          <w:b/>
        </w:rPr>
        <w:t>h)</w:t>
      </w:r>
      <w:r w:rsidR="00B400C8" w:rsidRPr="00AB0155">
        <w:rPr>
          <w:b/>
        </w:rPr>
        <w:tab/>
        <w:t>в полном объеме выполнить рекомендации, содержащиеся в докладе Специального докладчика по вопросу о правах человека мигра</w:t>
      </w:r>
      <w:r w:rsidR="00B400C8" w:rsidRPr="00AB0155">
        <w:rPr>
          <w:b/>
        </w:rPr>
        <w:t>н</w:t>
      </w:r>
      <w:r w:rsidR="00B400C8" w:rsidRPr="00AB0155">
        <w:rPr>
          <w:b/>
        </w:rPr>
        <w:t>тов по итогам его поездки в государство-участник (A/HRC/29/36/Add.2)</w:t>
      </w:r>
      <w:r>
        <w:rPr>
          <w:b/>
        </w:rPr>
        <w:t>.</w:t>
      </w:r>
    </w:p>
    <w:p w:rsidR="00B400C8" w:rsidRPr="00B400C8" w:rsidRDefault="00B400C8" w:rsidP="00AB0155">
      <w:pPr>
        <w:pStyle w:val="H23GR"/>
      </w:pPr>
      <w:r w:rsidRPr="00B400C8">
        <w:tab/>
      </w:r>
      <w:r w:rsidRPr="00B400C8">
        <w:tab/>
      </w:r>
      <w:r w:rsidR="00AB0155">
        <w:t>Общины рома, синти и камминанти</w:t>
      </w:r>
    </w:p>
    <w:p w:rsidR="00B400C8" w:rsidRPr="00B400C8" w:rsidRDefault="00B400C8" w:rsidP="00B400C8">
      <w:pPr>
        <w:pStyle w:val="SingleTxtGR"/>
      </w:pPr>
      <w:r w:rsidRPr="00B400C8">
        <w:t>21.</w:t>
      </w:r>
      <w:r w:rsidRPr="00B400C8">
        <w:tab/>
        <w:t>Комитет отмечает меры, принятые государством-участником, включая национальную стратегию по интеграции общин рома, синти и камминанти на период 2012</w:t>
      </w:r>
      <w:r w:rsidR="005A3671">
        <w:t>–</w:t>
      </w:r>
      <w:r w:rsidRPr="00B400C8">
        <w:t>2020 годов, но вновь выражает глуб</w:t>
      </w:r>
      <w:r w:rsidRPr="00B400C8">
        <w:t>о</w:t>
      </w:r>
      <w:r w:rsidRPr="00B400C8">
        <w:t>кую обеспокоенность в связи с сохраняющейся и укоренившейся дискриминацией, которой продолжают по</w:t>
      </w:r>
      <w:r w:rsidRPr="00B400C8">
        <w:t>д</w:t>
      </w:r>
      <w:r w:rsidRPr="00B400C8">
        <w:t xml:space="preserve">вергаться эти общины. Комитет особенно обеспокоен: </w:t>
      </w:r>
    </w:p>
    <w:p w:rsidR="00B400C8" w:rsidRPr="00B400C8" w:rsidRDefault="00AB0155" w:rsidP="00B400C8">
      <w:pPr>
        <w:pStyle w:val="SingleTxtGR"/>
      </w:pPr>
      <w:r>
        <w:tab/>
      </w:r>
      <w:r w:rsidR="00B400C8" w:rsidRPr="00B400C8">
        <w:t>a)</w:t>
      </w:r>
      <w:r w:rsidR="00B400C8" w:rsidRPr="00B400C8">
        <w:tab/>
        <w:t>продолжающейся практикой принудительного выселения рома, синти и камминанти на всей территории государства-участника, которая имеет особенно негативные последствия для детей, обуча</w:t>
      </w:r>
      <w:r w:rsidR="00B400C8" w:rsidRPr="00B400C8">
        <w:t>ю</w:t>
      </w:r>
      <w:r w:rsidR="00B400C8" w:rsidRPr="00B400C8">
        <w:t xml:space="preserve">щихся в школах; </w:t>
      </w:r>
    </w:p>
    <w:p w:rsidR="00B400C8" w:rsidRPr="00B400C8" w:rsidRDefault="00AB0155" w:rsidP="00B400C8">
      <w:pPr>
        <w:pStyle w:val="SingleTxtGR"/>
      </w:pPr>
      <w:r>
        <w:tab/>
      </w:r>
      <w:r w:rsidR="00B400C8" w:rsidRPr="00B400C8">
        <w:t>b)</w:t>
      </w:r>
      <w:r w:rsidR="00B400C8" w:rsidRPr="00B400C8">
        <w:tab/>
        <w:t>тем фактом, что общины рома, синти и камминанти по-прежнему живут в сегрегированных лагерях или районах в неудовлетворительных ж</w:t>
      </w:r>
      <w:r w:rsidR="00B400C8" w:rsidRPr="00B400C8">
        <w:t>и</w:t>
      </w:r>
      <w:r w:rsidR="00B400C8" w:rsidRPr="00B400C8">
        <w:t>лищных условиях, которые во многих случаях непригодны для проживания л</w:t>
      </w:r>
      <w:r w:rsidR="00B400C8" w:rsidRPr="00B400C8">
        <w:t>ю</w:t>
      </w:r>
      <w:r w:rsidR="00B400C8" w:rsidRPr="00B400C8">
        <w:t>дей, а также в отдаленных районах, где нет базовых услуг, включая медици</w:t>
      </w:r>
      <w:r w:rsidR="00B400C8" w:rsidRPr="00B400C8">
        <w:t>н</w:t>
      </w:r>
      <w:r w:rsidR="00B400C8" w:rsidRPr="00B400C8">
        <w:t xml:space="preserve">ское обслуживание, и школ; </w:t>
      </w:r>
    </w:p>
    <w:p w:rsidR="00B400C8" w:rsidRPr="00B400C8" w:rsidRDefault="00AB0155" w:rsidP="00B400C8">
      <w:pPr>
        <w:pStyle w:val="SingleTxtGR"/>
      </w:pPr>
      <w:r>
        <w:tab/>
      </w:r>
      <w:r w:rsidR="00B400C8" w:rsidRPr="00B400C8">
        <w:t>c)</w:t>
      </w:r>
      <w:r w:rsidR="00B400C8" w:rsidRPr="00B400C8">
        <w:tab/>
        <w:t>строительством муниципальными властями новых сегрегирова</w:t>
      </w:r>
      <w:r w:rsidR="00B400C8" w:rsidRPr="00B400C8">
        <w:t>н</w:t>
      </w:r>
      <w:r w:rsidR="00B400C8" w:rsidRPr="00B400C8">
        <w:t>ных лагерей исключительно для рома;</w:t>
      </w:r>
    </w:p>
    <w:p w:rsidR="00B400C8" w:rsidRPr="00B400C8" w:rsidRDefault="00AB0155" w:rsidP="00B400C8">
      <w:pPr>
        <w:pStyle w:val="SingleTxtGR"/>
      </w:pPr>
      <w:r>
        <w:tab/>
      </w:r>
      <w:r w:rsidR="00B400C8" w:rsidRPr="00B400C8">
        <w:t>d)</w:t>
      </w:r>
      <w:r w:rsidR="00B400C8" w:rsidRPr="00B400C8">
        <w:tab/>
        <w:t>введением местными органами власти квалификационных критер</w:t>
      </w:r>
      <w:r w:rsidR="00B400C8" w:rsidRPr="00B400C8">
        <w:t>и</w:t>
      </w:r>
      <w:r w:rsidR="00B400C8" w:rsidRPr="00B400C8">
        <w:t>ев для получения социального жилья и других пособий на жилье, которые я</w:t>
      </w:r>
      <w:r w:rsidR="00B400C8" w:rsidRPr="00B400C8">
        <w:t>в</w:t>
      </w:r>
      <w:r w:rsidR="00B400C8" w:rsidRPr="00B400C8">
        <w:t>ляются дискриминационными по отношению к рома, си</w:t>
      </w:r>
      <w:r w:rsidR="00B400C8" w:rsidRPr="00B400C8">
        <w:t>н</w:t>
      </w:r>
      <w:r w:rsidR="00B400C8" w:rsidRPr="00B400C8">
        <w:t>ти и камминанти;</w:t>
      </w:r>
    </w:p>
    <w:p w:rsidR="00B400C8" w:rsidRPr="00B400C8" w:rsidRDefault="00AB0155" w:rsidP="00B400C8">
      <w:pPr>
        <w:pStyle w:val="SingleTxtGR"/>
      </w:pPr>
      <w:r>
        <w:tab/>
      </w:r>
      <w:r w:rsidR="00B400C8" w:rsidRPr="00B400C8">
        <w:t>e)</w:t>
      </w:r>
      <w:r w:rsidR="00B400C8" w:rsidRPr="00B400C8">
        <w:tab/>
        <w:t>отсутствием средств правовой защиты у рома, синти и камминанти, чьи права были нарушены в результате осуществления Указа о чрезвычайных мерах в отношении кочевых общин, который действовал с мая 2008 года по н</w:t>
      </w:r>
      <w:r w:rsidR="00B400C8" w:rsidRPr="00B400C8">
        <w:t>о</w:t>
      </w:r>
      <w:r w:rsidR="00B400C8" w:rsidRPr="00B400C8">
        <w:t xml:space="preserve">ябрь 2011 года; </w:t>
      </w:r>
    </w:p>
    <w:p w:rsidR="00B400C8" w:rsidRPr="00B400C8" w:rsidRDefault="00AB0155" w:rsidP="00B400C8">
      <w:pPr>
        <w:pStyle w:val="SingleTxtGR"/>
      </w:pPr>
      <w:r>
        <w:tab/>
      </w:r>
      <w:r w:rsidR="00B400C8" w:rsidRPr="00B400C8">
        <w:t>f)</w:t>
      </w:r>
      <w:r w:rsidR="00B400C8" w:rsidRPr="00B400C8">
        <w:tab/>
        <w:t>количеством лиц без гражданства среди рома, синти и камминанти и непредставлением государством-участником информации о практических м</w:t>
      </w:r>
      <w:r w:rsidR="00B400C8" w:rsidRPr="00B400C8">
        <w:t>е</w:t>
      </w:r>
      <w:r w:rsidR="00B400C8" w:rsidRPr="00B400C8">
        <w:t>рах, принятых для исправления этой ситуации (статьи 1,</w:t>
      </w:r>
      <w:r w:rsidR="005A3671">
        <w:t xml:space="preserve"> </w:t>
      </w:r>
      <w:r w:rsidR="00B400C8" w:rsidRPr="00B400C8">
        <w:t>2,</w:t>
      </w:r>
      <w:r w:rsidR="005A3671">
        <w:t xml:space="preserve"> </w:t>
      </w:r>
      <w:r w:rsidR="00B400C8" w:rsidRPr="00B400C8">
        <w:t xml:space="preserve">3, 5 и 6). </w:t>
      </w:r>
    </w:p>
    <w:p w:rsidR="00B400C8" w:rsidRPr="00AB0155" w:rsidRDefault="00B400C8" w:rsidP="00B400C8">
      <w:pPr>
        <w:pStyle w:val="SingleTxtGR"/>
        <w:rPr>
          <w:b/>
          <w:bCs/>
        </w:rPr>
      </w:pPr>
      <w:r w:rsidRPr="00B400C8">
        <w:t>22.</w:t>
      </w:r>
      <w:r w:rsidRPr="00B400C8">
        <w:tab/>
      </w:r>
      <w:r w:rsidRPr="00AB0155">
        <w:rPr>
          <w:b/>
        </w:rPr>
        <w:t>Ссылаясь на свою общую рекомендацию № 27 (2000) о дискримин</w:t>
      </w:r>
      <w:r w:rsidRPr="00AB0155">
        <w:rPr>
          <w:b/>
        </w:rPr>
        <w:t>а</w:t>
      </w:r>
      <w:r w:rsidRPr="00AB0155">
        <w:rPr>
          <w:b/>
        </w:rPr>
        <w:t>ции в отношении рома, Ком</w:t>
      </w:r>
      <w:r w:rsidRPr="00AB0155">
        <w:rPr>
          <w:b/>
        </w:rPr>
        <w:t>и</w:t>
      </w:r>
      <w:r w:rsidRPr="00AB0155">
        <w:rPr>
          <w:b/>
        </w:rPr>
        <w:t>тет рекомендует государству-участнику:</w:t>
      </w:r>
    </w:p>
    <w:p w:rsidR="00B400C8" w:rsidRPr="00AB0155" w:rsidRDefault="00AB0155" w:rsidP="00B400C8">
      <w:pPr>
        <w:pStyle w:val="SingleTxtGR"/>
        <w:rPr>
          <w:b/>
          <w:bCs/>
        </w:rPr>
      </w:pPr>
      <w:r>
        <w:rPr>
          <w:b/>
        </w:rPr>
        <w:tab/>
      </w:r>
      <w:r w:rsidR="00B400C8" w:rsidRPr="00AB0155">
        <w:rPr>
          <w:b/>
        </w:rPr>
        <w:t>a)</w:t>
      </w:r>
      <w:r w:rsidR="00B400C8" w:rsidRPr="00AB0155">
        <w:rPr>
          <w:b/>
        </w:rPr>
        <w:tab/>
        <w:t>воспрепятствовать осуществлению любых планов по дальне</w:t>
      </w:r>
      <w:r w:rsidR="00B400C8" w:rsidRPr="00AB0155">
        <w:rPr>
          <w:b/>
        </w:rPr>
        <w:t>й</w:t>
      </w:r>
      <w:r w:rsidR="00B400C8" w:rsidRPr="00AB0155">
        <w:rPr>
          <w:b/>
        </w:rPr>
        <w:t>шему выселению рома, синти и камминанти или созданию новых сегрег</w:t>
      </w:r>
      <w:r w:rsidR="00B400C8" w:rsidRPr="00AB0155">
        <w:rPr>
          <w:b/>
        </w:rPr>
        <w:t>и</w:t>
      </w:r>
      <w:r w:rsidR="00B400C8" w:rsidRPr="00AB0155">
        <w:rPr>
          <w:b/>
        </w:rPr>
        <w:t>рованных лагерей или сегрегированных жилых районов, которые отдел</w:t>
      </w:r>
      <w:r w:rsidR="00B400C8" w:rsidRPr="00AB0155">
        <w:rPr>
          <w:b/>
        </w:rPr>
        <w:t>я</w:t>
      </w:r>
      <w:r w:rsidR="00B400C8" w:rsidRPr="00AB0155">
        <w:rPr>
          <w:b/>
        </w:rPr>
        <w:t>ют их от остального общества;</w:t>
      </w:r>
    </w:p>
    <w:p w:rsidR="00B400C8" w:rsidRPr="00AB0155" w:rsidRDefault="00AB0155" w:rsidP="00B400C8">
      <w:pPr>
        <w:pStyle w:val="SingleTxtGR"/>
        <w:rPr>
          <w:b/>
          <w:bCs/>
        </w:rPr>
      </w:pPr>
      <w:r>
        <w:rPr>
          <w:b/>
        </w:rPr>
        <w:tab/>
      </w:r>
      <w:r w:rsidR="00B400C8" w:rsidRPr="00AB0155">
        <w:rPr>
          <w:b/>
        </w:rPr>
        <w:t>b)</w:t>
      </w:r>
      <w:r w:rsidR="00B400C8" w:rsidRPr="00AB0155">
        <w:rPr>
          <w:b/>
        </w:rPr>
        <w:tab/>
        <w:t xml:space="preserve">положить конец использованию сегрегированных лагерей и обеспечить </w:t>
      </w:r>
      <w:r>
        <w:rPr>
          <w:b/>
        </w:rPr>
        <w:t xml:space="preserve">в приоритетном порядке </w:t>
      </w:r>
      <w:r w:rsidR="00B400C8" w:rsidRPr="00AB0155">
        <w:rPr>
          <w:b/>
        </w:rPr>
        <w:t>предоставление рома, синти и камм</w:t>
      </w:r>
      <w:r w:rsidR="00B400C8" w:rsidRPr="00AB0155">
        <w:rPr>
          <w:b/>
        </w:rPr>
        <w:t>и</w:t>
      </w:r>
      <w:r w:rsidR="00B400C8" w:rsidRPr="00AB0155">
        <w:rPr>
          <w:b/>
        </w:rPr>
        <w:t>нанти надлежащего и приемлемого с культурной точки зрения ж</w:t>
      </w:r>
      <w:r w:rsidR="00B400C8" w:rsidRPr="00AB0155">
        <w:rPr>
          <w:b/>
        </w:rPr>
        <w:t>и</w:t>
      </w:r>
      <w:r w:rsidR="00B400C8" w:rsidRPr="00AB0155">
        <w:rPr>
          <w:b/>
        </w:rPr>
        <w:t xml:space="preserve">лья; </w:t>
      </w:r>
    </w:p>
    <w:p w:rsidR="00B400C8" w:rsidRPr="00AB0155" w:rsidRDefault="00AB0155" w:rsidP="00B400C8">
      <w:pPr>
        <w:pStyle w:val="SingleTxtGR"/>
        <w:rPr>
          <w:b/>
          <w:bCs/>
        </w:rPr>
      </w:pPr>
      <w:r>
        <w:rPr>
          <w:b/>
        </w:rPr>
        <w:lastRenderedPageBreak/>
        <w:tab/>
      </w:r>
      <w:r w:rsidR="00B400C8" w:rsidRPr="00AB0155">
        <w:rPr>
          <w:b/>
        </w:rPr>
        <w:t>c)</w:t>
      </w:r>
      <w:r w:rsidR="00B400C8" w:rsidRPr="00AB0155">
        <w:rPr>
          <w:b/>
        </w:rPr>
        <w:tab/>
        <w:t>провести обзор и изменить национальное, региональное и м</w:t>
      </w:r>
      <w:r w:rsidR="00B400C8" w:rsidRPr="00AB0155">
        <w:rPr>
          <w:b/>
        </w:rPr>
        <w:t>у</w:t>
      </w:r>
      <w:r w:rsidR="00B400C8" w:rsidRPr="00AB0155">
        <w:rPr>
          <w:b/>
        </w:rPr>
        <w:t>ниципальное жилищное законодательство, политику и практику, с тем чтобы они не допускали дискриминации в отношении рома, синти и ка</w:t>
      </w:r>
      <w:r w:rsidR="00B400C8" w:rsidRPr="00AB0155">
        <w:rPr>
          <w:b/>
        </w:rPr>
        <w:t>м</w:t>
      </w:r>
      <w:r w:rsidR="00B400C8" w:rsidRPr="00AB0155">
        <w:rPr>
          <w:b/>
        </w:rPr>
        <w:t>минанти при осуществлении ими своих прав, в частности права на доступ к соц</w:t>
      </w:r>
      <w:r w:rsidR="00B400C8" w:rsidRPr="00AB0155">
        <w:rPr>
          <w:b/>
        </w:rPr>
        <w:t>и</w:t>
      </w:r>
      <w:r w:rsidR="00B400C8" w:rsidRPr="00AB0155">
        <w:rPr>
          <w:b/>
        </w:rPr>
        <w:t xml:space="preserve">альному жилью и другим пособиям на жилье; </w:t>
      </w:r>
    </w:p>
    <w:p w:rsidR="00B400C8" w:rsidRPr="00AB0155" w:rsidRDefault="00AB0155" w:rsidP="00B400C8">
      <w:pPr>
        <w:pStyle w:val="SingleTxtGR"/>
        <w:rPr>
          <w:b/>
          <w:bCs/>
        </w:rPr>
      </w:pPr>
      <w:r>
        <w:rPr>
          <w:b/>
        </w:rPr>
        <w:tab/>
      </w:r>
      <w:r w:rsidR="00B400C8" w:rsidRPr="00AB0155">
        <w:rPr>
          <w:b/>
        </w:rPr>
        <w:t>d)</w:t>
      </w:r>
      <w:r w:rsidR="00B400C8" w:rsidRPr="00AB0155">
        <w:rPr>
          <w:b/>
        </w:rPr>
        <w:tab/>
        <w:t>уделять первостепенное внимание усилиям по обеспечению д</w:t>
      </w:r>
      <w:r w:rsidR="00B400C8" w:rsidRPr="00AB0155">
        <w:rPr>
          <w:b/>
        </w:rPr>
        <w:t>е</w:t>
      </w:r>
      <w:r w:rsidR="00B400C8" w:rsidRPr="00AB0155">
        <w:rPr>
          <w:b/>
        </w:rPr>
        <w:t>тям рома, синти и камминанти доступа к качественному и приемлемому с культурной и лингвистической точек зрения образованию в школах, кот</w:t>
      </w:r>
      <w:r w:rsidR="00B400C8" w:rsidRPr="00AB0155">
        <w:rPr>
          <w:b/>
        </w:rPr>
        <w:t>о</w:t>
      </w:r>
      <w:r w:rsidR="00B400C8" w:rsidRPr="00AB0155">
        <w:rPr>
          <w:b/>
        </w:rPr>
        <w:t xml:space="preserve">рые являются географически доступными и в которых они не страдают от каких-либо форм сегрегированного обучения или негативного обращения со стороны сотрудников и учащихся; </w:t>
      </w:r>
    </w:p>
    <w:p w:rsidR="00B400C8" w:rsidRPr="00AB0155" w:rsidRDefault="00AB0155" w:rsidP="00B400C8">
      <w:pPr>
        <w:pStyle w:val="SingleTxtGR"/>
        <w:rPr>
          <w:b/>
          <w:bCs/>
        </w:rPr>
      </w:pPr>
      <w:r>
        <w:rPr>
          <w:b/>
        </w:rPr>
        <w:tab/>
      </w:r>
      <w:r w:rsidR="00B400C8" w:rsidRPr="00AB0155">
        <w:rPr>
          <w:b/>
        </w:rPr>
        <w:t>e)</w:t>
      </w:r>
      <w:r w:rsidR="00B400C8" w:rsidRPr="00AB0155">
        <w:rPr>
          <w:b/>
        </w:rPr>
        <w:tab/>
        <w:t>обеспечить, чтобы национальная стратегия по интеграции о</w:t>
      </w:r>
      <w:r w:rsidR="00B400C8" w:rsidRPr="00AB0155">
        <w:rPr>
          <w:b/>
        </w:rPr>
        <w:t>б</w:t>
      </w:r>
      <w:r w:rsidR="00B400C8" w:rsidRPr="00AB0155">
        <w:rPr>
          <w:b/>
        </w:rPr>
        <w:t>щин рома, синти и камминанти на период 2012</w:t>
      </w:r>
      <w:r>
        <w:rPr>
          <w:b/>
        </w:rPr>
        <w:t>–</w:t>
      </w:r>
      <w:r w:rsidR="00B400C8" w:rsidRPr="00AB0155">
        <w:rPr>
          <w:b/>
        </w:rPr>
        <w:t>2020 годов привела к ко</w:t>
      </w:r>
      <w:r w:rsidR="00B400C8" w:rsidRPr="00AB0155">
        <w:rPr>
          <w:b/>
        </w:rPr>
        <w:t>н</w:t>
      </w:r>
      <w:r w:rsidR="00B400C8" w:rsidRPr="00AB0155">
        <w:rPr>
          <w:b/>
        </w:rPr>
        <w:t>кретному и ощутимому улучшению положения в области осуществления прав рома, синти и камминанти, в том числе путем ликвидации безгра</w:t>
      </w:r>
      <w:r w:rsidR="00B400C8" w:rsidRPr="00AB0155">
        <w:rPr>
          <w:b/>
        </w:rPr>
        <w:t>ж</w:t>
      </w:r>
      <w:r w:rsidR="00B400C8" w:rsidRPr="00AB0155">
        <w:rPr>
          <w:b/>
        </w:rPr>
        <w:t>данства и обеспечения того, чтобы a) общины рома, синти и камминанти могли эффективно участвовать в разработке и осуществлении этой страт</w:t>
      </w:r>
      <w:r w:rsidR="00B400C8" w:rsidRPr="00AB0155">
        <w:rPr>
          <w:b/>
        </w:rPr>
        <w:t>е</w:t>
      </w:r>
      <w:r w:rsidR="00B400C8" w:rsidRPr="00AB0155">
        <w:rPr>
          <w:b/>
        </w:rPr>
        <w:t>гии, b) результаты реализации стратегии регулярно отслеживались и ан</w:t>
      </w:r>
      <w:r w:rsidR="00B400C8" w:rsidRPr="00AB0155">
        <w:rPr>
          <w:b/>
        </w:rPr>
        <w:t>а</w:t>
      </w:r>
      <w:r w:rsidR="00B400C8" w:rsidRPr="00AB0155">
        <w:rPr>
          <w:b/>
        </w:rPr>
        <w:t xml:space="preserve">лизировались на основе всеобъемлющих данных, c) имелись достаточные людские и финансовые ресурсы для эффективного осуществления этой стратегии; </w:t>
      </w:r>
    </w:p>
    <w:p w:rsidR="00B400C8" w:rsidRPr="00B400C8" w:rsidRDefault="00AB0155" w:rsidP="00B400C8">
      <w:pPr>
        <w:pStyle w:val="SingleTxtGR"/>
      </w:pPr>
      <w:r>
        <w:rPr>
          <w:b/>
        </w:rPr>
        <w:tab/>
      </w:r>
      <w:r w:rsidR="00B400C8" w:rsidRPr="00AB0155">
        <w:rPr>
          <w:b/>
        </w:rPr>
        <w:t>f)</w:t>
      </w:r>
      <w:r w:rsidR="00B400C8" w:rsidRPr="00AB0155">
        <w:rPr>
          <w:b/>
        </w:rPr>
        <w:tab/>
        <w:t xml:space="preserve">предоставить рома, синти и камминанти, ставшим жертвами нарушений прав человека, в том числе в результате осуществления Указа о чрезвычайных мерах в отношении кочевых общин, эффективные средства правовой защиты и возмещение, приняв при этом во внимание </w:t>
      </w:r>
      <w:r>
        <w:rPr>
          <w:b/>
        </w:rPr>
        <w:t>реш</w:t>
      </w:r>
      <w:r>
        <w:rPr>
          <w:b/>
        </w:rPr>
        <w:t>е</w:t>
      </w:r>
      <w:r>
        <w:rPr>
          <w:b/>
        </w:rPr>
        <w:t>ние № </w:t>
      </w:r>
      <w:r w:rsidR="00B400C8" w:rsidRPr="00AB0155">
        <w:rPr>
          <w:b/>
        </w:rPr>
        <w:t>6050 Государственного совета от 16 ноября 2011 года.</w:t>
      </w:r>
      <w:r w:rsidR="00B400C8" w:rsidRPr="00B400C8">
        <w:t xml:space="preserve"> </w:t>
      </w:r>
    </w:p>
    <w:p w:rsidR="00B400C8" w:rsidRPr="00B400C8" w:rsidRDefault="00B400C8" w:rsidP="00AB0155">
      <w:pPr>
        <w:pStyle w:val="H23GR"/>
      </w:pPr>
      <w:r w:rsidRPr="00B400C8">
        <w:tab/>
      </w:r>
      <w:r w:rsidRPr="00B400C8">
        <w:tab/>
        <w:t xml:space="preserve">Положение трудящихся-мигрантов </w:t>
      </w:r>
    </w:p>
    <w:p w:rsidR="00B400C8" w:rsidRPr="00B400C8" w:rsidRDefault="00B400C8" w:rsidP="00B400C8">
      <w:pPr>
        <w:pStyle w:val="SingleTxtGR"/>
      </w:pPr>
      <w:r w:rsidRPr="00B400C8">
        <w:t>23.</w:t>
      </w:r>
      <w:r w:rsidRPr="00B400C8">
        <w:tab/>
        <w:t>Комитет отмечает меры, принятые государством-участником для борьбы с эксплуатацией труда, в том числе национальный план действий по борьбе с торговлей людьми и жестокой эксплуатацией на период 2016</w:t>
      </w:r>
      <w:r w:rsidR="005A3671">
        <w:t>–</w:t>
      </w:r>
      <w:r w:rsidRPr="00B400C8">
        <w:t>2018 годов и н</w:t>
      </w:r>
      <w:r w:rsidRPr="00B400C8">
        <w:t>о</w:t>
      </w:r>
      <w:r w:rsidRPr="00B400C8">
        <w:t xml:space="preserve">вый закон о борьбе с незадекларированным трудом и эксплуатацией труда в сельском хозяйстве (известен как закон о </w:t>
      </w:r>
      <w:r w:rsidR="00AB0155">
        <w:t>«</w:t>
      </w:r>
      <w:r w:rsidRPr="00B400C8">
        <w:t>caporalato</w:t>
      </w:r>
      <w:r w:rsidR="00AB0155">
        <w:t>»</w:t>
      </w:r>
      <w:r w:rsidRPr="00B400C8">
        <w:t>), который был одобрен Палатой депутатов 18 октября 2016 года, и с удовлетворением принимает к св</w:t>
      </w:r>
      <w:r w:rsidRPr="00B400C8">
        <w:t>е</w:t>
      </w:r>
      <w:r w:rsidRPr="00B400C8">
        <w:t>дению представленную информацию о нарушениях статей 600</w:t>
      </w:r>
      <w:r w:rsidR="00AB0155">
        <w:t>–</w:t>
      </w:r>
      <w:r w:rsidRPr="00B400C8">
        <w:t>603</w:t>
      </w:r>
      <w:r w:rsidR="00AB0155">
        <w:t>-</w:t>
      </w:r>
      <w:r w:rsidRPr="00B400C8">
        <w:t>бис Уголо</w:t>
      </w:r>
      <w:r w:rsidRPr="00B400C8">
        <w:t>в</w:t>
      </w:r>
      <w:r w:rsidRPr="00B400C8">
        <w:t>ного кодекса, касающихся заключения в рабство, торговли людьми, приобрет</w:t>
      </w:r>
      <w:r w:rsidRPr="00B400C8">
        <w:t>е</w:t>
      </w:r>
      <w:r w:rsidRPr="00B400C8">
        <w:t>ния или отчуждения рабов, незаконного посредничества и эксплуатации труда. Вместе с тем Ком</w:t>
      </w:r>
      <w:r w:rsidRPr="00B400C8">
        <w:t>и</w:t>
      </w:r>
      <w:r w:rsidRPr="00B400C8">
        <w:t>тет обеспокоен тем, что работодатели, не опасаясь санкций, продолжают физически и финансово эксплуатировать мигрантов и что мигра</w:t>
      </w:r>
      <w:r w:rsidRPr="00B400C8">
        <w:t>н</w:t>
      </w:r>
      <w:r w:rsidRPr="00B400C8">
        <w:t>ты не имеют доступа к эффективной и надлежащей правовой защите от злоуп</w:t>
      </w:r>
      <w:r w:rsidRPr="00B400C8">
        <w:t>о</w:t>
      </w:r>
      <w:r w:rsidRPr="00B400C8">
        <w:t>треблений и эксплуатации. Он также вновь выражает обеспокоенность по пов</w:t>
      </w:r>
      <w:r w:rsidRPr="00B400C8">
        <w:t>о</w:t>
      </w:r>
      <w:r w:rsidRPr="00B400C8">
        <w:t>ду того, что мигранты продолжают сталкива</w:t>
      </w:r>
      <w:r w:rsidR="005A3671">
        <w:t>ть</w:t>
      </w:r>
      <w:r w:rsidRPr="00B400C8">
        <w:t>ся с трудностями в деле получ</w:t>
      </w:r>
      <w:r w:rsidRPr="00B400C8">
        <w:t>е</w:t>
      </w:r>
      <w:r w:rsidRPr="00B400C8">
        <w:t xml:space="preserve">ния доступа к некоторым социальным услугам, особенно к услугам, которые предоставляются местными властями (статьи 1, 5 и 6). </w:t>
      </w:r>
    </w:p>
    <w:p w:rsidR="00B400C8" w:rsidRPr="00AB0155" w:rsidRDefault="00B400C8" w:rsidP="00B400C8">
      <w:pPr>
        <w:pStyle w:val="SingleTxtGR"/>
        <w:rPr>
          <w:b/>
          <w:bCs/>
        </w:rPr>
      </w:pPr>
      <w:r w:rsidRPr="00B400C8">
        <w:t>24.</w:t>
      </w:r>
      <w:r w:rsidRPr="00B400C8">
        <w:tab/>
      </w:r>
      <w:r w:rsidRPr="00AB0155">
        <w:rPr>
          <w:b/>
        </w:rPr>
        <w:t xml:space="preserve">Комитет рекомендует государству-участнику: </w:t>
      </w:r>
    </w:p>
    <w:p w:rsidR="00B400C8" w:rsidRPr="00AB0155" w:rsidRDefault="00AB0155" w:rsidP="00B400C8">
      <w:pPr>
        <w:pStyle w:val="SingleTxtGR"/>
        <w:rPr>
          <w:b/>
          <w:bCs/>
        </w:rPr>
      </w:pPr>
      <w:r>
        <w:rPr>
          <w:b/>
        </w:rPr>
        <w:tab/>
      </w:r>
      <w:r w:rsidR="00B400C8" w:rsidRPr="00AB0155">
        <w:rPr>
          <w:b/>
        </w:rPr>
        <w:t>а)</w:t>
      </w:r>
      <w:r w:rsidR="00B400C8" w:rsidRPr="00AB0155">
        <w:rPr>
          <w:b/>
        </w:rPr>
        <w:tab/>
        <w:t>обеспечить эффективное осуществление на практике нового з</w:t>
      </w:r>
      <w:r w:rsidR="00B400C8" w:rsidRPr="00AB0155">
        <w:rPr>
          <w:b/>
        </w:rPr>
        <w:t>а</w:t>
      </w:r>
      <w:r w:rsidR="00B400C8" w:rsidRPr="00AB0155">
        <w:rPr>
          <w:b/>
        </w:rPr>
        <w:t>кона о борьбе с незадекларированным трудом и эксплуатацией труда в сельском хозяй</w:t>
      </w:r>
      <w:r>
        <w:rPr>
          <w:b/>
        </w:rPr>
        <w:t>стве (известен как закон о «</w:t>
      </w:r>
      <w:r w:rsidR="00B400C8" w:rsidRPr="00AB0155">
        <w:rPr>
          <w:b/>
        </w:rPr>
        <w:t>caporalato</w:t>
      </w:r>
      <w:r>
        <w:rPr>
          <w:b/>
        </w:rPr>
        <w:t>»</w:t>
      </w:r>
      <w:r w:rsidR="00B400C8" w:rsidRPr="00AB0155">
        <w:rPr>
          <w:b/>
        </w:rPr>
        <w:t>), который был одо</w:t>
      </w:r>
      <w:r w:rsidR="00B400C8" w:rsidRPr="00AB0155">
        <w:rPr>
          <w:b/>
        </w:rPr>
        <w:t>б</w:t>
      </w:r>
      <w:r w:rsidR="00B400C8" w:rsidRPr="00AB0155">
        <w:rPr>
          <w:b/>
        </w:rPr>
        <w:t>рен Палатой депут</w:t>
      </w:r>
      <w:r w:rsidR="00B400C8" w:rsidRPr="00AB0155">
        <w:rPr>
          <w:b/>
        </w:rPr>
        <w:t>а</w:t>
      </w:r>
      <w:r w:rsidR="00B400C8" w:rsidRPr="00AB0155">
        <w:rPr>
          <w:b/>
        </w:rPr>
        <w:t xml:space="preserve">тов 18 октября 2016 года; </w:t>
      </w:r>
    </w:p>
    <w:p w:rsidR="00B400C8" w:rsidRPr="00AB0155" w:rsidRDefault="00AB0155" w:rsidP="00B400C8">
      <w:pPr>
        <w:pStyle w:val="SingleTxtGR"/>
        <w:rPr>
          <w:b/>
          <w:bCs/>
        </w:rPr>
      </w:pPr>
      <w:r>
        <w:rPr>
          <w:b/>
        </w:rPr>
        <w:tab/>
      </w:r>
      <w:r w:rsidR="00B400C8" w:rsidRPr="00AB0155">
        <w:rPr>
          <w:b/>
        </w:rPr>
        <w:t>b)</w:t>
      </w:r>
      <w:r w:rsidR="00B400C8" w:rsidRPr="00AB0155">
        <w:rPr>
          <w:b/>
        </w:rPr>
        <w:tab/>
        <w:t>принять дополнительные меры по укреплению потенциала И</w:t>
      </w:r>
      <w:r w:rsidR="00B400C8" w:rsidRPr="00AB0155">
        <w:rPr>
          <w:b/>
        </w:rPr>
        <w:t>н</w:t>
      </w:r>
      <w:r w:rsidR="00B400C8" w:rsidRPr="00AB0155">
        <w:rPr>
          <w:b/>
        </w:rPr>
        <w:t>спекции труда в целях осуществления законодательства в области борьбы с эксплуат</w:t>
      </w:r>
      <w:r w:rsidR="00B400C8" w:rsidRPr="00AB0155">
        <w:rPr>
          <w:b/>
        </w:rPr>
        <w:t>а</w:t>
      </w:r>
      <w:r w:rsidR="00B400C8" w:rsidRPr="00AB0155">
        <w:rPr>
          <w:b/>
        </w:rPr>
        <w:t>цией труда и расовой дискриминацией и обеспечения наказания работодателей, которые нарушают прав</w:t>
      </w:r>
      <w:r w:rsidR="005A3671">
        <w:rPr>
          <w:b/>
        </w:rPr>
        <w:t>а</w:t>
      </w:r>
      <w:r w:rsidR="00B400C8" w:rsidRPr="00AB0155">
        <w:rPr>
          <w:b/>
        </w:rPr>
        <w:t xml:space="preserve"> мигрантов; </w:t>
      </w:r>
    </w:p>
    <w:p w:rsidR="00B400C8" w:rsidRPr="00AB0155" w:rsidRDefault="00AB0155" w:rsidP="00B400C8">
      <w:pPr>
        <w:pStyle w:val="SingleTxtGR"/>
        <w:rPr>
          <w:b/>
          <w:bCs/>
        </w:rPr>
      </w:pPr>
      <w:r>
        <w:rPr>
          <w:b/>
        </w:rPr>
        <w:tab/>
      </w:r>
      <w:r w:rsidR="00B400C8" w:rsidRPr="00AB0155">
        <w:rPr>
          <w:b/>
        </w:rPr>
        <w:t>c)</w:t>
      </w:r>
      <w:r w:rsidR="00B400C8" w:rsidRPr="00AB0155">
        <w:rPr>
          <w:b/>
        </w:rPr>
        <w:tab/>
        <w:t xml:space="preserve">обеспечить, чтобы все мигранты имели доступ к правосудию и эффективным средствам правовой защиты и могли подавать жалобы о </w:t>
      </w:r>
      <w:r w:rsidR="00B400C8" w:rsidRPr="00AB0155">
        <w:rPr>
          <w:b/>
        </w:rPr>
        <w:lastRenderedPageBreak/>
        <w:t>нарушении их прав, не опасаясь ареста, заключения под стражу или д</w:t>
      </w:r>
      <w:r w:rsidR="00B400C8" w:rsidRPr="00AB0155">
        <w:rPr>
          <w:b/>
        </w:rPr>
        <w:t>е</w:t>
      </w:r>
      <w:r w:rsidR="00B400C8" w:rsidRPr="00AB0155">
        <w:rPr>
          <w:b/>
        </w:rPr>
        <w:t xml:space="preserve">портации; </w:t>
      </w:r>
    </w:p>
    <w:p w:rsidR="00B400C8" w:rsidRPr="00AB0155" w:rsidRDefault="00AB0155" w:rsidP="00B400C8">
      <w:pPr>
        <w:pStyle w:val="SingleTxtGR"/>
        <w:rPr>
          <w:b/>
          <w:bCs/>
        </w:rPr>
      </w:pPr>
      <w:r>
        <w:rPr>
          <w:b/>
        </w:rPr>
        <w:tab/>
      </w:r>
      <w:r w:rsidR="00B400C8" w:rsidRPr="00AB0155">
        <w:rPr>
          <w:b/>
        </w:rPr>
        <w:t>d)</w:t>
      </w:r>
      <w:r w:rsidR="00B400C8" w:rsidRPr="00AB0155">
        <w:rPr>
          <w:b/>
        </w:rPr>
        <w:tab/>
        <w:t>предоставить всем мигрантам, независимо от их иммиграц</w:t>
      </w:r>
      <w:r w:rsidR="00B400C8" w:rsidRPr="00AB0155">
        <w:rPr>
          <w:b/>
        </w:rPr>
        <w:t>и</w:t>
      </w:r>
      <w:r w:rsidR="00B400C8" w:rsidRPr="00AB0155">
        <w:rPr>
          <w:b/>
        </w:rPr>
        <w:t>онного статуса, доступ к базовым услугам</w:t>
      </w:r>
      <w:r w:rsidR="005A3671">
        <w:rPr>
          <w:b/>
        </w:rPr>
        <w:t>,</w:t>
      </w:r>
      <w:r w:rsidR="00B400C8" w:rsidRPr="00AB0155">
        <w:rPr>
          <w:b/>
        </w:rPr>
        <w:t xml:space="preserve"> как это предусмотрено межд</w:t>
      </w:r>
      <w:r w:rsidR="00B400C8" w:rsidRPr="00AB0155">
        <w:rPr>
          <w:b/>
        </w:rPr>
        <w:t>у</w:t>
      </w:r>
      <w:r w:rsidR="00B400C8" w:rsidRPr="00AB0155">
        <w:rPr>
          <w:b/>
        </w:rPr>
        <w:t>народными норм</w:t>
      </w:r>
      <w:r w:rsidR="00B400C8" w:rsidRPr="00AB0155">
        <w:rPr>
          <w:b/>
        </w:rPr>
        <w:t>а</w:t>
      </w:r>
      <w:r w:rsidR="00B400C8" w:rsidRPr="00AB0155">
        <w:rPr>
          <w:b/>
        </w:rPr>
        <w:t xml:space="preserve">ми в области прав человека; </w:t>
      </w:r>
    </w:p>
    <w:p w:rsidR="00B400C8" w:rsidRPr="00B400C8" w:rsidRDefault="00AB0155" w:rsidP="00B400C8">
      <w:pPr>
        <w:pStyle w:val="SingleTxtGR"/>
      </w:pPr>
      <w:r>
        <w:rPr>
          <w:b/>
        </w:rPr>
        <w:tab/>
      </w:r>
      <w:r w:rsidR="00B400C8" w:rsidRPr="00AB0155">
        <w:rPr>
          <w:b/>
        </w:rPr>
        <w:t>е)</w:t>
      </w:r>
      <w:r w:rsidR="00B400C8" w:rsidRPr="00AB0155">
        <w:rPr>
          <w:b/>
        </w:rPr>
        <w:tab/>
        <w:t>представить в своем следующем периодическом докладе д</w:t>
      </w:r>
      <w:r w:rsidR="00B400C8" w:rsidRPr="00AB0155">
        <w:rPr>
          <w:b/>
        </w:rPr>
        <w:t>о</w:t>
      </w:r>
      <w:r w:rsidR="00B400C8" w:rsidRPr="00AB0155">
        <w:rPr>
          <w:b/>
        </w:rPr>
        <w:t>полнительную информ</w:t>
      </w:r>
      <w:r>
        <w:rPr>
          <w:b/>
        </w:rPr>
        <w:t>ацию об осуществлении закона о «</w:t>
      </w:r>
      <w:r w:rsidR="00B400C8" w:rsidRPr="00AB0155">
        <w:rPr>
          <w:b/>
        </w:rPr>
        <w:t>caporalato</w:t>
      </w:r>
      <w:r>
        <w:rPr>
          <w:b/>
        </w:rPr>
        <w:t>»</w:t>
      </w:r>
      <w:r w:rsidR="00B400C8" w:rsidRPr="00AB0155">
        <w:rPr>
          <w:b/>
        </w:rPr>
        <w:t xml:space="preserve"> и др</w:t>
      </w:r>
      <w:r w:rsidR="00B400C8" w:rsidRPr="00AB0155">
        <w:rPr>
          <w:b/>
        </w:rPr>
        <w:t>у</w:t>
      </w:r>
      <w:r w:rsidR="00B400C8" w:rsidRPr="00AB0155">
        <w:rPr>
          <w:b/>
        </w:rPr>
        <w:t>гих соответствующих законов, а также о работе, проведенной Инспекцией труда по вопросам расовой дискриминации и эксплуатации труда, в том числе о количестве выездов на места, количестве и характере санкций и других мерах, принятых в разли</w:t>
      </w:r>
      <w:r w:rsidR="00B400C8" w:rsidRPr="00AB0155">
        <w:rPr>
          <w:b/>
        </w:rPr>
        <w:t>ч</w:t>
      </w:r>
      <w:r w:rsidR="00B400C8" w:rsidRPr="00AB0155">
        <w:rPr>
          <w:b/>
        </w:rPr>
        <w:t>ных регионах и секторах.</w:t>
      </w:r>
    </w:p>
    <w:p w:rsidR="00B400C8" w:rsidRPr="00B400C8" w:rsidRDefault="00B400C8" w:rsidP="00AB0155">
      <w:pPr>
        <w:pStyle w:val="H23GR"/>
      </w:pPr>
      <w:r w:rsidRPr="00B400C8">
        <w:tab/>
      </w:r>
      <w:r w:rsidRPr="00B400C8">
        <w:tab/>
        <w:t xml:space="preserve">Лица африканского происхождения </w:t>
      </w:r>
    </w:p>
    <w:p w:rsidR="00B400C8" w:rsidRPr="00B400C8" w:rsidRDefault="00B400C8" w:rsidP="00B400C8">
      <w:pPr>
        <w:pStyle w:val="SingleTxtGR"/>
      </w:pPr>
      <w:r w:rsidRPr="00B400C8">
        <w:t>25.</w:t>
      </w:r>
      <w:r w:rsidRPr="00B400C8">
        <w:tab/>
        <w:t>Комитет выражает обеспокоенность по поводу того, что лица африка</w:t>
      </w:r>
      <w:r w:rsidRPr="00B400C8">
        <w:t>н</w:t>
      </w:r>
      <w:r w:rsidRPr="00B400C8">
        <w:t>ского происхождения, представляющие самые различные слои общества, вкл</w:t>
      </w:r>
      <w:r w:rsidRPr="00B400C8">
        <w:t>ю</w:t>
      </w:r>
      <w:r w:rsidRPr="00B400C8">
        <w:t>чая политических деятелей, футболистов и школьников, будь они гражданами или негражданами, продолжают подвергаться дискриминации в ее различных формах, включая насилие, ненавистнические высказывания, запугивание и стигматизацию. Он принимает к сведению заявление делегации госуда</w:t>
      </w:r>
      <w:r w:rsidRPr="00B400C8">
        <w:t>р</w:t>
      </w:r>
      <w:r w:rsidRPr="00B400C8">
        <w:t>ства-участника о намерении организовать в 2017 году мероприятие с целью пов</w:t>
      </w:r>
      <w:r w:rsidRPr="00B400C8">
        <w:t>ы</w:t>
      </w:r>
      <w:r w:rsidRPr="00B400C8">
        <w:t>шения уровня осведомленности широкой общественности о положении лиц а</w:t>
      </w:r>
      <w:r w:rsidRPr="00B400C8">
        <w:t>ф</w:t>
      </w:r>
      <w:r w:rsidRPr="00B400C8">
        <w:t>риканского происхождения в государстве-участнике, но по-прежнему обеспок</w:t>
      </w:r>
      <w:r w:rsidRPr="00B400C8">
        <w:t>о</w:t>
      </w:r>
      <w:r w:rsidRPr="00B400C8">
        <w:t>ен отсутствием конкретных и всеобъемлющих мер по ликвидации всех форм дискриминации в отношении этих общин (статьи 1, 2 и 5).</w:t>
      </w:r>
    </w:p>
    <w:p w:rsidR="00B400C8" w:rsidRPr="00AB0155" w:rsidRDefault="00B400C8" w:rsidP="00B400C8">
      <w:pPr>
        <w:pStyle w:val="SingleTxtGR"/>
        <w:rPr>
          <w:b/>
          <w:bCs/>
        </w:rPr>
      </w:pPr>
      <w:r w:rsidRPr="00B400C8">
        <w:t>26.</w:t>
      </w:r>
      <w:r w:rsidRPr="00B400C8">
        <w:tab/>
      </w:r>
      <w:r w:rsidRPr="00AB0155">
        <w:rPr>
          <w:b/>
        </w:rPr>
        <w:t>Ссылаясь на свою общую рекомендацию № 34 (2011) о расовой ди</w:t>
      </w:r>
      <w:r w:rsidRPr="00AB0155">
        <w:rPr>
          <w:b/>
        </w:rPr>
        <w:t>с</w:t>
      </w:r>
      <w:r w:rsidRPr="00AB0155">
        <w:rPr>
          <w:b/>
        </w:rPr>
        <w:t>криминации в отношении лиц африканского происхождения, Комитет р</w:t>
      </w:r>
      <w:r w:rsidRPr="00AB0155">
        <w:rPr>
          <w:b/>
        </w:rPr>
        <w:t>е</w:t>
      </w:r>
      <w:r w:rsidRPr="00AB0155">
        <w:rPr>
          <w:b/>
        </w:rPr>
        <w:t xml:space="preserve">комендует государству-участнику: </w:t>
      </w:r>
    </w:p>
    <w:p w:rsidR="00B400C8" w:rsidRPr="00AB0155" w:rsidRDefault="00AB0155" w:rsidP="00B400C8">
      <w:pPr>
        <w:pStyle w:val="SingleTxtGR"/>
        <w:rPr>
          <w:b/>
          <w:bCs/>
        </w:rPr>
      </w:pPr>
      <w:r>
        <w:rPr>
          <w:b/>
        </w:rPr>
        <w:tab/>
      </w:r>
      <w:r w:rsidR="00B400C8" w:rsidRPr="00AB0155">
        <w:rPr>
          <w:b/>
        </w:rPr>
        <w:t>a)</w:t>
      </w:r>
      <w:r w:rsidR="00B400C8" w:rsidRPr="00AB0155">
        <w:rPr>
          <w:b/>
        </w:rPr>
        <w:tab/>
        <w:t>расследовать все акты расовой дискриминации в отношении лиц африканского происхождения, будь они гражданами или неграждан</w:t>
      </w:r>
      <w:r w:rsidR="00B400C8" w:rsidRPr="00AB0155">
        <w:rPr>
          <w:b/>
        </w:rPr>
        <w:t>а</w:t>
      </w:r>
      <w:r w:rsidR="00B400C8" w:rsidRPr="00AB0155">
        <w:rPr>
          <w:b/>
        </w:rPr>
        <w:t>ми, преследовать или привлекать к судебной ответственности тех, кто с</w:t>
      </w:r>
      <w:r w:rsidR="00B400C8" w:rsidRPr="00AB0155">
        <w:rPr>
          <w:b/>
        </w:rPr>
        <w:t>о</w:t>
      </w:r>
      <w:r w:rsidR="00B400C8" w:rsidRPr="00AB0155">
        <w:rPr>
          <w:b/>
        </w:rPr>
        <w:t>вершает нарушения, и предоставлять жертвам эффективные средства пр</w:t>
      </w:r>
      <w:r w:rsidR="00B400C8" w:rsidRPr="00AB0155">
        <w:rPr>
          <w:b/>
        </w:rPr>
        <w:t>а</w:t>
      </w:r>
      <w:r w:rsidR="00B400C8" w:rsidRPr="00AB0155">
        <w:rPr>
          <w:b/>
        </w:rPr>
        <w:t>вовой з</w:t>
      </w:r>
      <w:r w:rsidR="00B400C8" w:rsidRPr="00AB0155">
        <w:rPr>
          <w:b/>
        </w:rPr>
        <w:t>а</w:t>
      </w:r>
      <w:r w:rsidR="00B400C8" w:rsidRPr="00AB0155">
        <w:rPr>
          <w:b/>
        </w:rPr>
        <w:t>щиты;</w:t>
      </w:r>
    </w:p>
    <w:p w:rsidR="00B400C8" w:rsidRPr="00AB0155" w:rsidRDefault="00AB0155" w:rsidP="00B400C8">
      <w:pPr>
        <w:pStyle w:val="SingleTxtGR"/>
        <w:rPr>
          <w:b/>
          <w:bCs/>
        </w:rPr>
      </w:pPr>
      <w:r>
        <w:rPr>
          <w:b/>
        </w:rPr>
        <w:tab/>
      </w:r>
      <w:r w:rsidR="00B400C8" w:rsidRPr="00AB0155">
        <w:rPr>
          <w:b/>
        </w:rPr>
        <w:t>b)</w:t>
      </w:r>
      <w:r w:rsidR="00B400C8" w:rsidRPr="00AB0155">
        <w:rPr>
          <w:b/>
        </w:rPr>
        <w:tab/>
        <w:t>собирать и публиковать данные о случаях дискриминации лиц африканского происхождения в государстве-участнике, количестве рассл</w:t>
      </w:r>
      <w:r w:rsidR="00B400C8" w:rsidRPr="00AB0155">
        <w:rPr>
          <w:b/>
        </w:rPr>
        <w:t>е</w:t>
      </w:r>
      <w:r w:rsidR="00B400C8" w:rsidRPr="00AB0155">
        <w:rPr>
          <w:b/>
        </w:rPr>
        <w:t>дований, возбужденных дел и вынесенных обвинительных приговоров, а</w:t>
      </w:r>
      <w:r>
        <w:rPr>
          <w:b/>
        </w:rPr>
        <w:t> </w:t>
      </w:r>
      <w:r w:rsidR="00B400C8" w:rsidRPr="00AB0155">
        <w:rPr>
          <w:b/>
        </w:rPr>
        <w:t>также о результатах гражданского и административного судопроизво</w:t>
      </w:r>
      <w:r w:rsidR="00B400C8" w:rsidRPr="00AB0155">
        <w:rPr>
          <w:b/>
        </w:rPr>
        <w:t>д</w:t>
      </w:r>
      <w:r w:rsidR="00B400C8" w:rsidRPr="00AB0155">
        <w:rPr>
          <w:b/>
        </w:rPr>
        <w:t>ства;</w:t>
      </w:r>
    </w:p>
    <w:p w:rsidR="00B400C8" w:rsidRPr="00AB0155" w:rsidRDefault="00AB0155" w:rsidP="00B400C8">
      <w:pPr>
        <w:pStyle w:val="SingleTxtGR"/>
        <w:rPr>
          <w:b/>
          <w:bCs/>
        </w:rPr>
      </w:pPr>
      <w:r>
        <w:rPr>
          <w:b/>
        </w:rPr>
        <w:tab/>
      </w:r>
      <w:r w:rsidR="00B400C8" w:rsidRPr="00AB0155">
        <w:rPr>
          <w:b/>
        </w:rPr>
        <w:t>с)</w:t>
      </w:r>
      <w:r w:rsidR="00B400C8" w:rsidRPr="00AB0155">
        <w:rPr>
          <w:b/>
        </w:rPr>
        <w:tab/>
        <w:t>принять всеобъемлющие и конкретные меры для борьбы с дискриминацией лиц африканского происхождения, в том числе в конте</w:t>
      </w:r>
      <w:r w:rsidR="00B400C8" w:rsidRPr="00AB0155">
        <w:rPr>
          <w:b/>
        </w:rPr>
        <w:t>к</w:t>
      </w:r>
      <w:r w:rsidR="00B400C8" w:rsidRPr="00AB0155">
        <w:rPr>
          <w:b/>
        </w:rPr>
        <w:t>сте национального плана действий по борьбе против расизма, ксенофобии и связанной с ними н</w:t>
      </w:r>
      <w:r w:rsidR="00B400C8" w:rsidRPr="00AB0155">
        <w:rPr>
          <w:b/>
        </w:rPr>
        <w:t>е</w:t>
      </w:r>
      <w:r w:rsidR="00B400C8" w:rsidRPr="00AB0155">
        <w:rPr>
          <w:b/>
        </w:rPr>
        <w:t xml:space="preserve">терпимости; </w:t>
      </w:r>
    </w:p>
    <w:p w:rsidR="00B400C8" w:rsidRPr="00AB0155" w:rsidRDefault="00AB0155" w:rsidP="00B400C8">
      <w:pPr>
        <w:pStyle w:val="SingleTxtGR"/>
        <w:rPr>
          <w:b/>
          <w:bCs/>
        </w:rPr>
      </w:pPr>
      <w:r>
        <w:rPr>
          <w:b/>
        </w:rPr>
        <w:tab/>
      </w:r>
      <w:r w:rsidR="00B400C8" w:rsidRPr="00AB0155">
        <w:rPr>
          <w:b/>
        </w:rPr>
        <w:t>d)</w:t>
      </w:r>
      <w:r w:rsidR="00B400C8" w:rsidRPr="00AB0155">
        <w:rPr>
          <w:b/>
        </w:rPr>
        <w:tab/>
        <w:t>обеспечить, чтобы в школах имелись преподаватели африка</w:t>
      </w:r>
      <w:r w:rsidR="00B400C8" w:rsidRPr="00AB0155">
        <w:rPr>
          <w:b/>
        </w:rPr>
        <w:t>н</w:t>
      </w:r>
      <w:r w:rsidR="00B400C8" w:rsidRPr="00AB0155">
        <w:rPr>
          <w:b/>
        </w:rPr>
        <w:t>ского происхождения и чтобы все преподаватели и другие лица, работа</w:t>
      </w:r>
      <w:r w:rsidR="00B400C8" w:rsidRPr="00AB0155">
        <w:rPr>
          <w:b/>
        </w:rPr>
        <w:t>ю</w:t>
      </w:r>
      <w:r w:rsidR="00B400C8" w:rsidRPr="00AB0155">
        <w:rPr>
          <w:b/>
        </w:rPr>
        <w:t>щие в учебных заведениях, проходили надлежащую подготовку, посвяще</w:t>
      </w:r>
      <w:r w:rsidR="00B400C8" w:rsidRPr="00AB0155">
        <w:rPr>
          <w:b/>
        </w:rPr>
        <w:t>н</w:t>
      </w:r>
      <w:r w:rsidR="00B400C8" w:rsidRPr="00AB0155">
        <w:rPr>
          <w:b/>
        </w:rPr>
        <w:t>ную принципам равенства и недискриминации, а также мерам, подлеж</w:t>
      </w:r>
      <w:r w:rsidR="00B400C8" w:rsidRPr="00AB0155">
        <w:rPr>
          <w:b/>
        </w:rPr>
        <w:t>а</w:t>
      </w:r>
      <w:r w:rsidR="00B400C8" w:rsidRPr="00AB0155">
        <w:rPr>
          <w:b/>
        </w:rPr>
        <w:t>щим принятию в случаях р</w:t>
      </w:r>
      <w:r w:rsidR="00B400C8" w:rsidRPr="00AB0155">
        <w:rPr>
          <w:b/>
        </w:rPr>
        <w:t>а</w:t>
      </w:r>
      <w:r w:rsidR="00B400C8" w:rsidRPr="00AB0155">
        <w:rPr>
          <w:b/>
        </w:rPr>
        <w:t xml:space="preserve">совой дискриминации в школах; </w:t>
      </w:r>
    </w:p>
    <w:p w:rsidR="00B400C8" w:rsidRPr="00AB0155" w:rsidRDefault="00AB0155" w:rsidP="00B400C8">
      <w:pPr>
        <w:pStyle w:val="SingleTxtGR"/>
        <w:rPr>
          <w:b/>
          <w:bCs/>
        </w:rPr>
      </w:pPr>
      <w:r>
        <w:rPr>
          <w:b/>
        </w:rPr>
        <w:tab/>
      </w:r>
      <w:r w:rsidR="00B400C8" w:rsidRPr="00AB0155">
        <w:rPr>
          <w:b/>
        </w:rPr>
        <w:t>e)</w:t>
      </w:r>
      <w:r w:rsidR="00B400C8" w:rsidRPr="00AB0155">
        <w:rPr>
          <w:b/>
        </w:rPr>
        <w:tab/>
        <w:t>обеспечить, чтобы школьные учебные программы предусма</w:t>
      </w:r>
      <w:r w:rsidR="00B400C8" w:rsidRPr="00AB0155">
        <w:rPr>
          <w:b/>
        </w:rPr>
        <w:t>т</w:t>
      </w:r>
      <w:r w:rsidR="00B400C8" w:rsidRPr="00AB0155">
        <w:rPr>
          <w:b/>
        </w:rPr>
        <w:t>ривали изучение истории колониального прошлого государства-участника, с тем чтобы учащиеся знали о последствиях и продолжающемся негати</w:t>
      </w:r>
      <w:r w:rsidR="00B400C8" w:rsidRPr="00AB0155">
        <w:rPr>
          <w:b/>
        </w:rPr>
        <w:t>в</w:t>
      </w:r>
      <w:r w:rsidR="00B400C8" w:rsidRPr="00AB0155">
        <w:rPr>
          <w:b/>
        </w:rPr>
        <w:t>ном воздействии</w:t>
      </w:r>
      <w:r>
        <w:rPr>
          <w:b/>
        </w:rPr>
        <w:t xml:space="preserve"> политики расовой дискриминации</w:t>
      </w:r>
      <w:r w:rsidR="00B400C8" w:rsidRPr="00AB0155">
        <w:rPr>
          <w:b/>
        </w:rPr>
        <w:t xml:space="preserve">; </w:t>
      </w:r>
    </w:p>
    <w:p w:rsidR="00B400C8" w:rsidRPr="00B400C8" w:rsidRDefault="00AB0155" w:rsidP="00B400C8">
      <w:pPr>
        <w:pStyle w:val="SingleTxtGR"/>
      </w:pPr>
      <w:r>
        <w:rPr>
          <w:b/>
        </w:rPr>
        <w:tab/>
      </w:r>
      <w:r w:rsidR="00B400C8" w:rsidRPr="00AB0155">
        <w:rPr>
          <w:b/>
        </w:rPr>
        <w:t>f)</w:t>
      </w:r>
      <w:r w:rsidR="00B400C8" w:rsidRPr="00AB0155">
        <w:rPr>
          <w:b/>
        </w:rPr>
        <w:tab/>
        <w:t>в полной мере выполнить рекомендации, вынесенные Рабочей группой экспертов по проблеме лиц африканского происхождения по ит</w:t>
      </w:r>
      <w:r w:rsidR="00B400C8" w:rsidRPr="00AB0155">
        <w:rPr>
          <w:b/>
        </w:rPr>
        <w:t>о</w:t>
      </w:r>
      <w:r w:rsidR="00B400C8" w:rsidRPr="00AB0155">
        <w:rPr>
          <w:b/>
        </w:rPr>
        <w:t xml:space="preserve">гам ее миссии в Италию в июне 2015 года (A/HRC/33/61/Add.1). </w:t>
      </w:r>
    </w:p>
    <w:p w:rsidR="00B400C8" w:rsidRPr="00B400C8" w:rsidRDefault="00B400C8" w:rsidP="00AB0155">
      <w:pPr>
        <w:pStyle w:val="H23GR"/>
      </w:pPr>
      <w:r w:rsidRPr="00B400C8">
        <w:lastRenderedPageBreak/>
        <w:tab/>
      </w:r>
      <w:r w:rsidRPr="00B400C8">
        <w:tab/>
        <w:t xml:space="preserve">Система уголовного правосудия </w:t>
      </w:r>
    </w:p>
    <w:p w:rsidR="00B400C8" w:rsidRPr="00B400C8" w:rsidRDefault="00B400C8" w:rsidP="00B400C8">
      <w:pPr>
        <w:pStyle w:val="SingleTxtGR"/>
      </w:pPr>
      <w:r w:rsidRPr="00B400C8">
        <w:t>27.</w:t>
      </w:r>
      <w:r w:rsidRPr="00B400C8">
        <w:tab/>
        <w:t>Комитет обеспокоен представленной делегацией государства-участника информацией о том, что неграждане составляют почти половину всей числе</w:t>
      </w:r>
      <w:r w:rsidRPr="00B400C8">
        <w:t>н</w:t>
      </w:r>
      <w:r w:rsidRPr="00B400C8">
        <w:t>ности заключенных. Кроме того, принимая к сведению заверения делегации государства-участника относительно отсутствия расового профилирования, К</w:t>
      </w:r>
      <w:r w:rsidRPr="00B400C8">
        <w:t>о</w:t>
      </w:r>
      <w:r w:rsidRPr="00B400C8">
        <w:t>митет, тем не менее, выражает обеспокоенность в связи с сообщениями о такой практик</w:t>
      </w:r>
      <w:r w:rsidR="009C3F04">
        <w:t>е</w:t>
      </w:r>
      <w:r w:rsidRPr="00B400C8">
        <w:t xml:space="preserve"> (статьи 1 и 5). </w:t>
      </w:r>
    </w:p>
    <w:p w:rsidR="00B400C8" w:rsidRPr="00B400C8" w:rsidRDefault="00B400C8" w:rsidP="00B400C8">
      <w:pPr>
        <w:pStyle w:val="SingleTxtGR"/>
      </w:pPr>
      <w:r w:rsidRPr="00B400C8">
        <w:t>28.</w:t>
      </w:r>
      <w:r w:rsidRPr="00B400C8">
        <w:tab/>
      </w:r>
      <w:r w:rsidRPr="009C3F04">
        <w:rPr>
          <w:b/>
        </w:rPr>
        <w:t>Комитет рекомендует государству-участнику представить в своем следующем периодическом докладе дополнительную информацию о пре</w:t>
      </w:r>
      <w:r w:rsidRPr="009C3F04">
        <w:rPr>
          <w:b/>
        </w:rPr>
        <w:t>д</w:t>
      </w:r>
      <w:r w:rsidRPr="009C3F04">
        <w:rPr>
          <w:b/>
        </w:rPr>
        <w:t>ставленности неграждан в системе уголовного правосудия в разбивке по признакам, изложенным в статье 1 Конвенции, в частности по признакам расы, цвета кожи, родового, национального или этнического происхожд</w:t>
      </w:r>
      <w:r w:rsidRPr="009C3F04">
        <w:rPr>
          <w:b/>
        </w:rPr>
        <w:t>е</w:t>
      </w:r>
      <w:r w:rsidRPr="009C3F04">
        <w:rPr>
          <w:b/>
        </w:rPr>
        <w:t>ния. Он просит государство-участник представить дополнительные раз</w:t>
      </w:r>
      <w:r w:rsidRPr="009C3F04">
        <w:rPr>
          <w:b/>
        </w:rPr>
        <w:t>ъ</w:t>
      </w:r>
      <w:r w:rsidRPr="009C3F04">
        <w:rPr>
          <w:b/>
        </w:rPr>
        <w:t>яснения в отношении причин непропорционально высокой представленн</w:t>
      </w:r>
      <w:r w:rsidRPr="009C3F04">
        <w:rPr>
          <w:b/>
        </w:rPr>
        <w:t>о</w:t>
      </w:r>
      <w:r w:rsidRPr="009C3F04">
        <w:rPr>
          <w:b/>
        </w:rPr>
        <w:t>сти неграждан в его тюрьмах и мер, принятых в целях исправления этой ситуации. Он также рекомендует государству-участнику запретить пра</w:t>
      </w:r>
      <w:r w:rsidRPr="009C3F04">
        <w:rPr>
          <w:b/>
        </w:rPr>
        <w:t>к</w:t>
      </w:r>
      <w:r w:rsidRPr="009C3F04">
        <w:rPr>
          <w:b/>
        </w:rPr>
        <w:t>тику расового профилирования и обеспечить, чтобы этот запрет в полной мере соблюда</w:t>
      </w:r>
      <w:r w:rsidR="005A3671">
        <w:rPr>
          <w:b/>
        </w:rPr>
        <w:t>л</w:t>
      </w:r>
      <w:r w:rsidRPr="009C3F04">
        <w:rPr>
          <w:b/>
        </w:rPr>
        <w:t>ся всеми правоохранительными о</w:t>
      </w:r>
      <w:r w:rsidRPr="009C3F04">
        <w:rPr>
          <w:b/>
        </w:rPr>
        <w:t>р</w:t>
      </w:r>
      <w:r w:rsidRPr="009C3F04">
        <w:rPr>
          <w:b/>
        </w:rPr>
        <w:t>ганами.</w:t>
      </w:r>
    </w:p>
    <w:p w:rsidR="00B400C8" w:rsidRPr="00B400C8" w:rsidRDefault="009C3F04" w:rsidP="009C3F04">
      <w:pPr>
        <w:pStyle w:val="H1GR"/>
      </w:pPr>
      <w:r>
        <w:tab/>
      </w:r>
      <w:r w:rsidR="00B400C8" w:rsidRPr="00B400C8">
        <w:t>D.</w:t>
      </w:r>
      <w:r w:rsidR="00B400C8" w:rsidRPr="00B400C8">
        <w:tab/>
        <w:t>Прочие рекомендации</w:t>
      </w:r>
    </w:p>
    <w:p w:rsidR="00B400C8" w:rsidRPr="00B400C8" w:rsidRDefault="00B400C8" w:rsidP="009C3F04">
      <w:pPr>
        <w:pStyle w:val="H23GR"/>
      </w:pPr>
      <w:r w:rsidRPr="00B400C8">
        <w:tab/>
      </w:r>
      <w:r w:rsidRPr="00B400C8">
        <w:tab/>
        <w:t>Ратификация других договоров</w:t>
      </w:r>
    </w:p>
    <w:p w:rsidR="00B400C8" w:rsidRPr="00B400C8" w:rsidRDefault="00B400C8" w:rsidP="00B400C8">
      <w:pPr>
        <w:pStyle w:val="SingleTxtGR"/>
      </w:pPr>
      <w:r w:rsidRPr="00B400C8">
        <w:t>29.</w:t>
      </w:r>
      <w:r w:rsidRPr="00B400C8">
        <w:tab/>
      </w:r>
      <w:r w:rsidRPr="009C3F04">
        <w:rPr>
          <w:b/>
        </w:rPr>
        <w:t>Памятуя о неделимости всех прав ч</w:t>
      </w:r>
      <w:r w:rsidR="009C3F04">
        <w:rPr>
          <w:b/>
        </w:rPr>
        <w:t>еловека, Комитет призывает гос</w:t>
      </w:r>
      <w:r w:rsidR="009C3F04">
        <w:rPr>
          <w:b/>
        </w:rPr>
        <w:t>у</w:t>
      </w:r>
      <w:r w:rsidRPr="009C3F04">
        <w:rPr>
          <w:b/>
        </w:rPr>
        <w:t>дарство-участник рассмо</w:t>
      </w:r>
      <w:r w:rsidRPr="009C3F04">
        <w:rPr>
          <w:b/>
        </w:rPr>
        <w:t>т</w:t>
      </w:r>
      <w:r w:rsidRPr="009C3F04">
        <w:rPr>
          <w:b/>
        </w:rPr>
        <w:t>реть вопрос о ратификации международных до-говоров о правах человека, которые оно еще не ратифицировало, особенно договоров, чьи положения имеют прямое отношение к общинам, которые могут подвергаться расовой дискриминации, включая Международную конвенцию о защите прав всех труд</w:t>
      </w:r>
      <w:r w:rsidRPr="009C3F04">
        <w:rPr>
          <w:b/>
        </w:rPr>
        <w:t>я</w:t>
      </w:r>
      <w:r w:rsidRPr="009C3F04">
        <w:rPr>
          <w:b/>
        </w:rPr>
        <w:t>щихся-мигрантов и членов их семей.</w:t>
      </w:r>
      <w:r w:rsidRPr="00B400C8">
        <w:t xml:space="preserve"> </w:t>
      </w:r>
    </w:p>
    <w:p w:rsidR="00B400C8" w:rsidRPr="00B400C8" w:rsidRDefault="00B400C8" w:rsidP="009C3F04">
      <w:pPr>
        <w:pStyle w:val="H23GR"/>
      </w:pPr>
      <w:r w:rsidRPr="00B400C8">
        <w:tab/>
      </w:r>
      <w:r w:rsidRPr="00B400C8">
        <w:tab/>
        <w:t>Последующие меры в связи с Дурбанской декларацией и Программой действий</w:t>
      </w:r>
    </w:p>
    <w:p w:rsidR="00B400C8" w:rsidRPr="00B400C8" w:rsidRDefault="00B400C8" w:rsidP="00B400C8">
      <w:pPr>
        <w:pStyle w:val="SingleTxtGR"/>
      </w:pPr>
      <w:r w:rsidRPr="00B400C8">
        <w:t>30.</w:t>
      </w:r>
      <w:r w:rsidRPr="00B400C8">
        <w:tab/>
      </w:r>
      <w:r w:rsidRPr="009C3F04">
        <w:rPr>
          <w:b/>
        </w:rPr>
        <w:t>В свете своей общей рекомендации № 33 (2009) о последующих мерах в связи с Конференцией по обзору Дурбанского процесса Комитет рекоме</w:t>
      </w:r>
      <w:r w:rsidRPr="009C3F04">
        <w:rPr>
          <w:b/>
        </w:rPr>
        <w:t>н</w:t>
      </w:r>
      <w:r w:rsidRPr="009C3F04">
        <w:rPr>
          <w:b/>
        </w:rPr>
        <w:t>дует государству-участнику при осуществлении Конвенции в рамках своего национального правового режима предпринять шаги по выполнению Ду</w:t>
      </w:r>
      <w:r w:rsidRPr="009C3F04">
        <w:rPr>
          <w:b/>
        </w:rPr>
        <w:t>р</w:t>
      </w:r>
      <w:r w:rsidRPr="009C3F04">
        <w:rPr>
          <w:b/>
        </w:rPr>
        <w:t>банской декларации и Программы действий, принятых в сентябре 2001 г</w:t>
      </w:r>
      <w:r w:rsidRPr="009C3F04">
        <w:rPr>
          <w:b/>
        </w:rPr>
        <w:t>о</w:t>
      </w:r>
      <w:r w:rsidRPr="009C3F04">
        <w:rPr>
          <w:b/>
        </w:rPr>
        <w:t>да Всемирной конференцией по борьбе против расизма, расовой дискрим</w:t>
      </w:r>
      <w:r w:rsidRPr="009C3F04">
        <w:rPr>
          <w:b/>
        </w:rPr>
        <w:t>и</w:t>
      </w:r>
      <w:r w:rsidRPr="009C3F04">
        <w:rPr>
          <w:b/>
        </w:rPr>
        <w:t>нации, ксенофобии и связанной с ними нетерпимости, учитывая при этом итоговый документ Конференции по обзору Дурбанского процесса, сост</w:t>
      </w:r>
      <w:r w:rsidRPr="009C3F04">
        <w:rPr>
          <w:b/>
        </w:rPr>
        <w:t>о</w:t>
      </w:r>
      <w:r w:rsidRPr="009C3F04">
        <w:rPr>
          <w:b/>
        </w:rPr>
        <w:t>явшейся в Женеве в апреле 2009 года. Комитет просит государство-участник включить в свой следующий периодический доклад конкретную информацию о планах действий и других принятых мерах по осуществл</w:t>
      </w:r>
      <w:r w:rsidRPr="009C3F04">
        <w:rPr>
          <w:b/>
        </w:rPr>
        <w:t>е</w:t>
      </w:r>
      <w:r w:rsidRPr="009C3F04">
        <w:rPr>
          <w:b/>
        </w:rPr>
        <w:t>нию Дурбанской декларации и Программы действий на национальном уровне.</w:t>
      </w:r>
      <w:r w:rsidRPr="00B400C8">
        <w:t xml:space="preserve"> </w:t>
      </w:r>
    </w:p>
    <w:p w:rsidR="00B400C8" w:rsidRPr="00B400C8" w:rsidRDefault="00B400C8" w:rsidP="009C3F04">
      <w:pPr>
        <w:pStyle w:val="H23GR"/>
      </w:pPr>
      <w:r w:rsidRPr="00B400C8">
        <w:tab/>
      </w:r>
      <w:r w:rsidRPr="00B400C8">
        <w:tab/>
        <w:t>Международное десятилетие</w:t>
      </w:r>
      <w:r w:rsidR="009C3F04">
        <w:t xml:space="preserve"> лиц африканского происхождения</w:t>
      </w:r>
    </w:p>
    <w:p w:rsidR="00B400C8" w:rsidRPr="00B400C8" w:rsidRDefault="00B400C8" w:rsidP="00B400C8">
      <w:pPr>
        <w:pStyle w:val="SingleTxtGR"/>
      </w:pPr>
      <w:r w:rsidRPr="00B400C8">
        <w:t>31.</w:t>
      </w:r>
      <w:r w:rsidRPr="00B400C8">
        <w:tab/>
      </w:r>
      <w:r w:rsidRPr="009C3F04">
        <w:rPr>
          <w:b/>
        </w:rPr>
        <w:t>В свете резолюции 68/237 Генеральной Ассамблеи, в которой Асса</w:t>
      </w:r>
      <w:r w:rsidRPr="009C3F04">
        <w:rPr>
          <w:b/>
        </w:rPr>
        <w:t>м</w:t>
      </w:r>
      <w:r w:rsidRPr="009C3F04">
        <w:rPr>
          <w:b/>
        </w:rPr>
        <w:t>блея провозгласила 2015–2024 годы Международным десятилетием лиц африканского происхождения, и резолюции 69/16 Ассамблеи о программе мероприятий по проведению Десятилетия Комитет рекомендует госуда</w:t>
      </w:r>
      <w:r w:rsidRPr="009C3F04">
        <w:rPr>
          <w:b/>
        </w:rPr>
        <w:t>р</w:t>
      </w:r>
      <w:r w:rsidRPr="009C3F04">
        <w:rPr>
          <w:b/>
        </w:rPr>
        <w:t>ству-участнику подготовить и реализовать соответствующую программу мер и политических действий. Комитет просит государство-участник включить в свой следующий периодический доклад точную информацию о конкретных мерах, принятых в этих рамках, принимая во внимание его общую рекомендацию № 34 (2011), касающуюся р</w:t>
      </w:r>
      <w:r w:rsidRPr="009C3F04">
        <w:rPr>
          <w:b/>
        </w:rPr>
        <w:t>а</w:t>
      </w:r>
      <w:r w:rsidRPr="009C3F04">
        <w:rPr>
          <w:b/>
        </w:rPr>
        <w:t>совой дискриминации в отношении лиц африканского происхождения.</w:t>
      </w:r>
      <w:r w:rsidRPr="00B400C8">
        <w:t xml:space="preserve"> </w:t>
      </w:r>
    </w:p>
    <w:p w:rsidR="00B400C8" w:rsidRPr="00B400C8" w:rsidRDefault="00B400C8" w:rsidP="009C3F04">
      <w:pPr>
        <w:pStyle w:val="H23GR"/>
      </w:pPr>
      <w:r w:rsidRPr="00B400C8">
        <w:lastRenderedPageBreak/>
        <w:tab/>
      </w:r>
      <w:r w:rsidRPr="00B400C8">
        <w:tab/>
        <w:t>Консультации с гражданским обществом</w:t>
      </w:r>
    </w:p>
    <w:p w:rsidR="00B400C8" w:rsidRPr="00B400C8" w:rsidRDefault="00B400C8" w:rsidP="00B400C8">
      <w:pPr>
        <w:pStyle w:val="SingleTxtGR"/>
      </w:pPr>
      <w:r w:rsidRPr="00B400C8">
        <w:t>32.</w:t>
      </w:r>
      <w:r w:rsidRPr="00B400C8">
        <w:tab/>
      </w:r>
      <w:r w:rsidRPr="009C3F04">
        <w:rPr>
          <w:b/>
        </w:rPr>
        <w:t>Комитет рекомендует государству-участнику продолжать проводить консультации и расширить свой диалог с организациями гражданского общества, занимающимися защитой прав человека, в частности с теми, к</w:t>
      </w:r>
      <w:r w:rsidRPr="009C3F04">
        <w:rPr>
          <w:b/>
        </w:rPr>
        <w:t>о</w:t>
      </w:r>
      <w:r w:rsidRPr="009C3F04">
        <w:rPr>
          <w:b/>
        </w:rPr>
        <w:t>торые ведут борьбу с расовой дискриминацией, в рамках подготовки сл</w:t>
      </w:r>
      <w:r w:rsidRPr="009C3F04">
        <w:rPr>
          <w:b/>
        </w:rPr>
        <w:t>е</w:t>
      </w:r>
      <w:r w:rsidRPr="009C3F04">
        <w:rPr>
          <w:b/>
        </w:rPr>
        <w:t>дующего периодического доклада и осуществления последующей деятел</w:t>
      </w:r>
      <w:r w:rsidRPr="009C3F04">
        <w:rPr>
          <w:b/>
        </w:rPr>
        <w:t>ь</w:t>
      </w:r>
      <w:r w:rsidRPr="009C3F04">
        <w:rPr>
          <w:b/>
        </w:rPr>
        <w:t>ности в связи с настоящими заключител</w:t>
      </w:r>
      <w:r w:rsidRPr="009C3F04">
        <w:rPr>
          <w:b/>
        </w:rPr>
        <w:t>ь</w:t>
      </w:r>
      <w:r w:rsidRPr="009C3F04">
        <w:rPr>
          <w:b/>
        </w:rPr>
        <w:t>ными замечаниями.</w:t>
      </w:r>
    </w:p>
    <w:p w:rsidR="00B400C8" w:rsidRPr="00B400C8" w:rsidRDefault="00B400C8" w:rsidP="009C3F04">
      <w:pPr>
        <w:pStyle w:val="H23GR"/>
      </w:pPr>
      <w:r w:rsidRPr="00B400C8">
        <w:tab/>
      </w:r>
      <w:r w:rsidRPr="00B400C8">
        <w:tab/>
        <w:t>Последующие меры в связи с настоящими заключительными замечаниями</w:t>
      </w:r>
    </w:p>
    <w:p w:rsidR="00B400C8" w:rsidRPr="00B400C8" w:rsidRDefault="00B400C8" w:rsidP="00B400C8">
      <w:pPr>
        <w:pStyle w:val="SingleTxtGR"/>
      </w:pPr>
      <w:r w:rsidRPr="00B400C8">
        <w:t>33.</w:t>
      </w:r>
      <w:r w:rsidRPr="00B400C8">
        <w:tab/>
      </w:r>
      <w:r w:rsidRPr="009C3F04">
        <w:rPr>
          <w:b/>
        </w:rPr>
        <w:t>В соответствии с пунктом 1 статьи 9 Конвенции и правилом 65 своих правил процедуры Комитет просит государство-участник представить в течение одного года после принятия настоящих заключительных замеч</w:t>
      </w:r>
      <w:r w:rsidRPr="009C3F04">
        <w:rPr>
          <w:b/>
        </w:rPr>
        <w:t>а</w:t>
      </w:r>
      <w:r w:rsidRPr="009C3F04">
        <w:rPr>
          <w:b/>
        </w:rPr>
        <w:t>ний информацию о выполнении им рекомендаций, содержащихся выше в пунктах 17 a) (преступления на почве расовой ненависти), 22 a) и b) (о</w:t>
      </w:r>
      <w:r w:rsidRPr="009C3F04">
        <w:rPr>
          <w:b/>
        </w:rPr>
        <w:t>б</w:t>
      </w:r>
      <w:r w:rsidRPr="009C3F04">
        <w:rPr>
          <w:b/>
        </w:rPr>
        <w:t>щины рома, синти и камминанти) и 20 b) и g) (смешанные миграционные потоки: мигранты, просители убежища и беженцы).</w:t>
      </w:r>
      <w:r w:rsidRPr="00B400C8">
        <w:t xml:space="preserve"> </w:t>
      </w:r>
    </w:p>
    <w:p w:rsidR="00B400C8" w:rsidRPr="00B400C8" w:rsidRDefault="00B400C8" w:rsidP="009C3F04">
      <w:pPr>
        <w:pStyle w:val="H23GR"/>
      </w:pPr>
      <w:r w:rsidRPr="00B400C8">
        <w:tab/>
      </w:r>
      <w:r w:rsidRPr="00B400C8">
        <w:tab/>
        <w:t>Пункты, имеющие особое значение</w:t>
      </w:r>
    </w:p>
    <w:p w:rsidR="00B400C8" w:rsidRPr="00B400C8" w:rsidRDefault="00B400C8" w:rsidP="00B400C8">
      <w:pPr>
        <w:pStyle w:val="SingleTxtGR"/>
      </w:pPr>
      <w:r w:rsidRPr="00B400C8">
        <w:t>34.</w:t>
      </w:r>
      <w:r w:rsidRPr="00B400C8">
        <w:tab/>
      </w:r>
      <w:r w:rsidRPr="009C3F04">
        <w:rPr>
          <w:b/>
        </w:rPr>
        <w:t>Комитет хотел бы обратить внимание государства-участника на ос</w:t>
      </w:r>
      <w:r w:rsidRPr="009C3F04">
        <w:rPr>
          <w:b/>
        </w:rPr>
        <w:t>о</w:t>
      </w:r>
      <w:r w:rsidRPr="009C3F04">
        <w:rPr>
          <w:b/>
        </w:rPr>
        <w:t>бое значение рекомендаций, содержащихся выше в пунктах 15 (ненавис</w:t>
      </w:r>
      <w:r w:rsidRPr="009C3F04">
        <w:rPr>
          <w:b/>
        </w:rPr>
        <w:t>т</w:t>
      </w:r>
      <w:r w:rsidRPr="009C3F04">
        <w:rPr>
          <w:b/>
        </w:rPr>
        <w:t>нические высказывания расистского толка), 20 (смешанные миграцио</w:t>
      </w:r>
      <w:r w:rsidRPr="009C3F04">
        <w:rPr>
          <w:b/>
        </w:rPr>
        <w:t>н</w:t>
      </w:r>
      <w:r w:rsidRPr="009C3F04">
        <w:rPr>
          <w:b/>
        </w:rPr>
        <w:t>ные потоки: мигранты, просители убежища и беженцы) и 24 (положение трудящихся-мигрантов), и просит государство-участник представить в св</w:t>
      </w:r>
      <w:r w:rsidRPr="009C3F04">
        <w:rPr>
          <w:b/>
        </w:rPr>
        <w:t>о</w:t>
      </w:r>
      <w:r w:rsidRPr="009C3F04">
        <w:rPr>
          <w:b/>
        </w:rPr>
        <w:t>ем следующем периодическом докладе подробную информацию о конкре</w:t>
      </w:r>
      <w:r w:rsidRPr="009C3F04">
        <w:rPr>
          <w:b/>
        </w:rPr>
        <w:t>т</w:t>
      </w:r>
      <w:r w:rsidRPr="009C3F04">
        <w:rPr>
          <w:b/>
        </w:rPr>
        <w:t>ных мерах, прин</w:t>
      </w:r>
      <w:r w:rsidRPr="009C3F04">
        <w:rPr>
          <w:b/>
        </w:rPr>
        <w:t>я</w:t>
      </w:r>
      <w:r w:rsidRPr="009C3F04">
        <w:rPr>
          <w:b/>
        </w:rPr>
        <w:t xml:space="preserve">тых для выполнения этих рекомендаций. </w:t>
      </w:r>
    </w:p>
    <w:p w:rsidR="00B400C8" w:rsidRPr="00B400C8" w:rsidRDefault="00B400C8" w:rsidP="009C3F04">
      <w:pPr>
        <w:pStyle w:val="H23GR"/>
      </w:pPr>
      <w:r w:rsidRPr="00B400C8">
        <w:tab/>
      </w:r>
      <w:r w:rsidRPr="00B400C8">
        <w:tab/>
        <w:t>Распространение информации</w:t>
      </w:r>
    </w:p>
    <w:p w:rsidR="00B400C8" w:rsidRPr="00B400C8" w:rsidRDefault="00B400C8" w:rsidP="00B400C8">
      <w:pPr>
        <w:pStyle w:val="SingleTxtGR"/>
      </w:pPr>
      <w:r w:rsidRPr="00B400C8">
        <w:t>35.</w:t>
      </w:r>
      <w:r w:rsidRPr="00B400C8">
        <w:tab/>
      </w:r>
      <w:r w:rsidRPr="009C3F04">
        <w:rPr>
          <w:b/>
        </w:rPr>
        <w:t>Комитет рекомендует обеспечить, чтобы доклады государства-участника имелись в наличии и были доступны для общественности в м</w:t>
      </w:r>
      <w:r w:rsidRPr="009C3F04">
        <w:rPr>
          <w:b/>
        </w:rPr>
        <w:t>о</w:t>
      </w:r>
      <w:r w:rsidRPr="009C3F04">
        <w:rPr>
          <w:b/>
        </w:rPr>
        <w:t>мент их представления и чтобы заключительные замечания Комитета по этим докладам также в надлежащем порядке доводились до всеобщего св</w:t>
      </w:r>
      <w:r w:rsidRPr="009C3F04">
        <w:rPr>
          <w:b/>
        </w:rPr>
        <w:t>е</w:t>
      </w:r>
      <w:r w:rsidRPr="009C3F04">
        <w:rPr>
          <w:b/>
        </w:rPr>
        <w:t>дения на офиц</w:t>
      </w:r>
      <w:r w:rsidRPr="009C3F04">
        <w:rPr>
          <w:b/>
        </w:rPr>
        <w:t>и</w:t>
      </w:r>
      <w:r w:rsidRPr="009C3F04">
        <w:rPr>
          <w:b/>
        </w:rPr>
        <w:t xml:space="preserve">альном и других широко используемых языках. </w:t>
      </w:r>
    </w:p>
    <w:p w:rsidR="00B400C8" w:rsidRPr="00B400C8" w:rsidRDefault="00B400C8" w:rsidP="009C3F04">
      <w:pPr>
        <w:pStyle w:val="H23GR"/>
      </w:pPr>
      <w:r w:rsidRPr="00B400C8">
        <w:tab/>
      </w:r>
      <w:r w:rsidRPr="00B400C8">
        <w:tab/>
        <w:t>Подготовка следующего периодического доклада</w:t>
      </w:r>
    </w:p>
    <w:p w:rsidR="00B400C8" w:rsidRPr="00B400C8" w:rsidRDefault="00B400C8" w:rsidP="00B400C8">
      <w:pPr>
        <w:pStyle w:val="SingleTxtGR"/>
      </w:pPr>
      <w:r w:rsidRPr="00B400C8">
        <w:t>36.</w:t>
      </w:r>
      <w:r w:rsidRPr="00B400C8">
        <w:tab/>
      </w:r>
      <w:r w:rsidRPr="009C3F04">
        <w:rPr>
          <w:b/>
        </w:rPr>
        <w:t>Комитет рекомендует государству-участнику представить свой дв</w:t>
      </w:r>
      <w:r w:rsidRPr="009C3F04">
        <w:rPr>
          <w:b/>
        </w:rPr>
        <w:t>а</w:t>
      </w:r>
      <w:r w:rsidRPr="009C3F04">
        <w:rPr>
          <w:b/>
        </w:rPr>
        <w:t>дцать первый периодический доклад к 4 февраля 2019 года, приняв во внимание руководящие принципы подготовки и представления докладов, утвержденные К</w:t>
      </w:r>
      <w:r w:rsidRPr="009C3F04">
        <w:rPr>
          <w:b/>
        </w:rPr>
        <w:t>о</w:t>
      </w:r>
      <w:r w:rsidRPr="009C3F04">
        <w:rPr>
          <w:b/>
        </w:rPr>
        <w:t>митетом на его семьдесят первой сессии (CERD/C/2007/1), и отразив в нем все вопросы, поднятые в настоящих заключительных з</w:t>
      </w:r>
      <w:r w:rsidRPr="009C3F04">
        <w:rPr>
          <w:b/>
        </w:rPr>
        <w:t>а</w:t>
      </w:r>
      <w:r w:rsidRPr="009C3F04">
        <w:rPr>
          <w:b/>
        </w:rPr>
        <w:t>мечаниях. В соответствии с резолюцией 68/268 Генеральной Ассамблеи К</w:t>
      </w:r>
      <w:r w:rsidRPr="009C3F04">
        <w:rPr>
          <w:b/>
        </w:rPr>
        <w:t>о</w:t>
      </w:r>
      <w:r w:rsidRPr="009C3F04">
        <w:rPr>
          <w:b/>
        </w:rPr>
        <w:t>митет настоятельно призывает государство-участник соблюдать устано</w:t>
      </w:r>
      <w:r w:rsidRPr="009C3F04">
        <w:rPr>
          <w:b/>
        </w:rPr>
        <w:t>в</w:t>
      </w:r>
      <w:r w:rsidRPr="009C3F04">
        <w:rPr>
          <w:b/>
        </w:rPr>
        <w:t>ленное для объема периодических д</w:t>
      </w:r>
      <w:r w:rsidRPr="009C3F04">
        <w:rPr>
          <w:b/>
        </w:rPr>
        <w:t>о</w:t>
      </w:r>
      <w:r w:rsidRPr="009C3F04">
        <w:rPr>
          <w:b/>
        </w:rPr>
        <w:t>кладов ограничение в 21 200 слов.</w:t>
      </w:r>
    </w:p>
    <w:p w:rsidR="00381C24" w:rsidRPr="009C3F04" w:rsidRDefault="009C3F04" w:rsidP="009C3F04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81C24" w:rsidRPr="009C3F04" w:rsidSect="00B14A88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CB6" w:rsidRPr="00A312BC" w:rsidRDefault="00281CB6" w:rsidP="00A312BC"/>
  </w:endnote>
  <w:endnote w:type="continuationSeparator" w:id="0">
    <w:p w:rsidR="00281CB6" w:rsidRPr="00A312BC" w:rsidRDefault="00281CB6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CB6" w:rsidRPr="00B14A88" w:rsidRDefault="00281CB6">
    <w:pPr>
      <w:pStyle w:val="a8"/>
    </w:pPr>
    <w:r w:rsidRPr="00B14A88">
      <w:rPr>
        <w:b/>
        <w:sz w:val="18"/>
      </w:rPr>
      <w:fldChar w:fldCharType="begin"/>
    </w:r>
    <w:r w:rsidRPr="00B14A88">
      <w:rPr>
        <w:b/>
        <w:sz w:val="18"/>
      </w:rPr>
      <w:instrText xml:space="preserve"> PAGE  \* MERGEFORMAT </w:instrText>
    </w:r>
    <w:r w:rsidRPr="00B14A88">
      <w:rPr>
        <w:b/>
        <w:sz w:val="18"/>
      </w:rPr>
      <w:fldChar w:fldCharType="separate"/>
    </w:r>
    <w:r w:rsidR="00D64E0F">
      <w:rPr>
        <w:b/>
        <w:noProof/>
        <w:sz w:val="18"/>
      </w:rPr>
      <w:t>10</w:t>
    </w:r>
    <w:r w:rsidRPr="00B14A88">
      <w:rPr>
        <w:b/>
        <w:sz w:val="18"/>
      </w:rPr>
      <w:fldChar w:fldCharType="end"/>
    </w:r>
    <w:r>
      <w:rPr>
        <w:b/>
        <w:sz w:val="18"/>
      </w:rPr>
      <w:tab/>
    </w:r>
    <w:r>
      <w:t>GE.17-02576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CB6" w:rsidRPr="00B14A88" w:rsidRDefault="00281CB6" w:rsidP="00B14A88">
    <w:pPr>
      <w:pStyle w:val="a8"/>
      <w:tabs>
        <w:tab w:val="clear" w:pos="9639"/>
        <w:tab w:val="right" w:pos="9638"/>
      </w:tabs>
      <w:rPr>
        <w:b/>
        <w:sz w:val="18"/>
      </w:rPr>
    </w:pPr>
    <w:r>
      <w:t>GE.17-02576</w:t>
    </w:r>
    <w:r>
      <w:tab/>
    </w:r>
    <w:r w:rsidRPr="00B14A88">
      <w:rPr>
        <w:b/>
        <w:sz w:val="18"/>
      </w:rPr>
      <w:fldChar w:fldCharType="begin"/>
    </w:r>
    <w:r w:rsidRPr="00B14A88">
      <w:rPr>
        <w:b/>
        <w:sz w:val="18"/>
      </w:rPr>
      <w:instrText xml:space="preserve"> PAGE  \* MERGEFORMAT </w:instrText>
    </w:r>
    <w:r w:rsidRPr="00B14A88">
      <w:rPr>
        <w:b/>
        <w:sz w:val="18"/>
      </w:rPr>
      <w:fldChar w:fldCharType="separate"/>
    </w:r>
    <w:r w:rsidR="00D64E0F">
      <w:rPr>
        <w:b/>
        <w:noProof/>
        <w:sz w:val="18"/>
      </w:rPr>
      <w:t>11</w:t>
    </w:r>
    <w:r w:rsidRPr="00B14A8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CB6" w:rsidRPr="00B14A88" w:rsidRDefault="00281CB6" w:rsidP="00B14A88">
    <w:pPr>
      <w:spacing w:before="120" w:line="240" w:lineRule="auto"/>
    </w:pPr>
    <w:r>
      <w:t>GE.</w:t>
    </w:r>
    <w:r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1AF80D9C" wp14:editId="392EE8B9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17-02576  (R)</w:t>
    </w:r>
    <w:r>
      <w:rPr>
        <w:lang w:val="en-US"/>
      </w:rPr>
      <w:t xml:space="preserve">  280217  010317</w:t>
    </w:r>
    <w:r>
      <w:br/>
    </w:r>
    <w:r w:rsidRPr="00B14A88">
      <w:rPr>
        <w:rFonts w:ascii="C39T30Lfz" w:hAnsi="C39T30Lfz"/>
        <w:spacing w:val="0"/>
        <w:w w:val="100"/>
        <w:sz w:val="56"/>
      </w:rPr>
      <w:t></w:t>
    </w:r>
    <w:r w:rsidRPr="00B14A88">
      <w:rPr>
        <w:rFonts w:ascii="C39T30Lfz" w:hAnsi="C39T30Lfz"/>
        <w:spacing w:val="0"/>
        <w:w w:val="100"/>
        <w:sz w:val="56"/>
      </w:rPr>
      <w:t></w:t>
    </w:r>
    <w:r w:rsidRPr="00B14A88">
      <w:rPr>
        <w:rFonts w:ascii="C39T30Lfz" w:hAnsi="C39T30Lfz"/>
        <w:spacing w:val="0"/>
        <w:w w:val="100"/>
        <w:sz w:val="56"/>
      </w:rPr>
      <w:t></w:t>
    </w:r>
    <w:r w:rsidRPr="00B14A88">
      <w:rPr>
        <w:rFonts w:ascii="C39T30Lfz" w:hAnsi="C39T30Lfz"/>
        <w:spacing w:val="0"/>
        <w:w w:val="100"/>
        <w:sz w:val="56"/>
      </w:rPr>
      <w:t></w:t>
    </w:r>
    <w:r w:rsidRPr="00B14A88">
      <w:rPr>
        <w:rFonts w:ascii="C39T30Lfz" w:hAnsi="C39T30Lfz"/>
        <w:spacing w:val="0"/>
        <w:w w:val="100"/>
        <w:sz w:val="56"/>
      </w:rPr>
      <w:t></w:t>
    </w:r>
    <w:r w:rsidRPr="00B14A88">
      <w:rPr>
        <w:rFonts w:ascii="C39T30Lfz" w:hAnsi="C39T30Lfz"/>
        <w:spacing w:val="0"/>
        <w:w w:val="100"/>
        <w:sz w:val="56"/>
      </w:rPr>
      <w:t></w:t>
    </w:r>
    <w:r w:rsidRPr="00B14A88">
      <w:rPr>
        <w:rFonts w:ascii="C39T30Lfz" w:hAnsi="C39T30Lfz"/>
        <w:spacing w:val="0"/>
        <w:w w:val="100"/>
        <w:sz w:val="56"/>
      </w:rPr>
      <w:t></w:t>
    </w:r>
    <w:r w:rsidRPr="00B14A88">
      <w:rPr>
        <w:rFonts w:ascii="C39T30Lfz" w:hAnsi="C39T30Lfz"/>
        <w:spacing w:val="0"/>
        <w:w w:val="100"/>
        <w:sz w:val="56"/>
      </w:rPr>
      <w:t></w:t>
    </w:r>
    <w:r w:rsidRPr="00B14A88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://undocs.org/m2/QRCode.ashx?DS=CERD/C/ITA/CO/19-20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CERD/C/ITA/CO/19-20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CB6" w:rsidRPr="001075E9" w:rsidRDefault="00281CB6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281CB6" w:rsidRDefault="00281CB6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281CB6" w:rsidRPr="00B400C8" w:rsidRDefault="00281CB6">
      <w:pPr>
        <w:pStyle w:val="ad"/>
        <w:rPr>
          <w:sz w:val="20"/>
          <w:lang w:val="ru-RU"/>
        </w:rPr>
      </w:pPr>
      <w:r>
        <w:tab/>
      </w:r>
      <w:r w:rsidRPr="00B400C8">
        <w:rPr>
          <w:rStyle w:val="aa"/>
          <w:sz w:val="20"/>
          <w:vertAlign w:val="baseline"/>
          <w:lang w:val="ru-RU"/>
        </w:rPr>
        <w:t>*</w:t>
      </w:r>
      <w:r w:rsidRPr="00B400C8">
        <w:rPr>
          <w:rStyle w:val="aa"/>
          <w:vertAlign w:val="baseline"/>
          <w:lang w:val="ru-RU"/>
        </w:rPr>
        <w:tab/>
      </w:r>
      <w:r w:rsidRPr="00B400C8">
        <w:rPr>
          <w:lang w:val="ru-RU"/>
        </w:rPr>
        <w:t>Приняты Комитетом на его девяносто первой сес</w:t>
      </w:r>
      <w:r>
        <w:rPr>
          <w:lang w:val="ru-RU"/>
        </w:rPr>
        <w:t>сии (21 ноября – 9 декабря 2016</w:t>
      </w:r>
      <w:r>
        <w:rPr>
          <w:lang w:val="en-US"/>
        </w:rPr>
        <w:t> </w:t>
      </w:r>
      <w:r w:rsidRPr="00B400C8">
        <w:rPr>
          <w:lang w:val="ru-RU"/>
        </w:rPr>
        <w:t>года).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CB6" w:rsidRPr="00B14A88" w:rsidRDefault="00281CB6">
    <w:pPr>
      <w:pStyle w:val="a5"/>
    </w:pPr>
    <w:fldSimple w:instr=" TITLE  \* MERGEFORMAT ">
      <w:r w:rsidR="00D64E0F">
        <w:t>CERD/C/ITA/CO/19-20</w:t>
      </w:r>
    </w:fldSimple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CB6" w:rsidRPr="00B14A88" w:rsidRDefault="00281CB6" w:rsidP="00B14A88">
    <w:pPr>
      <w:pStyle w:val="a5"/>
      <w:jc w:val="right"/>
    </w:pPr>
    <w:fldSimple w:instr=" TITLE  \* MERGEFORMAT ">
      <w:r w:rsidR="00D64E0F">
        <w:t>CERD/C/ITA/CO/19-20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E6A"/>
    <w:rsid w:val="00033EE1"/>
    <w:rsid w:val="00042B72"/>
    <w:rsid w:val="000558BD"/>
    <w:rsid w:val="000B57E7"/>
    <w:rsid w:val="000B6373"/>
    <w:rsid w:val="000F09DF"/>
    <w:rsid w:val="000F61B2"/>
    <w:rsid w:val="001075E9"/>
    <w:rsid w:val="00180183"/>
    <w:rsid w:val="0018024D"/>
    <w:rsid w:val="0018649F"/>
    <w:rsid w:val="00190638"/>
    <w:rsid w:val="00196389"/>
    <w:rsid w:val="001B3EF6"/>
    <w:rsid w:val="001C7A89"/>
    <w:rsid w:val="002205F2"/>
    <w:rsid w:val="00281CB6"/>
    <w:rsid w:val="002A2EFC"/>
    <w:rsid w:val="002B74B1"/>
    <w:rsid w:val="002C0E18"/>
    <w:rsid w:val="002D5AAC"/>
    <w:rsid w:val="002E5067"/>
    <w:rsid w:val="002F405F"/>
    <w:rsid w:val="002F7EEC"/>
    <w:rsid w:val="00301299"/>
    <w:rsid w:val="00303B2F"/>
    <w:rsid w:val="00305C08"/>
    <w:rsid w:val="00307FB6"/>
    <w:rsid w:val="00317339"/>
    <w:rsid w:val="00322004"/>
    <w:rsid w:val="003402C2"/>
    <w:rsid w:val="00381C24"/>
    <w:rsid w:val="003958D0"/>
    <w:rsid w:val="003B00E5"/>
    <w:rsid w:val="00407B78"/>
    <w:rsid w:val="00424203"/>
    <w:rsid w:val="00452493"/>
    <w:rsid w:val="00453318"/>
    <w:rsid w:val="00454E07"/>
    <w:rsid w:val="00472C5C"/>
    <w:rsid w:val="004A1C15"/>
    <w:rsid w:val="004E104A"/>
    <w:rsid w:val="0050108D"/>
    <w:rsid w:val="00513081"/>
    <w:rsid w:val="00517901"/>
    <w:rsid w:val="00526683"/>
    <w:rsid w:val="0057071C"/>
    <w:rsid w:val="005709E0"/>
    <w:rsid w:val="00572E19"/>
    <w:rsid w:val="005961C8"/>
    <w:rsid w:val="005A3671"/>
    <w:rsid w:val="005D7914"/>
    <w:rsid w:val="005E2B41"/>
    <w:rsid w:val="005F0B42"/>
    <w:rsid w:val="00681A10"/>
    <w:rsid w:val="006A1ED8"/>
    <w:rsid w:val="006C2031"/>
    <w:rsid w:val="006D461A"/>
    <w:rsid w:val="006F35EE"/>
    <w:rsid w:val="00701B33"/>
    <w:rsid w:val="007021FF"/>
    <w:rsid w:val="00706B3D"/>
    <w:rsid w:val="00712895"/>
    <w:rsid w:val="00757357"/>
    <w:rsid w:val="007C46C9"/>
    <w:rsid w:val="00806A16"/>
    <w:rsid w:val="00825F8D"/>
    <w:rsid w:val="00834B71"/>
    <w:rsid w:val="0086445C"/>
    <w:rsid w:val="00894693"/>
    <w:rsid w:val="008A08D7"/>
    <w:rsid w:val="008B227E"/>
    <w:rsid w:val="008B360C"/>
    <w:rsid w:val="008B6909"/>
    <w:rsid w:val="0090054A"/>
    <w:rsid w:val="00906890"/>
    <w:rsid w:val="00911BE4"/>
    <w:rsid w:val="00951972"/>
    <w:rsid w:val="009608F3"/>
    <w:rsid w:val="009A24AC"/>
    <w:rsid w:val="009C3F04"/>
    <w:rsid w:val="009D5FCE"/>
    <w:rsid w:val="00A14DA8"/>
    <w:rsid w:val="00A312BC"/>
    <w:rsid w:val="00A84021"/>
    <w:rsid w:val="00A84D35"/>
    <w:rsid w:val="00A917B3"/>
    <w:rsid w:val="00AB0155"/>
    <w:rsid w:val="00AB4B51"/>
    <w:rsid w:val="00B10CC7"/>
    <w:rsid w:val="00B14A88"/>
    <w:rsid w:val="00B27969"/>
    <w:rsid w:val="00B32719"/>
    <w:rsid w:val="00B33E6A"/>
    <w:rsid w:val="00B36DF7"/>
    <w:rsid w:val="00B400C8"/>
    <w:rsid w:val="00B539E7"/>
    <w:rsid w:val="00B62458"/>
    <w:rsid w:val="00BC18B2"/>
    <w:rsid w:val="00BD33EE"/>
    <w:rsid w:val="00C106D6"/>
    <w:rsid w:val="00C60F0C"/>
    <w:rsid w:val="00C805C9"/>
    <w:rsid w:val="00C92939"/>
    <w:rsid w:val="00CA1679"/>
    <w:rsid w:val="00CB151C"/>
    <w:rsid w:val="00CE5A1A"/>
    <w:rsid w:val="00CF55F6"/>
    <w:rsid w:val="00D33D63"/>
    <w:rsid w:val="00D64E0F"/>
    <w:rsid w:val="00D90028"/>
    <w:rsid w:val="00D90138"/>
    <w:rsid w:val="00DD78D1"/>
    <w:rsid w:val="00DE32CD"/>
    <w:rsid w:val="00DF71B9"/>
    <w:rsid w:val="00E73F76"/>
    <w:rsid w:val="00EA2C9F"/>
    <w:rsid w:val="00EA420E"/>
    <w:rsid w:val="00ED0BDA"/>
    <w:rsid w:val="00EF1360"/>
    <w:rsid w:val="00EF3220"/>
    <w:rsid w:val="00F0540A"/>
    <w:rsid w:val="00F43903"/>
    <w:rsid w:val="00F94155"/>
    <w:rsid w:val="00F9783F"/>
    <w:rsid w:val="00FD2EF7"/>
    <w:rsid w:val="00FE447E"/>
    <w:rsid w:val="00FF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71C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DD78D1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681A10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681A1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681A1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681A1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681A10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681A10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681A1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681A10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Pr>
      <w:rFonts w:ascii="Tahoma" w:hAnsi="Tahoma" w:cs="Tahoma"/>
      <w:sz w:val="16"/>
      <w:szCs w:val="16"/>
    </w:rPr>
  </w:style>
  <w:style w:type="paragraph" w:customStyle="1" w:styleId="HMGR">
    <w:name w:val="_ H __M_GR"/>
    <w:basedOn w:val="a"/>
    <w:next w:val="a"/>
    <w:qFormat/>
    <w:rsid w:val="00DD78D1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DD78D1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DD78D1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DD78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DD78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DD78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DD78D1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DD78D1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DD78D1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DD78D1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DD78D1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DD78D1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DD78D1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DD78D1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DD78D1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DD78D1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DD78D1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DD78D1"/>
    <w:rPr>
      <w:b/>
      <w:spacing w:val="4"/>
      <w:w w:val="103"/>
      <w:kern w:val="14"/>
      <w:sz w:val="18"/>
      <w:lang w:val="en-GB" w:eastAsia="ru-RU"/>
    </w:rPr>
  </w:style>
  <w:style w:type="character" w:styleId="a7">
    <w:name w:val="page number"/>
    <w:aliases w:val="7_GR"/>
    <w:basedOn w:val="a0"/>
    <w:qFormat/>
    <w:rsid w:val="00DD78D1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DD78D1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DD78D1"/>
    <w:rPr>
      <w:spacing w:val="4"/>
      <w:w w:val="103"/>
      <w:kern w:val="14"/>
      <w:sz w:val="16"/>
      <w:lang w:val="en-GB" w:eastAsia="ru-RU"/>
    </w:rPr>
  </w:style>
  <w:style w:type="character" w:styleId="aa">
    <w:name w:val="footnote reference"/>
    <w:aliases w:val="4_GR"/>
    <w:basedOn w:val="a0"/>
    <w:qFormat/>
    <w:rsid w:val="00DD78D1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DD78D1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D78D1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"/>
    <w:basedOn w:val="a"/>
    <w:link w:val="ae"/>
    <w:qFormat/>
    <w:rsid w:val="00DD78D1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e">
    <w:name w:val="Текст сноски Знак"/>
    <w:aliases w:val="5_GR Знак"/>
    <w:basedOn w:val="a0"/>
    <w:link w:val="ad"/>
    <w:rsid w:val="00DD78D1"/>
    <w:rPr>
      <w:spacing w:val="5"/>
      <w:w w:val="104"/>
      <w:kern w:val="14"/>
      <w:sz w:val="18"/>
      <w:lang w:val="en-GB" w:eastAsia="ru-RU"/>
    </w:rPr>
  </w:style>
  <w:style w:type="paragraph" w:styleId="af">
    <w:name w:val="endnote text"/>
    <w:aliases w:val="2_GR"/>
    <w:basedOn w:val="ad"/>
    <w:link w:val="af0"/>
    <w:qFormat/>
    <w:rsid w:val="00DD78D1"/>
  </w:style>
  <w:style w:type="character" w:customStyle="1" w:styleId="af0">
    <w:name w:val="Текст концевой сноски Знак"/>
    <w:aliases w:val="2_GR Знак"/>
    <w:basedOn w:val="a0"/>
    <w:link w:val="af"/>
    <w:rsid w:val="00DD78D1"/>
    <w:rPr>
      <w:spacing w:val="5"/>
      <w:w w:val="104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DD78D1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af1">
    <w:name w:val="Hyperlink"/>
    <w:basedOn w:val="a0"/>
    <w:semiHidden/>
    <w:unhideWhenUsed/>
    <w:rsid w:val="0057071C"/>
    <w:rPr>
      <w:color w:val="0000FF" w:themeColor="hyperlink"/>
      <w:u w:val="none"/>
    </w:rPr>
  </w:style>
  <w:style w:type="character" w:styleId="af2">
    <w:name w:val="FollowedHyperlink"/>
    <w:basedOn w:val="a0"/>
    <w:semiHidden/>
    <w:unhideWhenUsed/>
    <w:rsid w:val="0057071C"/>
    <w:rPr>
      <w:color w:val="800080" w:themeColor="followedHyperlink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71C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DD78D1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681A10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681A1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681A1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681A1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681A10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681A10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681A1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681A10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Pr>
      <w:rFonts w:ascii="Tahoma" w:hAnsi="Tahoma" w:cs="Tahoma"/>
      <w:sz w:val="16"/>
      <w:szCs w:val="16"/>
    </w:rPr>
  </w:style>
  <w:style w:type="paragraph" w:customStyle="1" w:styleId="HMGR">
    <w:name w:val="_ H __M_GR"/>
    <w:basedOn w:val="a"/>
    <w:next w:val="a"/>
    <w:qFormat/>
    <w:rsid w:val="00DD78D1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DD78D1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DD78D1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DD78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DD78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DD78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DD78D1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DD78D1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DD78D1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DD78D1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DD78D1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DD78D1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DD78D1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DD78D1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DD78D1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DD78D1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DD78D1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DD78D1"/>
    <w:rPr>
      <w:b/>
      <w:spacing w:val="4"/>
      <w:w w:val="103"/>
      <w:kern w:val="14"/>
      <w:sz w:val="18"/>
      <w:lang w:val="en-GB" w:eastAsia="ru-RU"/>
    </w:rPr>
  </w:style>
  <w:style w:type="character" w:styleId="a7">
    <w:name w:val="page number"/>
    <w:aliases w:val="7_GR"/>
    <w:basedOn w:val="a0"/>
    <w:qFormat/>
    <w:rsid w:val="00DD78D1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DD78D1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DD78D1"/>
    <w:rPr>
      <w:spacing w:val="4"/>
      <w:w w:val="103"/>
      <w:kern w:val="14"/>
      <w:sz w:val="16"/>
      <w:lang w:val="en-GB" w:eastAsia="ru-RU"/>
    </w:rPr>
  </w:style>
  <w:style w:type="character" w:styleId="aa">
    <w:name w:val="footnote reference"/>
    <w:aliases w:val="4_GR"/>
    <w:basedOn w:val="a0"/>
    <w:qFormat/>
    <w:rsid w:val="00DD78D1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DD78D1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D78D1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"/>
    <w:basedOn w:val="a"/>
    <w:link w:val="ae"/>
    <w:qFormat/>
    <w:rsid w:val="00DD78D1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e">
    <w:name w:val="Текст сноски Знак"/>
    <w:aliases w:val="5_GR Знак"/>
    <w:basedOn w:val="a0"/>
    <w:link w:val="ad"/>
    <w:rsid w:val="00DD78D1"/>
    <w:rPr>
      <w:spacing w:val="5"/>
      <w:w w:val="104"/>
      <w:kern w:val="14"/>
      <w:sz w:val="18"/>
      <w:lang w:val="en-GB" w:eastAsia="ru-RU"/>
    </w:rPr>
  </w:style>
  <w:style w:type="paragraph" w:styleId="af">
    <w:name w:val="endnote text"/>
    <w:aliases w:val="2_GR"/>
    <w:basedOn w:val="ad"/>
    <w:link w:val="af0"/>
    <w:qFormat/>
    <w:rsid w:val="00DD78D1"/>
  </w:style>
  <w:style w:type="character" w:customStyle="1" w:styleId="af0">
    <w:name w:val="Текст концевой сноски Знак"/>
    <w:aliases w:val="2_GR Знак"/>
    <w:basedOn w:val="a0"/>
    <w:link w:val="af"/>
    <w:rsid w:val="00DD78D1"/>
    <w:rPr>
      <w:spacing w:val="5"/>
      <w:w w:val="104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DD78D1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af1">
    <w:name w:val="Hyperlink"/>
    <w:basedOn w:val="a0"/>
    <w:semiHidden/>
    <w:unhideWhenUsed/>
    <w:rsid w:val="0057071C"/>
    <w:rPr>
      <w:color w:val="0000FF" w:themeColor="hyperlink"/>
      <w:u w:val="none"/>
    </w:rPr>
  </w:style>
  <w:style w:type="character" w:styleId="af2">
    <w:name w:val="FollowedHyperlink"/>
    <w:basedOn w:val="a0"/>
    <w:semiHidden/>
    <w:unhideWhenUsed/>
    <w:rsid w:val="0057071C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ERD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CERD.dotm</Template>
  <TotalTime>3</TotalTime>
  <Pages>11</Pages>
  <Words>4237</Words>
  <Characters>29681</Characters>
  <Application>Microsoft Office Word</Application>
  <DocSecurity>0</DocSecurity>
  <Lines>557</Lines>
  <Paragraphs>124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CERD/C/ITA/CO/19-20</vt:lpstr>
      <vt:lpstr>A/</vt:lpstr>
    </vt:vector>
  </TitlesOfParts>
  <Company>DCM</Company>
  <LinksUpToDate>false</LinksUpToDate>
  <CharactersWithSpaces>33973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CERD/C/ITA/CO/19-20</dc:title>
  <dc:creator>Anna PETELINA</dc:creator>
  <cp:lastModifiedBy>Anna PETELINA</cp:lastModifiedBy>
  <cp:revision>3</cp:revision>
  <cp:lastPrinted>2017-03-01T10:04:00Z</cp:lastPrinted>
  <dcterms:created xsi:type="dcterms:W3CDTF">2017-03-01T10:04:00Z</dcterms:created>
  <dcterms:modified xsi:type="dcterms:W3CDTF">2017-03-01T10:07:00Z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