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16BA6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16BA6" w:rsidP="00616BA6">
            <w:pPr>
              <w:jc w:val="right"/>
            </w:pPr>
            <w:r w:rsidRPr="00616BA6">
              <w:rPr>
                <w:sz w:val="40"/>
              </w:rPr>
              <w:t>CERD</w:t>
            </w:r>
            <w:r>
              <w:t>/C/ITA/Q/16-18</w:t>
            </w:r>
          </w:p>
        </w:tc>
      </w:tr>
      <w:tr w:rsidR="002D5AAC" w:rsidTr="00616B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16BA6" w:rsidRDefault="00616BA6" w:rsidP="00B778C8">
            <w:pPr>
              <w:spacing w:before="240"/>
            </w:pPr>
            <w:r>
              <w:t>Distr. general</w:t>
            </w:r>
          </w:p>
          <w:p w:rsidR="00616BA6" w:rsidRDefault="00616BA6" w:rsidP="00616BA6">
            <w:pPr>
              <w:spacing w:line="240" w:lineRule="exact"/>
            </w:pPr>
            <w:r>
              <w:t>1º de febrero de 2012</w:t>
            </w:r>
          </w:p>
          <w:p w:rsidR="00616BA6" w:rsidRDefault="00616BA6" w:rsidP="00616BA6">
            <w:pPr>
              <w:spacing w:line="240" w:lineRule="exact"/>
            </w:pPr>
            <w:r>
              <w:t>Español</w:t>
            </w:r>
          </w:p>
          <w:p w:rsidR="002D5AAC" w:rsidRDefault="00616BA6" w:rsidP="00616BA6">
            <w:pPr>
              <w:spacing w:line="240" w:lineRule="exact"/>
            </w:pPr>
            <w:r>
              <w:t>Original: inglés</w:t>
            </w:r>
          </w:p>
        </w:tc>
      </w:tr>
    </w:tbl>
    <w:p w:rsidR="00616BA6" w:rsidRPr="0028278C" w:rsidRDefault="00616BA6" w:rsidP="00616BA6">
      <w:pPr>
        <w:spacing w:before="120"/>
        <w:rPr>
          <w:b/>
          <w:sz w:val="24"/>
          <w:szCs w:val="24"/>
        </w:rPr>
      </w:pPr>
      <w:r w:rsidRPr="0028278C">
        <w:rPr>
          <w:b/>
          <w:sz w:val="24"/>
          <w:szCs w:val="24"/>
        </w:rPr>
        <w:t>Comité para la Eliminación de la Discriminación Racial</w:t>
      </w:r>
    </w:p>
    <w:p w:rsidR="00616BA6" w:rsidRPr="00A922A6" w:rsidRDefault="00616BA6" w:rsidP="00616BA6">
      <w:pPr>
        <w:rPr>
          <w:b/>
        </w:rPr>
      </w:pPr>
      <w:r w:rsidRPr="00A922A6">
        <w:rPr>
          <w:b/>
        </w:rPr>
        <w:t>80º período de sesiones</w:t>
      </w:r>
    </w:p>
    <w:p w:rsidR="00616BA6" w:rsidRPr="00AA608A" w:rsidRDefault="00616BA6" w:rsidP="00616BA6">
      <w:pPr>
        <w:rPr>
          <w:b/>
          <w:bCs/>
          <w:sz w:val="24"/>
          <w:szCs w:val="24"/>
        </w:rPr>
      </w:pPr>
      <w:r>
        <w:t>13</w:t>
      </w:r>
      <w:r w:rsidRPr="0028278C">
        <w:t xml:space="preserve"> </w:t>
      </w:r>
      <w:r>
        <w:t xml:space="preserve">de febrero </w:t>
      </w:r>
      <w:r w:rsidRPr="0028278C">
        <w:t xml:space="preserve">a </w:t>
      </w:r>
      <w:r>
        <w:t xml:space="preserve">9 </w:t>
      </w:r>
      <w:r w:rsidRPr="0028278C">
        <w:t xml:space="preserve">de </w:t>
      </w:r>
      <w:r>
        <w:t>ma</w:t>
      </w:r>
      <w:r w:rsidR="004B75E2">
        <w:t>rz</w:t>
      </w:r>
      <w:r>
        <w:t>o</w:t>
      </w:r>
      <w:r w:rsidRPr="0028278C">
        <w:t xml:space="preserve"> de 201</w:t>
      </w:r>
      <w:r>
        <w:t>2</w:t>
      </w:r>
    </w:p>
    <w:p w:rsidR="00616BA6" w:rsidRPr="00AA608A" w:rsidRDefault="00616BA6" w:rsidP="00616BA6">
      <w:pPr>
        <w:pStyle w:val="HChG"/>
      </w:pPr>
      <w:r>
        <w:tab/>
      </w:r>
      <w:r>
        <w:tab/>
      </w:r>
      <w:r w:rsidRPr="00AA608A">
        <w:t>Aplicación de la Convención Internacional sobre</w:t>
      </w:r>
      <w:r>
        <w:t xml:space="preserve"> la</w:t>
      </w:r>
      <w:r>
        <w:br/>
      </w:r>
      <w:r w:rsidRPr="00AA608A">
        <w:t>Eliminación de todas las Formas de Discriminación</w:t>
      </w:r>
      <w:r>
        <w:br/>
      </w:r>
      <w:r w:rsidRPr="00AA608A">
        <w:t>Racial</w:t>
      </w:r>
    </w:p>
    <w:p w:rsidR="00616BA6" w:rsidRDefault="00616BA6" w:rsidP="00616BA6">
      <w:pPr>
        <w:pStyle w:val="H1G"/>
      </w:pPr>
      <w:r>
        <w:tab/>
      </w:r>
      <w:r>
        <w:tab/>
      </w:r>
      <w:r w:rsidRPr="00AA608A">
        <w:t xml:space="preserve">Lista de </w:t>
      </w:r>
      <w:r>
        <w:t>temas</w:t>
      </w:r>
      <w:r w:rsidRPr="00AA608A">
        <w:t xml:space="preserve"> que deben abordarse al examinar los informes periódicos </w:t>
      </w:r>
      <w:r>
        <w:t>16º</w:t>
      </w:r>
      <w:r w:rsidRPr="00AA608A">
        <w:t xml:space="preserve"> </w:t>
      </w:r>
      <w:r>
        <w:t>a</w:t>
      </w:r>
      <w:r w:rsidRPr="00AA608A">
        <w:t xml:space="preserve"> </w:t>
      </w:r>
      <w:r>
        <w:t>18º</w:t>
      </w:r>
      <w:r w:rsidRPr="00AA608A">
        <w:t xml:space="preserve"> de </w:t>
      </w:r>
      <w:r>
        <w:t>Italia</w:t>
      </w:r>
      <w:r w:rsidRPr="00AA608A">
        <w:t xml:space="preserve"> (CERD/C/</w:t>
      </w:r>
      <w:r>
        <w:t>ITA</w:t>
      </w:r>
      <w:r w:rsidRPr="00AA608A">
        <w:t>/</w:t>
      </w:r>
      <w:r>
        <w:t>1</w:t>
      </w:r>
      <w:r w:rsidRPr="00AA608A">
        <w:t>6-</w:t>
      </w:r>
      <w:r>
        <w:t>18</w:t>
      </w:r>
      <w:r w:rsidRPr="00AA608A">
        <w:t>)</w:t>
      </w:r>
      <w:r w:rsidRPr="001D2B3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16BA6" w:rsidTr="00C8140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16BA6" w:rsidRDefault="00616BA6" w:rsidP="00C8140F">
            <w:pPr>
              <w:pStyle w:val="H23G"/>
              <w:keepNext w:val="0"/>
              <w:keepLines w:val="0"/>
              <w:suppressAutoHyphens w:val="0"/>
              <w:spacing w:before="0" w:after="0" w:line="240" w:lineRule="auto"/>
              <w:ind w:left="0" w:right="0" w:firstLine="0"/>
              <w:rPr>
                <w:b w:val="0"/>
              </w:rPr>
            </w:pPr>
          </w:p>
        </w:tc>
      </w:tr>
      <w:tr w:rsidR="00616BA6" w:rsidTr="00C814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16BA6" w:rsidRDefault="00616BA6" w:rsidP="00C8140F">
            <w:pPr>
              <w:spacing w:after="120" w:line="240" w:lineRule="auto"/>
              <w:jc w:val="both"/>
            </w:pPr>
            <w:r>
              <w:tab/>
            </w:r>
            <w:r w:rsidRPr="000A1F50">
              <w:t xml:space="preserve">La lista de temas que figura a continuación ha sido elaborada por el Relator para el país con el propósito de utilizarla en el examen de los informes periódicos 16º a 18º de Italia. Esta lista </w:t>
            </w:r>
            <w:r>
              <w:t>tiene por objetivo</w:t>
            </w:r>
            <w:r w:rsidRPr="000A1F50">
              <w:t xml:space="preserve"> facilitar el diálogo entre la delegación del Estado parte y el Comité </w:t>
            </w:r>
            <w:r w:rsidRPr="00616BA6">
              <w:t>y</w:t>
            </w:r>
            <w:r w:rsidRPr="001D2B33">
              <w:rPr>
                <w:i/>
              </w:rPr>
              <w:t xml:space="preserve"> no requiere respuestas por escrito</w:t>
            </w:r>
            <w:r w:rsidRPr="000A1F50">
              <w:t>. No es una lista exhaustiva, pues durante el diálogo con el Estado parte podrán abordarse otros asuntos.</w:t>
            </w:r>
          </w:p>
        </w:tc>
      </w:tr>
      <w:tr w:rsidR="00616BA6" w:rsidTr="00C8140F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16BA6" w:rsidRDefault="00616BA6" w:rsidP="00C8140F">
            <w:pPr>
              <w:pStyle w:val="H23G"/>
              <w:keepNext w:val="0"/>
              <w:keepLines w:val="0"/>
              <w:suppressAutoHyphens w:val="0"/>
              <w:spacing w:before="0" w:after="0" w:line="240" w:lineRule="auto"/>
              <w:ind w:left="0" w:right="0" w:firstLine="0"/>
              <w:rPr>
                <w:b w:val="0"/>
              </w:rPr>
            </w:pPr>
          </w:p>
        </w:tc>
      </w:tr>
    </w:tbl>
    <w:p w:rsidR="00616BA6" w:rsidRPr="00A5156E" w:rsidRDefault="00616BA6" w:rsidP="00616BA6">
      <w:pPr>
        <w:pStyle w:val="H23G"/>
      </w:pPr>
      <w:r w:rsidRPr="00A5156E">
        <w:tab/>
        <w:t>1.</w:t>
      </w:r>
      <w:r w:rsidRPr="00A5156E">
        <w:tab/>
        <w:t>La Convención en el derecho interno</w:t>
      </w:r>
      <w:r>
        <w:t>;</w:t>
      </w:r>
      <w:r w:rsidRPr="00A5156E">
        <w:t xml:space="preserve"> marco institucional y normativo para su aplicación (art</w:t>
      </w:r>
      <w:r>
        <w:t>ículo</w:t>
      </w:r>
      <w:r w:rsidRPr="00A5156E">
        <w:t>s 2, 4, 6 y 7)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a)</w:t>
      </w:r>
      <w:r w:rsidRPr="00A5156E">
        <w:tab/>
        <w:t xml:space="preserve">Información actualizada sobre la reforma legislativa llevada a cabo para </w:t>
      </w:r>
      <w:r>
        <w:t>establecer</w:t>
      </w:r>
      <w:r w:rsidRPr="00A5156E">
        <w:t xml:space="preserve"> una circunstancia agravante especial para todos los delitos con motivación racial (CERD/C/ITA/16-18, párr. 36, CRC/C/ITA/CO/3-4, párr. 25 d)) y severas </w:t>
      </w:r>
      <w:r>
        <w:t xml:space="preserve">penas </w:t>
      </w:r>
      <w:r w:rsidRPr="00A5156E">
        <w:t>para la propaganda que preconice la superioridad racial o étnica;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b)</w:t>
      </w:r>
      <w:r w:rsidRPr="00A5156E">
        <w:tab/>
        <w:t xml:space="preserve">Información sobre la violencia racista, los delitos y las declaraciones de incitación al odio contra las minorías étnicas y religiosas, los solicitantes de asilo, los refugiados y los inmigrantes; 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c)</w:t>
      </w:r>
      <w:r w:rsidRPr="00A5156E">
        <w:tab/>
        <w:t xml:space="preserve">Medidas adicionales adoptadas para combatir las actitudes xenófobas, los estereotipos raciales y las declaraciones de incitación al odio </w:t>
      </w:r>
      <w:r>
        <w:t>hechas por</w:t>
      </w:r>
      <w:r w:rsidRPr="00A5156E">
        <w:t xml:space="preserve"> los políticos, en los medios de información y en Internet (CERD/C/ITA/CO/15, párr. 22, CERD/C/ITA/16-18, párrs. 37 y 182);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d)</w:t>
      </w:r>
      <w:r w:rsidRPr="00A5156E">
        <w:tab/>
        <w:t>Recursos de que disponen las víctimas de la discriminación racial, e</w:t>
      </w:r>
      <w:r>
        <w:t xml:space="preserve"> </w:t>
      </w:r>
      <w:r w:rsidRPr="00A5156E">
        <w:t>información sobre las causas judiciales</w:t>
      </w:r>
      <w:r w:rsidRPr="001D2B33">
        <w:rPr>
          <w:spacing w:val="-4"/>
        </w:rPr>
        <w:t xml:space="preserve"> (CERD/C/ITA/CO/15, párr. 21, CERD/C/ITA/16-18</w:t>
      </w:r>
      <w:r w:rsidRPr="00A5156E">
        <w:t>, párrs. 37 a 39);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e)</w:t>
      </w:r>
      <w:r w:rsidRPr="00A5156E">
        <w:tab/>
        <w:t>Información actualizada sobre las medidas adoptadas para establecer una institución independiente de derechos humanos conforme a los Principios de París (CERD/C/ITA/CO/15, párr. 13, CERD/C/ITA/16-18, párr. 23);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f)</w:t>
      </w:r>
      <w:r w:rsidRPr="00A5156E">
        <w:tab/>
        <w:t xml:space="preserve">Impacto de los proyectos de la Oficina Nacional contra la Discriminación Racial en la lucha contra la discriminación racial y </w:t>
      </w:r>
      <w:r>
        <w:t xml:space="preserve">en </w:t>
      </w:r>
      <w:r w:rsidRPr="00A5156E">
        <w:t xml:space="preserve">la promoción del multiculturalismo, en </w:t>
      </w:r>
      <w:r>
        <w:t>particular</w:t>
      </w:r>
      <w:r w:rsidRPr="00A5156E">
        <w:t xml:space="preserve"> en el ámbito de los deportes (CERD/C/ITA/16-18, párrs. 40 a 43);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g)</w:t>
      </w:r>
      <w:r w:rsidRPr="00A5156E">
        <w:tab/>
        <w:t>Medidas adoptadas para integrar a los miembros de los grupos minoritarios en la policía</w:t>
      </w:r>
      <w:r>
        <w:t>,</w:t>
      </w:r>
      <w:r w:rsidRPr="00A5156E">
        <w:t xml:space="preserve"> y efecto de l</w:t>
      </w:r>
      <w:r>
        <w:t>a</w:t>
      </w:r>
      <w:r w:rsidRPr="00A5156E">
        <w:t xml:space="preserve"> </w:t>
      </w:r>
      <w:r>
        <w:t>formación</w:t>
      </w:r>
      <w:r w:rsidRPr="00A5156E">
        <w:t xml:space="preserve"> e</w:t>
      </w:r>
      <w:r>
        <w:t>n</w:t>
      </w:r>
      <w:r w:rsidRPr="00A5156E">
        <w:t xml:space="preserve"> derechos humanos impartid</w:t>
      </w:r>
      <w:r>
        <w:t>a</w:t>
      </w:r>
      <w:r w:rsidRPr="00A5156E">
        <w:t xml:space="preserve"> a l</w:t>
      </w:r>
      <w:r>
        <w:t>o</w:t>
      </w:r>
      <w:r w:rsidRPr="00A5156E">
        <w:t xml:space="preserve">s </w:t>
      </w:r>
      <w:r>
        <w:t>agentes</w:t>
      </w:r>
      <w:r w:rsidRPr="00A5156E">
        <w:t xml:space="preserve"> de policía (CERD/C/ITA/CO/15, párr. 19, CERD/C/ITA/16-18, párrs. 47 a 49);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h)</w:t>
      </w:r>
      <w:r w:rsidRPr="00A5156E">
        <w:tab/>
        <w:t>Medidas adoptadas para que la crisis financiera no incida negativamente en l</w:t>
      </w:r>
      <w:r>
        <w:t>a</w:t>
      </w:r>
      <w:r w:rsidRPr="00A5156E">
        <w:t xml:space="preserve">s </w:t>
      </w:r>
      <w:r>
        <w:t>actividades</w:t>
      </w:r>
      <w:r w:rsidRPr="00A5156E">
        <w:t xml:space="preserve"> realizad</w:t>
      </w:r>
      <w:r>
        <w:t>a</w:t>
      </w:r>
      <w:r w:rsidRPr="00A5156E">
        <w:t>s, o por realizar, en materia de lucha contra la discriminación racial.</w:t>
      </w:r>
    </w:p>
    <w:p w:rsidR="00616BA6" w:rsidRPr="00A5156E" w:rsidRDefault="00616BA6" w:rsidP="00616BA6">
      <w:pPr>
        <w:pStyle w:val="H23G"/>
      </w:pPr>
      <w:r w:rsidRPr="00A5156E">
        <w:tab/>
        <w:t>2.</w:t>
      </w:r>
      <w:r w:rsidRPr="00A5156E">
        <w:tab/>
        <w:t>Situación de l</w:t>
      </w:r>
      <w:r>
        <w:t>a</w:t>
      </w:r>
      <w:r w:rsidRPr="00A5156E">
        <w:t xml:space="preserve">s </w:t>
      </w:r>
      <w:r>
        <w:t xml:space="preserve">comunidades romaní y </w:t>
      </w:r>
      <w:r w:rsidRPr="00A5156E">
        <w:t>sinti (art</w:t>
      </w:r>
      <w:r>
        <w:t>ículos</w:t>
      </w:r>
      <w:r w:rsidRPr="00A5156E">
        <w:t xml:space="preserve"> 2 a 7)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a)</w:t>
      </w:r>
      <w:r w:rsidRPr="00A5156E">
        <w:tab/>
        <w:t xml:space="preserve">Medidas adoptadas para aprobar </w:t>
      </w:r>
      <w:r>
        <w:t>amplias disposiciones legislativas</w:t>
      </w:r>
      <w:r w:rsidRPr="00A5156E">
        <w:t xml:space="preserve">, estrategias y </w:t>
      </w:r>
      <w:r>
        <w:t>políticas</w:t>
      </w:r>
      <w:r w:rsidRPr="00A5156E">
        <w:t xml:space="preserve"> que promuevan los derechos económicos, sociales y culturales de los romaníes y </w:t>
      </w:r>
      <w:r>
        <w:t xml:space="preserve">de </w:t>
      </w:r>
      <w:r w:rsidRPr="00A5156E">
        <w:t>los sinti</w:t>
      </w:r>
      <w:r>
        <w:t>s</w:t>
      </w:r>
      <w:r w:rsidRPr="00A5156E">
        <w:t xml:space="preserve">, y para erradicar </w:t>
      </w:r>
      <w:r>
        <w:t xml:space="preserve">las actitudes negativas y </w:t>
      </w:r>
      <w:r w:rsidRPr="00A5156E">
        <w:t>los estereotipos que afect</w:t>
      </w:r>
      <w:r>
        <w:t>a</w:t>
      </w:r>
      <w:r w:rsidRPr="00A5156E">
        <w:t>n a esas comunidades (CERD/C/ITA/CO/15, párrs. 12 y 16, CERD/C/ITA/16-18, párr. 135);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b)</w:t>
      </w:r>
      <w:r w:rsidRPr="00A5156E">
        <w:tab/>
        <w:t xml:space="preserve">Información actualizada sobre las </w:t>
      </w:r>
      <w:r>
        <w:t>reparaciones</w:t>
      </w:r>
      <w:r w:rsidRPr="00A5156E">
        <w:t xml:space="preserve"> previstas después de que el Consejo del Estado haya </w:t>
      </w:r>
      <w:r>
        <w:t>puesto</w:t>
      </w:r>
      <w:r w:rsidRPr="00A5156E">
        <w:t xml:space="preserve"> fin </w:t>
      </w:r>
      <w:r>
        <w:t>a</w:t>
      </w:r>
      <w:r w:rsidRPr="00A5156E">
        <w:t xml:space="preserve">l </w:t>
      </w:r>
      <w:r>
        <w:t>"</w:t>
      </w:r>
      <w:r w:rsidRPr="00A5156E">
        <w:t>estado de excepción con respecto a los nómadas</w:t>
      </w:r>
      <w:r>
        <w:t>"</w:t>
      </w:r>
      <w:r w:rsidRPr="00A5156E">
        <w:t xml:space="preserve"> que llevó al desalojo forzoso de romaníes y </w:t>
      </w:r>
      <w:r>
        <w:t xml:space="preserve">de </w:t>
      </w:r>
      <w:r w:rsidRPr="00A5156E">
        <w:t xml:space="preserve">sintis (CERD/C/ITA/CO/15, párr. 14, A/HRC/WG.6/7/ITA/3, párr. 13); 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c)</w:t>
      </w:r>
      <w:r w:rsidRPr="00A5156E">
        <w:tab/>
        <w:t>Promoción y protección del derecho a la educación y a la salud de los niños romaníes y sintis (CERD/C/ITA/CO/15, párr. 20, CERD/C/ITA/16-18, párrs. 135 y</w:t>
      </w:r>
      <w:r>
        <w:t xml:space="preserve"> </w:t>
      </w:r>
      <w:r w:rsidRPr="00A5156E">
        <w:t>136);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d)</w:t>
      </w:r>
      <w:r w:rsidRPr="00A5156E">
        <w:tab/>
        <w:t>Protección específica brindada a las mujeres romaníes y sintis (CERD/C/</w:t>
      </w:r>
      <w:r w:rsidR="00BA0949">
        <w:br/>
      </w:r>
      <w:r w:rsidRPr="00A5156E">
        <w:t>ITA/16-18, párr. 148);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e)</w:t>
      </w:r>
      <w:r w:rsidRPr="00A5156E">
        <w:tab/>
        <w:t>Información sobre los casos de apatridia relativos a los romaníes.</w:t>
      </w:r>
    </w:p>
    <w:p w:rsidR="00616BA6" w:rsidRPr="00A5156E" w:rsidRDefault="00616BA6" w:rsidP="00616BA6">
      <w:pPr>
        <w:pStyle w:val="H23G"/>
      </w:pPr>
      <w:r w:rsidRPr="00A5156E">
        <w:tab/>
        <w:t>3.</w:t>
      </w:r>
      <w:r w:rsidRPr="00A5156E">
        <w:tab/>
        <w:t xml:space="preserve">Discriminación </w:t>
      </w:r>
      <w:r>
        <w:t>contra</w:t>
      </w:r>
      <w:r w:rsidRPr="00A5156E">
        <w:t xml:space="preserve"> los no ciudadanos, en particular de los inmigrantes, </w:t>
      </w:r>
      <w:r>
        <w:br/>
      </w:r>
      <w:r w:rsidRPr="00A5156E">
        <w:t>los refugiados y los solicitantes de asilo (art</w:t>
      </w:r>
      <w:r>
        <w:t>ículo</w:t>
      </w:r>
      <w:r w:rsidRPr="00A5156E">
        <w:t>s 5, 6 y 7)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a)</w:t>
      </w:r>
      <w:r w:rsidRPr="00A5156E">
        <w:tab/>
        <w:t xml:space="preserve">Medidas adoptadas para promover los derechos sociales y económicos de los no ciudadanos, en </w:t>
      </w:r>
      <w:r>
        <w:t>particular</w:t>
      </w:r>
      <w:r w:rsidRPr="00A5156E">
        <w:t xml:space="preserve"> el derecho a la educación, a la salud, al empleo y a una vivienda adecuada</w:t>
      </w:r>
      <w:r>
        <w:t>,</w:t>
      </w:r>
      <w:r w:rsidRPr="00A5156E">
        <w:t xml:space="preserve"> inclu</w:t>
      </w:r>
      <w:r>
        <w:t>yendo la</w:t>
      </w:r>
      <w:r w:rsidRPr="00A5156E">
        <w:t xml:space="preserve"> vivienda de alquiler privada; 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b)</w:t>
      </w:r>
      <w:r w:rsidRPr="00A5156E">
        <w:tab/>
        <w:t xml:space="preserve">Discriminación de que son víctimas los inmigrantes y los refugiados en el mercado </w:t>
      </w:r>
      <w:r>
        <w:t xml:space="preserve">laboral </w:t>
      </w:r>
      <w:r w:rsidRPr="00A5156E">
        <w:t>(CERD/C/ITA/CO/15, párr. 17, A/HRC/4/19/Add.4, párr. 49);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c)</w:t>
      </w:r>
      <w:r w:rsidRPr="00A5156E">
        <w:tab/>
        <w:t xml:space="preserve">Protección ofrecida a las inmigrantes contra las condiciones abusivas de trabajo </w:t>
      </w:r>
      <w:r>
        <w:t xml:space="preserve">y contra la trata </w:t>
      </w:r>
      <w:r w:rsidRPr="00A5156E">
        <w:t>(A/HRC/4/19/Add.4, párrs. 49 y 51);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d)</w:t>
      </w:r>
      <w:r w:rsidRPr="00A5156E">
        <w:tab/>
        <w:t xml:space="preserve">Condiciones de vida en los centros de acogida de inmigrantes y refugiados; </w:t>
      </w:r>
    </w:p>
    <w:p w:rsidR="00616BA6" w:rsidRPr="00A5156E" w:rsidRDefault="00616BA6" w:rsidP="00616BA6">
      <w:pPr>
        <w:pStyle w:val="SingleTxtG"/>
      </w:pPr>
      <w:r>
        <w:tab/>
      </w:r>
      <w:r w:rsidRPr="00A5156E">
        <w:t>e)</w:t>
      </w:r>
      <w:r w:rsidRPr="00A5156E">
        <w:tab/>
        <w:t xml:space="preserve">Más información </w:t>
      </w:r>
      <w:r>
        <w:t>acerca de</w:t>
      </w:r>
      <w:r w:rsidRPr="00A5156E">
        <w:t xml:space="preserve"> la Ley Nº 94/2009 sobre la seguridad pública, que tipifica como delito la entrada y la permanencia en Italia de personas indocumentadas (CRC/C/ITA/CO/3-4, párr. 68), y sobre el impacto de la Ley Nº 129/2011 en el derecho a la libertad de circulación de los inmigrantes y </w:t>
      </w:r>
      <w:r>
        <w:t xml:space="preserve">en </w:t>
      </w:r>
      <w:r w:rsidRPr="00A5156E">
        <w:t>el principio de no devolución.</w:t>
      </w:r>
    </w:p>
    <w:p w:rsidR="00616BA6" w:rsidRPr="0041153E" w:rsidRDefault="00616BA6" w:rsidP="00616BA6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1075E9" w:rsidRDefault="00381C24" w:rsidP="001075E9"/>
    <w:sectPr w:rsidR="00381C24" w:rsidRPr="001075E9" w:rsidSect="00616B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15" w:rsidRDefault="000C1315">
      <w:r>
        <w:separator/>
      </w:r>
    </w:p>
  </w:endnote>
  <w:endnote w:type="continuationSeparator" w:id="0">
    <w:p w:rsidR="000C1315" w:rsidRDefault="000C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A6" w:rsidRPr="00616BA6" w:rsidRDefault="00616BA6" w:rsidP="00616BA6">
    <w:pPr>
      <w:pStyle w:val="Footer"/>
      <w:tabs>
        <w:tab w:val="right" w:pos="9638"/>
      </w:tabs>
    </w:pPr>
    <w:r w:rsidRPr="00616BA6">
      <w:rPr>
        <w:b/>
        <w:sz w:val="18"/>
      </w:rPr>
      <w:fldChar w:fldCharType="begin"/>
    </w:r>
    <w:r w:rsidRPr="00616BA6">
      <w:rPr>
        <w:b/>
        <w:sz w:val="18"/>
      </w:rPr>
      <w:instrText xml:space="preserve"> PAGE  \* MERGEFORMAT </w:instrText>
    </w:r>
    <w:r w:rsidRPr="00616BA6">
      <w:rPr>
        <w:b/>
        <w:sz w:val="18"/>
      </w:rPr>
      <w:fldChar w:fldCharType="separate"/>
    </w:r>
    <w:r w:rsidR="00DF2A80">
      <w:rPr>
        <w:b/>
        <w:noProof/>
        <w:sz w:val="18"/>
      </w:rPr>
      <w:t>2</w:t>
    </w:r>
    <w:r w:rsidRPr="00616BA6">
      <w:rPr>
        <w:b/>
        <w:sz w:val="18"/>
      </w:rPr>
      <w:fldChar w:fldCharType="end"/>
    </w:r>
    <w:r>
      <w:rPr>
        <w:b/>
        <w:sz w:val="18"/>
      </w:rPr>
      <w:tab/>
    </w:r>
    <w:r>
      <w:t>GE.12-40532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A6" w:rsidRPr="00616BA6" w:rsidRDefault="00616BA6" w:rsidP="00616BA6">
    <w:pPr>
      <w:pStyle w:val="Footer"/>
      <w:tabs>
        <w:tab w:val="right" w:pos="9638"/>
      </w:tabs>
      <w:rPr>
        <w:b/>
        <w:sz w:val="18"/>
      </w:rPr>
    </w:pPr>
    <w:r>
      <w:t>GE.12-40532</w:t>
    </w:r>
    <w:r>
      <w:tab/>
    </w:r>
    <w:r w:rsidRPr="00616BA6">
      <w:rPr>
        <w:b/>
        <w:sz w:val="18"/>
      </w:rPr>
      <w:fldChar w:fldCharType="begin"/>
    </w:r>
    <w:r w:rsidRPr="00616BA6">
      <w:rPr>
        <w:b/>
        <w:sz w:val="18"/>
      </w:rPr>
      <w:instrText xml:space="preserve"> PAGE  \* MERGEFORMAT </w:instrText>
    </w:r>
    <w:r w:rsidRPr="00616BA6">
      <w:rPr>
        <w:b/>
        <w:sz w:val="18"/>
      </w:rPr>
      <w:fldChar w:fldCharType="separate"/>
    </w:r>
    <w:r w:rsidR="00BA0949">
      <w:rPr>
        <w:b/>
        <w:noProof/>
        <w:sz w:val="18"/>
      </w:rPr>
      <w:t>3</w:t>
    </w:r>
    <w:r w:rsidRPr="00616B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7" w:rsidRPr="00616BA6" w:rsidRDefault="00616BA6" w:rsidP="00616BA6">
    <w:pPr>
      <w:pStyle w:val="Footer"/>
      <w:spacing w:before="360"/>
      <w:rPr>
        <w:sz w:val="20"/>
      </w:rPr>
    </w:pPr>
    <w:r>
      <w:rPr>
        <w:sz w:val="20"/>
      </w:rPr>
      <w:t>GE.</w:t>
    </w:r>
    <w:r w:rsidR="008028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12-40532  (S)    140212    240212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15" w:rsidRPr="001075E9" w:rsidRDefault="000C13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1315" w:rsidRDefault="000C1315">
      <w:r>
        <w:continuationSeparator/>
      </w:r>
    </w:p>
  </w:footnote>
  <w:footnote w:id="1">
    <w:p w:rsidR="00616BA6" w:rsidRPr="00A922A6" w:rsidRDefault="00616BA6" w:rsidP="00616BA6">
      <w:pPr>
        <w:pStyle w:val="FootnoteText"/>
        <w:rPr>
          <w:sz w:val="22"/>
          <w:szCs w:val="22"/>
        </w:rPr>
      </w:pPr>
      <w:r>
        <w:tab/>
      </w:r>
      <w:r w:rsidRPr="00A922A6">
        <w:rPr>
          <w:rStyle w:val="FootnoteReference"/>
          <w:sz w:val="20"/>
          <w:vertAlign w:val="baseline"/>
        </w:rPr>
        <w:t>*</w:t>
      </w:r>
      <w:r w:rsidRPr="00A922A6">
        <w:tab/>
      </w:r>
      <w:r>
        <w:t>Documento presentado con retraso.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A6" w:rsidRPr="00616BA6" w:rsidRDefault="00616BA6">
    <w:pPr>
      <w:pStyle w:val="Header"/>
    </w:pPr>
    <w:r>
      <w:t>CERD/C/ITA/Q/16-18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A6" w:rsidRPr="00616BA6" w:rsidRDefault="00616BA6" w:rsidP="00616BA6">
    <w:pPr>
      <w:pStyle w:val="Header"/>
      <w:jc w:val="right"/>
    </w:pPr>
    <w:r>
      <w:t>CERD/C/ITA/Q/16-18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17"/>
    <w:rsid w:val="00006BB9"/>
    <w:rsid w:val="000107A1"/>
    <w:rsid w:val="0002339D"/>
    <w:rsid w:val="00036733"/>
    <w:rsid w:val="000B57E7"/>
    <w:rsid w:val="000C1315"/>
    <w:rsid w:val="000F09DF"/>
    <w:rsid w:val="000F61B2"/>
    <w:rsid w:val="001075E9"/>
    <w:rsid w:val="00145F2F"/>
    <w:rsid w:val="00160FF7"/>
    <w:rsid w:val="00180183"/>
    <w:rsid w:val="00196389"/>
    <w:rsid w:val="001C7A89"/>
    <w:rsid w:val="00201F1A"/>
    <w:rsid w:val="002433EC"/>
    <w:rsid w:val="0025226E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4B75E2"/>
    <w:rsid w:val="0050108D"/>
    <w:rsid w:val="0051740C"/>
    <w:rsid w:val="00572E19"/>
    <w:rsid w:val="005F0B42"/>
    <w:rsid w:val="00616BA6"/>
    <w:rsid w:val="00634841"/>
    <w:rsid w:val="00655A21"/>
    <w:rsid w:val="006725B3"/>
    <w:rsid w:val="006808A9"/>
    <w:rsid w:val="006D631C"/>
    <w:rsid w:val="006F35EE"/>
    <w:rsid w:val="007021FF"/>
    <w:rsid w:val="007076CB"/>
    <w:rsid w:val="007967DF"/>
    <w:rsid w:val="00802817"/>
    <w:rsid w:val="00834B71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A17DFD"/>
    <w:rsid w:val="00A4674B"/>
    <w:rsid w:val="00A917B3"/>
    <w:rsid w:val="00AB4B51"/>
    <w:rsid w:val="00B066FC"/>
    <w:rsid w:val="00B10CC7"/>
    <w:rsid w:val="00B62458"/>
    <w:rsid w:val="00B778C8"/>
    <w:rsid w:val="00BA0949"/>
    <w:rsid w:val="00BB36EA"/>
    <w:rsid w:val="00BD33EE"/>
    <w:rsid w:val="00C60F0C"/>
    <w:rsid w:val="00C63C2A"/>
    <w:rsid w:val="00C805C9"/>
    <w:rsid w:val="00C8140F"/>
    <w:rsid w:val="00CA1679"/>
    <w:rsid w:val="00D05347"/>
    <w:rsid w:val="00D208A0"/>
    <w:rsid w:val="00D90138"/>
    <w:rsid w:val="00DF2A80"/>
    <w:rsid w:val="00E73F76"/>
    <w:rsid w:val="00EA31D8"/>
    <w:rsid w:val="00EA5579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semiHidden/>
    <w:rsid w:val="00EA31D8"/>
    <w:rPr>
      <w:i/>
      <w:iCs/>
    </w:rPr>
  </w:style>
  <w:style w:type="character" w:styleId="HTMLCode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semiHidden/>
    <w:rsid w:val="00EA31D8"/>
    <w:rPr>
      <w:color w:val="0000FF"/>
      <w:u w:val="single"/>
    </w:rPr>
  </w:style>
  <w:style w:type="character" w:styleId="FollowedHyperlink">
    <w:name w:val="FollowedHyperlink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773</Words>
  <Characters>4254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CERD/C/ITA/Q/16-18 - 12-40532</vt:lpstr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CERD/C/ITA/Q/16-18 - 12-40532</dc:title>
  <dc:subject>FINAL</dc:subject>
  <dc:creator>Ricardo SAENZ</dc:creator>
  <cp:keywords/>
  <dc:description/>
  <cp:lastModifiedBy>Maruchi Zeballos</cp:lastModifiedBy>
  <cp:revision>2</cp:revision>
  <cp:lastPrinted>2012-02-24T15:05:00Z</cp:lastPrinted>
  <dcterms:created xsi:type="dcterms:W3CDTF">2012-02-24T15:05:00Z</dcterms:created>
  <dcterms:modified xsi:type="dcterms:W3CDTF">2012-02-24T15:05:00Z</dcterms:modified>
</cp:coreProperties>
</file>