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9F8FF30" w14:textId="77777777" w:rsidTr="00930651">
        <w:trPr>
          <w:trHeight w:hRule="exact" w:val="851"/>
        </w:trPr>
        <w:tc>
          <w:tcPr>
            <w:tcW w:w="1280" w:type="dxa"/>
            <w:tcBorders>
              <w:bottom w:val="single" w:sz="4" w:space="0" w:color="auto"/>
            </w:tcBorders>
          </w:tcPr>
          <w:p w14:paraId="5A91D1E6" w14:textId="77777777" w:rsidR="002D5AAC" w:rsidRDefault="002D5AAC" w:rsidP="0093065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272E5194"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6FC5942" w14:textId="21379D07" w:rsidR="002D5AAC" w:rsidRDefault="00930651" w:rsidP="00930651">
            <w:pPr>
              <w:jc w:val="right"/>
            </w:pPr>
            <w:r w:rsidRPr="00930651">
              <w:rPr>
                <w:sz w:val="40"/>
              </w:rPr>
              <w:t>CRC</w:t>
            </w:r>
            <w:r>
              <w:t>/C/CAN/RQ/5-6</w:t>
            </w:r>
          </w:p>
        </w:tc>
      </w:tr>
      <w:tr w:rsidR="002D5AAC" w14:paraId="0D4257A7" w14:textId="77777777" w:rsidTr="00930651">
        <w:trPr>
          <w:trHeight w:hRule="exact" w:val="2835"/>
        </w:trPr>
        <w:tc>
          <w:tcPr>
            <w:tcW w:w="1280" w:type="dxa"/>
            <w:tcBorders>
              <w:top w:val="single" w:sz="4" w:space="0" w:color="auto"/>
              <w:bottom w:val="single" w:sz="12" w:space="0" w:color="auto"/>
            </w:tcBorders>
          </w:tcPr>
          <w:p w14:paraId="30628F7B" w14:textId="77777777" w:rsidR="002D5AAC" w:rsidRDefault="007D431B" w:rsidP="007F3812">
            <w:pPr>
              <w:spacing w:before="120"/>
              <w:jc w:val="center"/>
            </w:pPr>
            <w:r>
              <w:rPr>
                <w:noProof/>
              </w:rPr>
              <w:drawing>
                <wp:inline distT="0" distB="0" distL="0" distR="0" wp14:anchorId="5FC80630" wp14:editId="17A23DB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027409E"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E3D985E" w14:textId="77777777" w:rsidR="002D5AAC" w:rsidRDefault="00930651" w:rsidP="007F3812">
            <w:pPr>
              <w:spacing w:before="240"/>
            </w:pPr>
            <w:r>
              <w:t>Distr. general</w:t>
            </w:r>
          </w:p>
          <w:p w14:paraId="528493FB" w14:textId="77777777" w:rsidR="00930651" w:rsidRDefault="00930651" w:rsidP="00930651">
            <w:pPr>
              <w:spacing w:line="240" w:lineRule="exact"/>
            </w:pPr>
            <w:r>
              <w:t>8 de abril de 2022</w:t>
            </w:r>
          </w:p>
          <w:p w14:paraId="0279FAE6" w14:textId="77777777" w:rsidR="00930651" w:rsidRDefault="00930651" w:rsidP="00930651">
            <w:pPr>
              <w:spacing w:line="240" w:lineRule="exact"/>
            </w:pPr>
            <w:r>
              <w:t>Español</w:t>
            </w:r>
          </w:p>
          <w:p w14:paraId="3DEC0254" w14:textId="77777777" w:rsidR="00930651" w:rsidRDefault="00930651" w:rsidP="00930651">
            <w:pPr>
              <w:spacing w:line="240" w:lineRule="exact"/>
            </w:pPr>
            <w:r>
              <w:t>Original: francés e inglés</w:t>
            </w:r>
          </w:p>
          <w:p w14:paraId="0CE6CC90" w14:textId="4602AEB7" w:rsidR="00930651" w:rsidRDefault="00930651" w:rsidP="00930651">
            <w:pPr>
              <w:spacing w:line="240" w:lineRule="exact"/>
            </w:pPr>
            <w:r>
              <w:t>Español, francés e inglés únicamente</w:t>
            </w:r>
          </w:p>
        </w:tc>
      </w:tr>
    </w:tbl>
    <w:p w14:paraId="622BE279" w14:textId="77777777" w:rsidR="00930651" w:rsidRPr="00930651" w:rsidRDefault="00930651" w:rsidP="00930651">
      <w:pPr>
        <w:spacing w:before="120"/>
        <w:rPr>
          <w:b/>
          <w:bCs/>
          <w:sz w:val="24"/>
          <w:szCs w:val="24"/>
        </w:rPr>
      </w:pPr>
      <w:r w:rsidRPr="00930651">
        <w:rPr>
          <w:b/>
          <w:bCs/>
          <w:sz w:val="24"/>
          <w:szCs w:val="24"/>
        </w:rPr>
        <w:t>Comité de los Derechos del Niño</w:t>
      </w:r>
    </w:p>
    <w:p w14:paraId="489C284E" w14:textId="77777777" w:rsidR="00930651" w:rsidRPr="00930651" w:rsidRDefault="00930651" w:rsidP="00930651">
      <w:pPr>
        <w:rPr>
          <w:b/>
          <w:bCs/>
        </w:rPr>
      </w:pPr>
      <w:r w:rsidRPr="00930651">
        <w:rPr>
          <w:b/>
          <w:bCs/>
        </w:rPr>
        <w:t>90º período de sesiones</w:t>
      </w:r>
    </w:p>
    <w:p w14:paraId="29C304D7" w14:textId="77777777" w:rsidR="00930651" w:rsidRPr="00930651" w:rsidRDefault="00930651" w:rsidP="00930651">
      <w:r w:rsidRPr="00930651">
        <w:t>3 de mayo a 3 de junio de 2022</w:t>
      </w:r>
    </w:p>
    <w:p w14:paraId="399D710A" w14:textId="77777777" w:rsidR="00930651" w:rsidRPr="00930651" w:rsidRDefault="00930651" w:rsidP="00930651">
      <w:r w:rsidRPr="00930651">
        <w:t>Tema 4 del programa provisional</w:t>
      </w:r>
    </w:p>
    <w:p w14:paraId="68066AAA" w14:textId="77777777" w:rsidR="00930651" w:rsidRPr="00930651" w:rsidRDefault="00930651" w:rsidP="00930651">
      <w:pPr>
        <w:rPr>
          <w:b/>
          <w:bCs/>
        </w:rPr>
      </w:pPr>
      <w:r w:rsidRPr="00930651">
        <w:rPr>
          <w:b/>
          <w:bCs/>
        </w:rPr>
        <w:t>Examen de los informes presentados por los Estados partes</w:t>
      </w:r>
    </w:p>
    <w:p w14:paraId="5936FA63" w14:textId="2DEF2488" w:rsidR="00930651" w:rsidRPr="00930651" w:rsidRDefault="00930651" w:rsidP="00930651">
      <w:pPr>
        <w:pStyle w:val="HMG"/>
      </w:pPr>
      <w:r>
        <w:tab/>
      </w:r>
      <w:r w:rsidRPr="00930651">
        <w:tab/>
        <w:t xml:space="preserve">Respuestas del Canadá a </w:t>
      </w:r>
      <w:r w:rsidR="00F248E9">
        <w:t xml:space="preserve">la </w:t>
      </w:r>
      <w:r w:rsidRPr="00930651">
        <w:t>lista de cuestiones relativa a sus informes periódicos quinto y sexto</w:t>
      </w:r>
      <w:r>
        <w:t> </w:t>
      </w:r>
      <w:r w:rsidRPr="00930651">
        <w:t>combinados</w:t>
      </w:r>
      <w:r w:rsidRPr="00930651">
        <w:rPr>
          <w:rStyle w:val="Refdenotaalpie"/>
          <w:b w:val="0"/>
          <w:bCs/>
          <w:sz w:val="20"/>
          <w:vertAlign w:val="baseline"/>
        </w:rPr>
        <w:footnoteReference w:customMarkFollows="1" w:id="1"/>
        <w:t>*</w:t>
      </w:r>
      <w:r w:rsidRPr="00930651">
        <w:rPr>
          <w:b w:val="0"/>
          <w:bCs/>
          <w:sz w:val="20"/>
        </w:rPr>
        <w:t xml:space="preserve"> </w:t>
      </w:r>
      <w:r w:rsidRPr="00930651">
        <w:rPr>
          <w:rStyle w:val="Refdenotaalpie"/>
          <w:b w:val="0"/>
          <w:bCs/>
          <w:sz w:val="20"/>
          <w:vertAlign w:val="baseline"/>
        </w:rPr>
        <w:footnoteReference w:customMarkFollows="1" w:id="2"/>
        <w:t>**</w:t>
      </w:r>
    </w:p>
    <w:p w14:paraId="2D3080C2" w14:textId="77777777" w:rsidR="00930651" w:rsidRPr="00930651" w:rsidRDefault="00930651" w:rsidP="00930651">
      <w:pPr>
        <w:pStyle w:val="SingleTxtG"/>
        <w:jc w:val="right"/>
      </w:pPr>
      <w:r w:rsidRPr="00930651">
        <w:t>[Fecha de recepción: 4 de abril de 2022]</w:t>
      </w:r>
    </w:p>
    <w:p w14:paraId="38C84F52" w14:textId="77777777" w:rsidR="00930651" w:rsidRPr="00930651" w:rsidRDefault="00930651" w:rsidP="00930651">
      <w:pPr>
        <w:pStyle w:val="SingleTxtG"/>
      </w:pPr>
      <w:r w:rsidRPr="00930651">
        <w:br w:type="page"/>
      </w:r>
    </w:p>
    <w:p w14:paraId="7797C325" w14:textId="780762D2" w:rsidR="00930651" w:rsidRPr="00930651" w:rsidRDefault="00930651" w:rsidP="00930651">
      <w:pPr>
        <w:pStyle w:val="HChG"/>
      </w:pPr>
      <w:r>
        <w:lastRenderedPageBreak/>
        <w:tab/>
      </w:r>
      <w:r w:rsidRPr="00930651">
        <w:tab/>
        <w:t>Introducción</w:t>
      </w:r>
    </w:p>
    <w:p w14:paraId="142651CA" w14:textId="012E872A" w:rsidR="00930651" w:rsidRPr="00930651" w:rsidRDefault="00930651" w:rsidP="00F248E9">
      <w:pPr>
        <w:pStyle w:val="SingleTxtG"/>
        <w:spacing w:after="130"/>
      </w:pPr>
      <w:r w:rsidRPr="00930651">
        <w:t>1.</w:t>
      </w:r>
      <w:r w:rsidRPr="00930651">
        <w:tab/>
        <w:t xml:space="preserve">La presente respuesta a la lista de cuestiones relativa a los informes periódicos quinto y sexto del Canadá (en adelante </w:t>
      </w:r>
      <w:r w:rsidR="00524448">
        <w:t>“</w:t>
      </w:r>
      <w:r w:rsidRPr="00930651">
        <w:t>el informe periódico</w:t>
      </w:r>
      <w:r w:rsidR="00524448">
        <w:t>”</w:t>
      </w:r>
      <w:r w:rsidRPr="00930651">
        <w:t>) en relación con la Convención sobre los Derechos del Niño</w:t>
      </w:r>
      <w:r w:rsidRPr="00930651">
        <w:rPr>
          <w:i/>
          <w:iCs/>
        </w:rPr>
        <w:t xml:space="preserve"> </w:t>
      </w:r>
      <w:r w:rsidRPr="00930651">
        <w:t>de las Naciones Unidas fue preparada por el Gobierno federal en colaboración con los gobiernos de las provincias y los territorios.</w:t>
      </w:r>
    </w:p>
    <w:p w14:paraId="1D1C62DD" w14:textId="75C95544" w:rsidR="00930651" w:rsidRPr="00930651" w:rsidRDefault="00930651" w:rsidP="00F248E9">
      <w:pPr>
        <w:pStyle w:val="SingleTxtG"/>
        <w:spacing w:after="130"/>
      </w:pPr>
      <w:r w:rsidRPr="00930651">
        <w:t>2.</w:t>
      </w:r>
      <w:r w:rsidRPr="00930651">
        <w:tab/>
        <w:t xml:space="preserve">Por </w:t>
      </w:r>
      <w:r w:rsidR="00524448">
        <w:t>“</w:t>
      </w:r>
      <w:r w:rsidRPr="00930651">
        <w:t>el Gobierno del Canadá</w:t>
      </w:r>
      <w:r w:rsidR="00524448">
        <w:t>”</w:t>
      </w:r>
      <w:r w:rsidRPr="00930651">
        <w:t xml:space="preserve"> se entenderá el Gobierno federal del Canadá, mientras que la denominación </w:t>
      </w:r>
      <w:r w:rsidR="00524448">
        <w:t>“</w:t>
      </w:r>
      <w:r w:rsidRPr="00930651">
        <w:t>el Canadá</w:t>
      </w:r>
      <w:r w:rsidR="00524448">
        <w:t>”</w:t>
      </w:r>
      <w:r w:rsidRPr="00930651">
        <w:t xml:space="preserve"> designará por lo general el conjunto de los gobiernos federal, provinciales y territoriales. Las menciones a provincias o territorios se entenderán como referencias a sus gobiernos. Por </w:t>
      </w:r>
      <w:r w:rsidR="00524448">
        <w:t>“</w:t>
      </w:r>
      <w:r w:rsidRPr="00930651">
        <w:t>pueblos indígenas</w:t>
      </w:r>
      <w:r w:rsidR="00524448">
        <w:t>”</w:t>
      </w:r>
      <w:r w:rsidRPr="00930651">
        <w:t xml:space="preserve"> se entenderá </w:t>
      </w:r>
      <w:r w:rsidR="00524448">
        <w:t>“</w:t>
      </w:r>
      <w:r w:rsidRPr="00930651">
        <w:t>las Primeras Naciones, los inuit y los pueblos mestizos</w:t>
      </w:r>
      <w:r w:rsidR="00524448">
        <w:t>”</w:t>
      </w:r>
    </w:p>
    <w:p w14:paraId="65097FC4" w14:textId="77777777" w:rsidR="00930651" w:rsidRPr="00930651" w:rsidRDefault="00930651" w:rsidP="00F248E9">
      <w:pPr>
        <w:pStyle w:val="SingleTxtG"/>
        <w:spacing w:after="130"/>
      </w:pPr>
      <w:r w:rsidRPr="00930651">
        <w:t>3.</w:t>
      </w:r>
      <w:r w:rsidRPr="00930651">
        <w:tab/>
        <w:t>Dado el límite de palabras obligatorio y el elevado número de cuestiones planteadas en la lista de cuestiones, las medidas resaltadas no constituyen una enumeración exhaustiva.</w:t>
      </w:r>
    </w:p>
    <w:p w14:paraId="387766FC" w14:textId="77777777" w:rsidR="00930651" w:rsidRPr="00930651" w:rsidRDefault="00930651" w:rsidP="00F248E9">
      <w:pPr>
        <w:pStyle w:val="SingleTxtG"/>
        <w:spacing w:after="130"/>
      </w:pPr>
      <w:r w:rsidRPr="00930651">
        <w:t>4.</w:t>
      </w:r>
      <w:r w:rsidRPr="00930651">
        <w:tab/>
        <w:t>El Gobierno del Canadá reconoce que aún se debe hacer más en favor del respeto por los derechos de todos los niños y jóvenes, en particular los de aquellos que enfrentan obstáculos sistémicos, y especialmente de los niños, jóvenes y comunidades indígenas que siguen acusando el trauma intergeneracional de los pensionados e intentando superarlo.</w:t>
      </w:r>
    </w:p>
    <w:p w14:paraId="57B690C9" w14:textId="62997BE5" w:rsidR="00930651" w:rsidRPr="00930651" w:rsidRDefault="00930651" w:rsidP="00101402">
      <w:pPr>
        <w:pStyle w:val="HChG"/>
      </w:pPr>
      <w:r>
        <w:tab/>
      </w:r>
      <w:r>
        <w:tab/>
      </w:r>
      <w:r w:rsidRPr="00930651">
        <w:t>Parte I</w:t>
      </w:r>
    </w:p>
    <w:p w14:paraId="11DD548D" w14:textId="77ABA3FB" w:rsidR="00930651" w:rsidRPr="00930651" w:rsidRDefault="00930651" w:rsidP="00930651">
      <w:pPr>
        <w:pStyle w:val="H23G"/>
      </w:pPr>
      <w:r>
        <w:tab/>
      </w:r>
      <w:r w:rsidRPr="00930651">
        <w:tab/>
        <w:t>Respuesta al párrafo 2 a) de la lista de cuestiones relativa a los informes periódicos</w:t>
      </w:r>
      <w:r>
        <w:t> </w:t>
      </w:r>
      <w:r w:rsidRPr="00930651">
        <w:t>quinto y sexto combinados del Canadá (CRC/C/CAN/Q/5-6)</w:t>
      </w:r>
    </w:p>
    <w:p w14:paraId="73015D6B" w14:textId="77777777" w:rsidR="00930651" w:rsidRPr="00930651" w:rsidRDefault="00930651" w:rsidP="00F248E9">
      <w:pPr>
        <w:pStyle w:val="SingleTxtG"/>
        <w:spacing w:after="130"/>
      </w:pPr>
      <w:r w:rsidRPr="00930651">
        <w:t>5.</w:t>
      </w:r>
      <w:r w:rsidRPr="00930651">
        <w:tab/>
        <w:t>Desde marzo de 2020, las medidas de salud pública debidas a la COVID-19, a saber, el cierre de escuelas y las restricciones impuestas a las reuniones sociales y la actividad comercial, han repercutido de forma negativa en el bienestar infantil. En particular, los niños han visto afectada su salud mental y física y han sufrido limitaciones de su acceso a la actividad física y lúdica y a los servicios sociales, médicos y de otro tipo. Ciertos grupos de niños se han visto afectados de forma desproporcionada, entre ellos los niños de hogares de menor nivel socioeconómico, los niños racializados y los niños indígenas. Para hacer frente a estas dificultades, el Canadá adoptó un todo un abanico de medidas para proteger los derechos del niño.</w:t>
      </w:r>
    </w:p>
    <w:p w14:paraId="1669B48E" w14:textId="77777777" w:rsidR="00930651" w:rsidRPr="00930651" w:rsidRDefault="00930651" w:rsidP="00F248E9">
      <w:pPr>
        <w:pStyle w:val="SingleTxtG"/>
        <w:spacing w:after="130"/>
      </w:pPr>
      <w:r w:rsidRPr="00930651">
        <w:t>6.</w:t>
      </w:r>
      <w:r w:rsidRPr="00930651">
        <w:tab/>
        <w:t>El Canadá hizo considerables inversiones en el sector de la educación, con el fin de adaptar los espacios de aprendizaje a las exigencias de la salud pública, facilitar el uso de las tecnologías y contratar a más personal, incluso en las comunidades indígenas. El Canadá también priorizó la educación presencial de los niños con necesidades especiales, para quienes el aprendizaje en línea habría sido especialmente complicado.</w:t>
      </w:r>
    </w:p>
    <w:p w14:paraId="7040679A" w14:textId="77777777" w:rsidR="00930651" w:rsidRPr="00930651" w:rsidRDefault="00930651" w:rsidP="00F248E9">
      <w:pPr>
        <w:pStyle w:val="SingleTxtG"/>
        <w:spacing w:after="130"/>
      </w:pPr>
      <w:r w:rsidRPr="00930651">
        <w:t>7.</w:t>
      </w:r>
      <w:r w:rsidRPr="00930651">
        <w:tab/>
        <w:t>El Canadá amplió el apoyo a la salud mental de los niños y las familias, y el acceso a los servicios de orientación y a las líneas telefónicas de crisis; y procuró mantener en actividad los servicios de mayor importancia para la infancia, por ejemplo, los servicios de guardería, en la medida de lo posible.</w:t>
      </w:r>
    </w:p>
    <w:p w14:paraId="71D36BBD" w14:textId="77777777" w:rsidR="00930651" w:rsidRPr="00930651" w:rsidRDefault="00930651" w:rsidP="00F248E9">
      <w:pPr>
        <w:pStyle w:val="SingleTxtG"/>
        <w:spacing w:after="130"/>
      </w:pPr>
      <w:r w:rsidRPr="00930651">
        <w:t>8.</w:t>
      </w:r>
      <w:r w:rsidRPr="00930651">
        <w:tab/>
        <w:t>El Gobierno del Canadá adoptó medidas de sostenimiento de la renta para apoyar a los trabajadores canadienses que reuniesen las condiciones requeridas y que no pudiesen trabajar debido a la COVID-19, lo que redundó en beneficio de los niños indirectamente. Por ejemplo, se introdujeron modificaciones transitorias en el régimen del Seguro de Empleo y tres prestaciones temporales: la prestación canadiense para la recuperación económica, la prestación canadiense por enfermedad para la recuperación económica y la prestación canadiense para los allegados cuidadores. Además, prestó apoyo de forma temporal a las familias que recibían prestaciones por hijos a cargo, con el fin de mitigar las repercusiones financieras de la pandemia. Las provincias y los territorios ofrecieron prestaciones complementarias para brindar más apoyo a las personas que no reunían las condiciones para recibir las prestaciones federales o proporcionaron financiación directa a los padres para mitigar los costos de la educación en línea y el cuidado de los hijos.</w:t>
      </w:r>
    </w:p>
    <w:p w14:paraId="56D927F9" w14:textId="77777777" w:rsidR="00930651" w:rsidRPr="00930651" w:rsidRDefault="00930651" w:rsidP="00F248E9">
      <w:pPr>
        <w:pStyle w:val="SingleTxtG"/>
        <w:keepNext/>
        <w:keepLines/>
      </w:pPr>
      <w:r w:rsidRPr="00930651">
        <w:lastRenderedPageBreak/>
        <w:t>9.</w:t>
      </w:r>
      <w:r w:rsidRPr="00930651">
        <w:tab/>
        <w:t>En el anexo I figura información más específica sobre las medidas federales, provinciales y territoriales para mitigar los efectos de la pandemia de COVID-19 en los niños.</w:t>
      </w:r>
      <w:bookmarkStart w:id="0" w:name="_Hlk88231267"/>
    </w:p>
    <w:bookmarkEnd w:id="0"/>
    <w:p w14:paraId="63DF4E1A" w14:textId="30D17E13" w:rsidR="00930651" w:rsidRPr="00930651" w:rsidRDefault="00930651" w:rsidP="00930651">
      <w:pPr>
        <w:pStyle w:val="H23G"/>
      </w:pPr>
      <w:r>
        <w:tab/>
      </w:r>
      <w:r w:rsidRPr="00930651">
        <w:tab/>
        <w:t>Respuesta al párrafo 2 b) de la lista de cuestiones</w:t>
      </w:r>
    </w:p>
    <w:p w14:paraId="08C422B3" w14:textId="77777777" w:rsidR="00930651" w:rsidRPr="00930651" w:rsidRDefault="00930651" w:rsidP="00930651">
      <w:pPr>
        <w:pStyle w:val="SingleTxtG"/>
      </w:pPr>
      <w:r w:rsidRPr="00930651">
        <w:t>10.</w:t>
      </w:r>
      <w:r w:rsidRPr="00930651">
        <w:tab/>
        <w:t>Actualmente, el Gobierno del Canadá está celebrando consultas con las provincias y los territorios, tras las cuales reevaluará la necesidad de mantener su reserva al artículo 37 c).</w:t>
      </w:r>
    </w:p>
    <w:p w14:paraId="6773EC0A" w14:textId="49CFACBF" w:rsidR="00930651" w:rsidRPr="00930651" w:rsidRDefault="00930651" w:rsidP="00930651">
      <w:pPr>
        <w:pStyle w:val="H23G"/>
      </w:pPr>
      <w:r>
        <w:tab/>
      </w:r>
      <w:r w:rsidRPr="00930651">
        <w:tab/>
        <w:t xml:space="preserve">Respuesta al párrafo 2 d) de la lista de cuestiones </w:t>
      </w:r>
    </w:p>
    <w:p w14:paraId="6533329E" w14:textId="42A5DB66" w:rsidR="00930651" w:rsidRPr="00930651" w:rsidRDefault="00930651" w:rsidP="00930651">
      <w:pPr>
        <w:pStyle w:val="SingleTxtG"/>
      </w:pPr>
      <w:r w:rsidRPr="00930651">
        <w:t>11.</w:t>
      </w:r>
      <w:r w:rsidRPr="00930651">
        <w:tab/>
        <w:t xml:space="preserve">El marco federal del Canadá no prevé la adopción de </w:t>
      </w:r>
      <w:r w:rsidR="00524448">
        <w:t>“</w:t>
      </w:r>
      <w:r w:rsidRPr="00930651">
        <w:t>leyes nacionales</w:t>
      </w:r>
      <w:r w:rsidR="00524448">
        <w:t>”</w:t>
      </w:r>
      <w:r w:rsidRPr="00930651">
        <w:t xml:space="preserve"> como las recomendadas por el Comité anteriormente. En relación con lo indicado en el párrafo 11 del informe periódico del Canadá, en noviembre de 2020, los ministros federales, provinciales y territoriales crearon el Foro de Ministros sobre los Derechos Humanos, que se reunirá cada dos años, para compartir información y orientar al Comité de Altos Funcionarios Responsables por los Derechos Humanos y al Comité Permanente de Funcionarios de Derechos Humanos. Estos </w:t>
      </w:r>
      <w:r w:rsidR="00F248E9" w:rsidRPr="00930651">
        <w:t xml:space="preserve">Comités </w:t>
      </w:r>
      <w:r w:rsidRPr="00930651">
        <w:t>se encargan de la consulta y la colaboración respecto de la adhesión del Canadá a los tratados internacionales de derechos humanos y su aplicación interna. Los ministros también suscribieron un Protocolo de Seguimiento de las Recomendaciones Formuladas por los Órganos de Derechos Humanos y una Estrategia de Participación del Canadá en el Proceso Internacional de Presentación de Informes sobre los Derechos Humanos.</w:t>
      </w:r>
    </w:p>
    <w:p w14:paraId="7829C251" w14:textId="77777777" w:rsidR="00930651" w:rsidRPr="00930651" w:rsidRDefault="00930651" w:rsidP="00930651">
      <w:pPr>
        <w:pStyle w:val="SingleTxtG"/>
      </w:pPr>
      <w:r w:rsidRPr="00930651">
        <w:t>12.</w:t>
      </w:r>
      <w:r w:rsidRPr="00930651">
        <w:tab/>
        <w:t>En las respuestas a las cuestiones 3 a) y 16 c) y en los párrafos 7 a 11 del informe periódico del Canadá se presentan ejemplos de los planes de acción y estrategias nacionales para la aplicación coherente de la Convención sobre los Derechos del Niño.</w:t>
      </w:r>
    </w:p>
    <w:p w14:paraId="7510A558" w14:textId="3A8F0E61" w:rsidR="00930651" w:rsidRPr="00930651" w:rsidRDefault="00930651" w:rsidP="00930651">
      <w:pPr>
        <w:pStyle w:val="H23G"/>
      </w:pPr>
      <w:r>
        <w:tab/>
      </w:r>
      <w:r w:rsidRPr="00930651">
        <w:tab/>
        <w:t>Respuesta al párrafo 3 a) de la lista de cuestiones</w:t>
      </w:r>
    </w:p>
    <w:p w14:paraId="1AA40DFE" w14:textId="77777777" w:rsidR="00930651" w:rsidRPr="00930651" w:rsidRDefault="00930651" w:rsidP="00930651">
      <w:pPr>
        <w:pStyle w:val="SingleTxtG"/>
      </w:pPr>
      <w:r w:rsidRPr="00930651">
        <w:t>13.</w:t>
      </w:r>
      <w:r w:rsidRPr="00930651">
        <w:tab/>
        <w:t>El Gobierno del Canadá ha adoptado estrategias nacionales de apoyo a los derechos del niño. A través de Estrategia Nacional de Lucha contra la Trata de Personas 2019-2024 se amplía el apoyo a las víctimas y los supervivientes de la trata de personas y se da a los niños y jóvenes los medios de protegerse a sí mismos. La estrategia del Canadá para combatir la falta de hogar,</w:t>
      </w:r>
      <w:r w:rsidRPr="00930651">
        <w:rPr>
          <w:i/>
          <w:iCs/>
        </w:rPr>
        <w:t xml:space="preserve"> </w:t>
      </w:r>
      <w:r w:rsidRPr="00930651">
        <w:t xml:space="preserve">denominada </w:t>
      </w:r>
      <w:r w:rsidRPr="00930651">
        <w:rPr>
          <w:i/>
          <w:iCs/>
        </w:rPr>
        <w:t>2020 Reaching Home</w:t>
      </w:r>
      <w:r w:rsidRPr="00930651">
        <w:t>, se propone reducir y prevenir el problema de la falta de hogar en todo el país.</w:t>
      </w:r>
    </w:p>
    <w:p w14:paraId="22B987D7" w14:textId="1D2769B8" w:rsidR="00930651" w:rsidRPr="00930651" w:rsidRDefault="00930651" w:rsidP="00930651">
      <w:pPr>
        <w:pStyle w:val="H23G"/>
      </w:pPr>
      <w:r>
        <w:tab/>
      </w:r>
      <w:r w:rsidRPr="00930651">
        <w:tab/>
        <w:t>Respuesta al párrafo 3 c) de la lista de cuestiones</w:t>
      </w:r>
    </w:p>
    <w:p w14:paraId="429D1048" w14:textId="4A871074" w:rsidR="00930651" w:rsidRPr="00930651" w:rsidRDefault="00930651" w:rsidP="00930651">
      <w:pPr>
        <w:pStyle w:val="SingleTxtG"/>
      </w:pPr>
      <w:r w:rsidRPr="00930651">
        <w:t>14.</w:t>
      </w:r>
      <w:r w:rsidRPr="00930651">
        <w:tab/>
        <w:t>El Gobierno federal y los gobiernos de las provincias y los territorios han comenzado a utilizar el análisis basado en el género plus, o herramientas o procesos analíticos similares, para evaluar los efectos de las iniciativas en distintos grupos, por ejemplo, los niños y los jóvenes, y para diseñar políticas, programas y servicios inclusivos y accesibles. Asimismo, de conformidad con la Ley de Presupuestación con Perspectiva de Género del Canadá, de</w:t>
      </w:r>
      <w:r w:rsidR="00F248E9">
        <w:t> </w:t>
      </w:r>
      <w:r w:rsidRPr="00930651">
        <w:t>2018, el Ministro de Finanzas federal debe informar sobre las repercusiones en materia de género y diversidad de todas las medidas presupuestarias detalladas en el plan. Para evaluar las repercusiones se utiliza una plantilla de análisis basado en el género plus.</w:t>
      </w:r>
    </w:p>
    <w:p w14:paraId="1E867772" w14:textId="7FBA2639" w:rsidR="00930651" w:rsidRPr="00930651" w:rsidRDefault="00930651" w:rsidP="00930651">
      <w:pPr>
        <w:pStyle w:val="SingleTxtG"/>
      </w:pPr>
      <w:r w:rsidRPr="00930651">
        <w:t>15.</w:t>
      </w:r>
      <w:r w:rsidRPr="00930651">
        <w:tab/>
        <w:t xml:space="preserve">En 2018, el Grupo de Trabajo Interdepartamental sobre los Derechos del Niño, de ámbito federal, se asoció con expertos en los derechos del niño para impartir a funcionarios del </w:t>
      </w:r>
      <w:r w:rsidR="0011015D" w:rsidRPr="00930651">
        <w:t xml:space="preserve">Gobierno </w:t>
      </w:r>
      <w:r w:rsidRPr="00930651">
        <w:t>federal formación sobre la evaluación de los efectos sobre los derechos del niño. En 2020 y 2021, el Gobierno del Canadá colaboró con un grupo asesor de la sociedad civil para orientar el desarrollo de una herramienta de evaluación de los efectos sobre los derechos del niño. También elaboró una herramienta de análisis de los efectos en los jóvenes para que los encargados de formular políticas tengan en cuenta las perspectivas de los jóvenes y los posibles efectos sobre ellos.</w:t>
      </w:r>
    </w:p>
    <w:p w14:paraId="27A1095D" w14:textId="45B91DC6" w:rsidR="00930651" w:rsidRPr="00930651" w:rsidRDefault="00930651" w:rsidP="00930651">
      <w:pPr>
        <w:pStyle w:val="H23G"/>
      </w:pPr>
      <w:r>
        <w:tab/>
      </w:r>
      <w:r w:rsidRPr="00930651">
        <w:tab/>
        <w:t xml:space="preserve">Respuesta al párrafo 4 a) de la lista de cuestiones </w:t>
      </w:r>
    </w:p>
    <w:p w14:paraId="67F0EA0F" w14:textId="49BF95FE" w:rsidR="00930651" w:rsidRPr="00930651" w:rsidRDefault="00930651" w:rsidP="00930651">
      <w:pPr>
        <w:pStyle w:val="SingleTxtG"/>
      </w:pPr>
      <w:r w:rsidRPr="00930651">
        <w:t>16.</w:t>
      </w:r>
      <w:r w:rsidRPr="00930651">
        <w:tab/>
        <w:t>Todas las provincias y territorios mejoraron su labor de reunión de datos, en particular respecto de los niños en régimen de guarda, los niños en situaciones de vulnerabilidad y los niños indígenas</w:t>
      </w:r>
      <w:r w:rsidR="00F248E9">
        <w:t>:</w:t>
      </w:r>
    </w:p>
    <w:p w14:paraId="205020E9" w14:textId="05AD36F8" w:rsidR="00930651" w:rsidRPr="00930651" w:rsidRDefault="00930651" w:rsidP="00930651">
      <w:pPr>
        <w:pStyle w:val="Bullet1G"/>
      </w:pPr>
      <w:r w:rsidRPr="00930651">
        <w:lastRenderedPageBreak/>
        <w:t>Los gobiernos de Nueva Escocia y las islas del Príncipe Eduardo están desarrollando sistemas electrónicos de gestión para los niños en régimen de guarda. Los de Manitoba y Quebec mejoraron los sistemas existentes para mejorar el rastreo de la información sobre los niños en situaciones de vulnerabilidad</w:t>
      </w:r>
      <w:r>
        <w:t>.</w:t>
      </w:r>
    </w:p>
    <w:p w14:paraId="3D0B4DDB" w14:textId="02250AA3" w:rsidR="00930651" w:rsidRPr="00930651" w:rsidRDefault="00930651" w:rsidP="00930651">
      <w:pPr>
        <w:pStyle w:val="Bullet1G"/>
      </w:pPr>
      <w:r w:rsidRPr="00930651">
        <w:t>En 2020, se enmendó la Ley de Escuelas de Columbia Británica para autorizar la asignación de un Número Personal Escolar a cada niño residente en la provincia, con el fin de contribuir a la toma de decisiones sobre la base de datos concluyentes y la capacidad de planificación y preparación de la matriculación en el sistema educativo, desde la enseñanza preescolar hasta el final de la enseñanza secundaria. El gobierno de Columbia Británica está cooperando con sus asociados indígenas para que los datos que se recopilen se correspondan con las necesidades de los asociados indígenas</w:t>
      </w:r>
      <w:r>
        <w:t>.</w:t>
      </w:r>
    </w:p>
    <w:p w14:paraId="75B6A1C6" w14:textId="7A281776" w:rsidR="00930651" w:rsidRPr="00930651" w:rsidRDefault="00930651" w:rsidP="00930651">
      <w:pPr>
        <w:pStyle w:val="Bullet1G"/>
      </w:pPr>
      <w:r w:rsidRPr="00930651">
        <w:t>El gobierno de los Territorios del Noroeste canalizó los datos del Instrumento de Medida del Desarrollo de la Primera Infancia para formular indicadores con miras a reducir la vulnerabilidad de la población. A partir de 2021, los informes pasaron de presentarse cada tres años a presentarse cada año</w:t>
      </w:r>
      <w:r>
        <w:t>.</w:t>
      </w:r>
    </w:p>
    <w:p w14:paraId="7A691340" w14:textId="7180B6BC" w:rsidR="00930651" w:rsidRPr="00930651" w:rsidRDefault="00930651" w:rsidP="00930651">
      <w:pPr>
        <w:pStyle w:val="Bullet1G"/>
      </w:pPr>
      <w:r w:rsidRPr="00930651">
        <w:t>Actualmente, el gobierno de Ontario recopila datos autodeclarados sobre la identidad de los jóvenes en situación de detención, en particular los que están bajo custodia o bajo la responsabilidad de los servicios comunitarios de justicia juvenil.</w:t>
      </w:r>
    </w:p>
    <w:p w14:paraId="2C1474DD" w14:textId="55E9FF6C" w:rsidR="00930651" w:rsidRPr="00930651" w:rsidRDefault="00930651" w:rsidP="00930651">
      <w:pPr>
        <w:pStyle w:val="H23G"/>
      </w:pPr>
      <w:r>
        <w:tab/>
      </w:r>
      <w:r w:rsidRPr="00930651">
        <w:tab/>
        <w:t>Respuesta al párrafo 4 b) de la lista de cuestiones</w:t>
      </w:r>
    </w:p>
    <w:p w14:paraId="27D40A71" w14:textId="77777777" w:rsidR="00930651" w:rsidRPr="00930651" w:rsidRDefault="00930651" w:rsidP="00930651">
      <w:pPr>
        <w:pStyle w:val="SingleTxtG"/>
      </w:pPr>
      <w:r w:rsidRPr="00930651">
        <w:t>17.</w:t>
      </w:r>
      <w:r w:rsidRPr="00930651">
        <w:tab/>
        <w:t>En septiembre de 2020, se presentó en el Senado el proyecto de ley S-210, o Ley de Establecimiento de la Oficina del Comisionado para la Infancia y la Juventud del Canadá, que equivale al anterior proyecto de ley S-217. El proyecto de ley fue desechado al disolverse el Parlamento en agosto de 2021.</w:t>
      </w:r>
    </w:p>
    <w:p w14:paraId="0CA167D2" w14:textId="0CF8BD63" w:rsidR="00930651" w:rsidRPr="00930651" w:rsidRDefault="00930651" w:rsidP="00930651">
      <w:pPr>
        <w:pStyle w:val="H23G"/>
      </w:pPr>
      <w:r>
        <w:tab/>
      </w:r>
      <w:r w:rsidRPr="00930651">
        <w:tab/>
        <w:t>Respuesta al párrafo 5 a) de la lista de cuestiones</w:t>
      </w:r>
    </w:p>
    <w:p w14:paraId="2718A3CE" w14:textId="030D5FAD" w:rsidR="00930651" w:rsidRPr="00930651" w:rsidRDefault="00930651" w:rsidP="00930651">
      <w:pPr>
        <w:pStyle w:val="SingleTxtG"/>
      </w:pPr>
      <w:r w:rsidRPr="00930651">
        <w:t>18.</w:t>
      </w:r>
      <w:r w:rsidRPr="00930651">
        <w:tab/>
        <w:t xml:space="preserve">Con miras a lograr un Canadá sin barreras de aquí a 2040, el Parlamento federal promulgó la Ley Canadiense de Accesibilidad en julio de 2019. En virtud de esta </w:t>
      </w:r>
      <w:r w:rsidR="00FC1396" w:rsidRPr="00930651">
        <w:t xml:space="preserve">Ley </w:t>
      </w:r>
      <w:r w:rsidRPr="00930651">
        <w:t xml:space="preserve">se crearon las Normas de Accesibilidad del Canadá con el fin de desarrollar normas, investigar y difundir información sobre la identificación, supresión y prevención de las barreras. El Gobierno del Canadá estableció también la Dirección de Accesibilidad del Canadá para que dirigiera la aplicación de la </w:t>
      </w:r>
      <w:r w:rsidR="00FC1396" w:rsidRPr="00930651">
        <w:t>Ley</w:t>
      </w:r>
      <w:r w:rsidRPr="00930651">
        <w:t>.</w:t>
      </w:r>
    </w:p>
    <w:p w14:paraId="7750D85F" w14:textId="77777777" w:rsidR="00930651" w:rsidRPr="00930651" w:rsidRDefault="00930651" w:rsidP="00930651">
      <w:pPr>
        <w:pStyle w:val="SingleTxtG"/>
      </w:pPr>
      <w:r w:rsidRPr="00930651">
        <w:t>19.</w:t>
      </w:r>
      <w:r w:rsidRPr="00930651">
        <w:tab/>
        <w:t>En consonancia con la Estrategia de Lucha contra el Racismo, el Gobierno del Canadá ha realizado inversiones centradas en la juventud, con el fin de mejorar el apoyo que la comunidad brinda a los jóvenes negros y de favorecer trabajos de investigación que permitan diseñar programas de salud mental culturalmente mejor adaptados en las comunidades negras. También se ofrecieron fondos a organizaciones que ayudan a jóvenes de diferentes entornos a superar los obstáculos al empleo y a desarrollar competencias y conocimientos para participar en el mercado de trabajo.</w:t>
      </w:r>
    </w:p>
    <w:p w14:paraId="738999BD" w14:textId="77777777" w:rsidR="00930651" w:rsidRPr="00930651" w:rsidRDefault="00930651" w:rsidP="00930651">
      <w:pPr>
        <w:pStyle w:val="SingleTxtG"/>
      </w:pPr>
      <w:r w:rsidRPr="00930651">
        <w:t>20.</w:t>
      </w:r>
      <w:r w:rsidRPr="00930651">
        <w:tab/>
        <w:t>El Gobierno del Canadá ha tomado medidas para aplicar las providencias y mejorar el acceso de los niños y jóvenes indígenas a los servicios:</w:t>
      </w:r>
    </w:p>
    <w:p w14:paraId="00DBD0CA" w14:textId="03D61BFE" w:rsidR="00930651" w:rsidRPr="00930651" w:rsidRDefault="00930651" w:rsidP="00930651">
      <w:pPr>
        <w:pStyle w:val="Bullet1G"/>
      </w:pPr>
      <w:r w:rsidRPr="00930651">
        <w:t>Se promulgó en 2019 la Ley sobre los Niños, los Jóvenes y las Familias de las Primeras Naciones, los Inuits y los Mestizos, que consagra la competencia de estos pueblos indígenas en materia de servicios a la infancia y la familia; contribuye a la aplicación de la Declaración de las Naciones Unidas sobre los Derechos de los Pueblos Indígenas; y establece principios como el del interés superior del niño, la comunidad cultural y la igualdad sustantiva a fin de orientar la prestación de servicios a la infancia y la familia para los niños indígenas.</w:t>
      </w:r>
    </w:p>
    <w:p w14:paraId="0BE582DE" w14:textId="0D2C9F02" w:rsidR="00930651" w:rsidRPr="00930651" w:rsidRDefault="00930651" w:rsidP="00930651">
      <w:pPr>
        <w:pStyle w:val="Bullet1G"/>
      </w:pPr>
      <w:r w:rsidRPr="00930651">
        <w:t xml:space="preserve">En consonancia con la providencia del Tribunal de Derechos Humanos en relación con la causa </w:t>
      </w:r>
      <w:r w:rsidRPr="00930651">
        <w:rPr>
          <w:i/>
          <w:iCs/>
        </w:rPr>
        <w:t>Caring Society v. Canada</w:t>
      </w:r>
      <w:r w:rsidRPr="00930651">
        <w:t xml:space="preserve"> de 2018, el Gobierno del Canadá está reembolsando a los organismos del Programa de Servicios a la Infancia y a la Familia de las Primeras Naciones los montos correspondientes a sus gastos efectivos relacionados con la prevención o las medidas menos perturbadoras, la reparación de edificios, la acogida, la investigación y los honorarios de abogados; también está </w:t>
      </w:r>
      <w:r w:rsidRPr="00930651">
        <w:lastRenderedPageBreak/>
        <w:t>reembolsando a las Primeras Naciones de Ontario los gastos relacionados con los servicios de los representantes de banda</w:t>
      </w:r>
      <w:r>
        <w:t>.</w:t>
      </w:r>
    </w:p>
    <w:p w14:paraId="7EDA3BF0" w14:textId="47283457" w:rsidR="00930651" w:rsidRPr="00930651" w:rsidRDefault="00930651" w:rsidP="00930651">
      <w:pPr>
        <w:pStyle w:val="Bullet1G"/>
      </w:pPr>
      <w:r w:rsidRPr="00930651">
        <w:t>En 2018, el Gobierno del Canadá abrió una vía de financiación a través del Programa para el Bienestar de la Comunidad y las Iniciativas de Jurisdicción, con el objetivo de ayudar a las comunidades indígenas a desarrollar y brindar servicios y programas de prevención y bienestar para los niños y las familias</w:t>
      </w:r>
      <w:r>
        <w:t>.</w:t>
      </w:r>
    </w:p>
    <w:p w14:paraId="153A61DC" w14:textId="708E39B8" w:rsidR="00930651" w:rsidRPr="00930651" w:rsidRDefault="00930651" w:rsidP="00930651">
      <w:pPr>
        <w:pStyle w:val="Bullet1G"/>
        <w:rPr>
          <w:b/>
        </w:rPr>
      </w:pPr>
      <w:r w:rsidRPr="00930651">
        <w:t>En enero de 2022, el Gobierno del Canadá anunció que se habían alcanzado acuerdos de principio sobre una solución global para indemnizar a las víctimas del déficit discriminatorio en la financiación de los servicios a la infancia y la familia de las Primeras Naciones y para lograr una reforma a largo plazo del Programa de Servicios a la Infancia y la Familia de las Primeras Naciones y del principio de Jordan. Los acuerdos de principio constituyen una base sobre la que se negociarán los acuerdos definitivos en el curso de 2022.</w:t>
      </w:r>
    </w:p>
    <w:p w14:paraId="7BC8F3EF" w14:textId="6C6CB95B" w:rsidR="00930651" w:rsidRPr="00930651" w:rsidRDefault="00930651" w:rsidP="00930651">
      <w:pPr>
        <w:pStyle w:val="H23G"/>
      </w:pPr>
      <w:r>
        <w:tab/>
      </w:r>
      <w:r w:rsidRPr="00930651">
        <w:tab/>
        <w:t xml:space="preserve">Respuesta al párrafo 5 b) de la lista de cuestiones </w:t>
      </w:r>
    </w:p>
    <w:p w14:paraId="67430ECF" w14:textId="77777777" w:rsidR="00930651" w:rsidRPr="00930651" w:rsidRDefault="00930651" w:rsidP="00930651">
      <w:pPr>
        <w:pStyle w:val="SingleTxtG"/>
      </w:pPr>
      <w:r w:rsidRPr="00930651">
        <w:t>21.</w:t>
      </w:r>
      <w:r w:rsidRPr="00930651">
        <w:tab/>
        <w:t>Se han promulgado o enmendado las siguientes leyes a nivel federal, provincial y territorial para orientar la aplicación del principio del interés superior del niño:</w:t>
      </w:r>
    </w:p>
    <w:p w14:paraId="129C0620" w14:textId="7A47386D" w:rsidR="00930651" w:rsidRPr="00930651" w:rsidRDefault="00930651" w:rsidP="00930651">
      <w:pPr>
        <w:pStyle w:val="Bullet1G"/>
      </w:pPr>
      <w:r w:rsidRPr="00930651">
        <w:t>Se ha promulgado: la Ley del Gobierno Federal sobre los Niños, los Jóvenes y las Familias de las Primeras Naciones, los Inuits y los Mestizos, en 2019; la Ley para Hacer Avanzar el Derecho de Familia en Ontario, en 2020; y la Ley de Derecho de la Infancia de las islas del Príncipe Eduardo, en 2021</w:t>
      </w:r>
      <w:bookmarkStart w:id="1" w:name="_Hlk95903494"/>
      <w:bookmarkEnd w:id="1"/>
      <w:r>
        <w:t>.</w:t>
      </w:r>
    </w:p>
    <w:p w14:paraId="06A3B4D2" w14:textId="770EABB8" w:rsidR="00930651" w:rsidRPr="00930651" w:rsidRDefault="00930651" w:rsidP="00930651">
      <w:pPr>
        <w:pStyle w:val="Bullet1G"/>
      </w:pPr>
      <w:r w:rsidRPr="00930651">
        <w:t>Se ha enmendado: a nivel federal, la Ley de Divorcio, en 2019, y el Reglamento de Inmigración y Protección de Refugiados, en 2021; en Ontario, la Ley de Servicio a la Infancia, la Juventud y la Familia, y la Ley de Reformas al Derecho de la Infancia, en</w:t>
      </w:r>
      <w:r w:rsidR="00DA2579">
        <w:t> </w:t>
      </w:r>
      <w:r w:rsidRPr="00930651">
        <w:t>2020; y, en Quebec, la Ley de Protección de la Infancia, en 2021.</w:t>
      </w:r>
    </w:p>
    <w:p w14:paraId="515CA2CC" w14:textId="77777777" w:rsidR="00930651" w:rsidRPr="00930651" w:rsidRDefault="00930651" w:rsidP="00930651">
      <w:pPr>
        <w:pStyle w:val="SingleTxtG"/>
      </w:pPr>
      <w:r w:rsidRPr="00930651">
        <w:t>22.</w:t>
      </w:r>
      <w:r w:rsidRPr="00930651">
        <w:tab/>
        <w:t>Además de las medidas detalladas en el informe periódico del Canadá:</w:t>
      </w:r>
    </w:p>
    <w:p w14:paraId="69DE4306" w14:textId="5F6D4A0B" w:rsidR="00930651" w:rsidRPr="00930651" w:rsidRDefault="00930651" w:rsidP="00930651">
      <w:pPr>
        <w:pStyle w:val="Bullet1G"/>
      </w:pPr>
      <w:r w:rsidRPr="00930651">
        <w:t>El Gobierno del Canadá elaboró en 2021 recursos para la ciudadanía, materiales educativos y de formación para los profesionales del sistema de justicia de familia, para apoyar la aplicación efectiva de las nuevas disposiciones relativas al interés superior del niño recogidas en la Ley de Divorcio</w:t>
      </w:r>
      <w:r w:rsidR="00DA2579">
        <w:t>.</w:t>
      </w:r>
    </w:p>
    <w:p w14:paraId="0EBE31FF" w14:textId="61F5C105" w:rsidR="00930651" w:rsidRPr="00930651" w:rsidRDefault="00930651" w:rsidP="00930651">
      <w:pPr>
        <w:pStyle w:val="Bullet1G"/>
      </w:pPr>
      <w:r w:rsidRPr="00930651">
        <w:t>La Comisión de Inmigración y Refugiados del Canadá formuló en 2021 una nueva Directriz sobre Detención que orienta en mayor medida a los miembros de la Comisión acerca de cómo a tener en cuenta el interés superior del niño al tomar decisiones sobre la detención de un niño, o de un padre o tutor.</w:t>
      </w:r>
    </w:p>
    <w:p w14:paraId="3190BDEF" w14:textId="7EBE6B0C" w:rsidR="00930651" w:rsidRPr="00930651" w:rsidRDefault="00930651" w:rsidP="00930651">
      <w:pPr>
        <w:pStyle w:val="H23G"/>
      </w:pPr>
      <w:r>
        <w:tab/>
      </w:r>
      <w:r w:rsidRPr="00930651">
        <w:tab/>
        <w:t>Respuesta al párrafo 5 c) de la lista de cuestiones</w:t>
      </w:r>
    </w:p>
    <w:p w14:paraId="18D33971" w14:textId="77777777" w:rsidR="00930651" w:rsidRPr="00930651" w:rsidRDefault="00930651" w:rsidP="00930651">
      <w:pPr>
        <w:pStyle w:val="SingleTxtG"/>
      </w:pPr>
      <w:r w:rsidRPr="00930651">
        <w:t>23.</w:t>
      </w:r>
      <w:r w:rsidRPr="00930651">
        <w:tab/>
        <w:t>El Gobierno federal y los gobiernos de las provincias y los territorios han puesto en marcha recientemente medidas para mejorar la efectividad del derecho del niño a ser oído, a saber:</w:t>
      </w:r>
    </w:p>
    <w:p w14:paraId="7A4F5FB1" w14:textId="10093C87" w:rsidR="00930651" w:rsidRPr="00930651" w:rsidRDefault="00930651" w:rsidP="00930651">
      <w:pPr>
        <w:pStyle w:val="Bullet1G"/>
      </w:pPr>
      <w:r w:rsidRPr="00930651">
        <w:t>Las enmiendas a la Ley de Divorcio del Canadá, que entraron en vigor en marzo de</w:t>
      </w:r>
      <w:r w:rsidR="00DA2579">
        <w:t> </w:t>
      </w:r>
      <w:r w:rsidRPr="00930651">
        <w:t>2021, establecen criterios para la consideración del interés superior del niño, que exigen que los jueces tengan en cuenta las opiniones y preferencias del niño, otorgando la debida importancia a la edad y madurez de este.</w:t>
      </w:r>
    </w:p>
    <w:p w14:paraId="5216F99E" w14:textId="2B689B5B" w:rsidR="00930651" w:rsidRPr="00930651" w:rsidRDefault="00930651" w:rsidP="00930651">
      <w:pPr>
        <w:pStyle w:val="Bullet1G"/>
        <w:rPr>
          <w:i/>
        </w:rPr>
      </w:pPr>
      <w:r w:rsidRPr="00930651">
        <w:t>El Gobierno del Canadá ha creado recursos para ayudar a los canadienses a entender los cambios introducidos en la Ley de Divorcio, por ejemplo una ficha informativa donde se detalla por qué las opiniones y preferencias del niño importan a la hora de determinar su interés superior, y un folleto actualizado para los niños sobre la separación y el divorcio, que contiene nueva información sobre cómo podrían tenerse en cuenta las opiniones y preferencias del niño</w:t>
      </w:r>
      <w:r>
        <w:t>.</w:t>
      </w:r>
    </w:p>
    <w:p w14:paraId="56730707" w14:textId="51FB9F73" w:rsidR="00930651" w:rsidRPr="00930651" w:rsidRDefault="00930651" w:rsidP="00930651">
      <w:pPr>
        <w:pStyle w:val="Bullet1G"/>
        <w:rPr>
          <w:i/>
        </w:rPr>
      </w:pPr>
      <w:r w:rsidRPr="00930651">
        <w:t xml:space="preserve">En 2018, Quebec revisó la Directriz ENF-1, Infracciones Cometidas contra los Niños. El principio rector de la ENF-1 dicta que siempre se debe tener en cuenta el interés superior del niño a la hora de tomar decisiones y orienta a los fiscales en todas las etapas del proceso. Por ejemplo, promueve todas las formas de asistencia o apoyo para </w:t>
      </w:r>
      <w:r w:rsidRPr="00930651">
        <w:lastRenderedPageBreak/>
        <w:t>acompañar al niño durante el proceso judicial y prevé la aplicación de medidas de protección y de ayuda para prestar declaración. Asimismo, para preparar a los niños para prestar declaración, el gobierno de Quebec apoyó la puesta en marcha en 2021 del Programa para Jóvenes Testigos y otros Testigos Vulnerables, de la Red de Centros de Asistencia a las Víctimas de Delitos</w:t>
      </w:r>
      <w:r>
        <w:t>.</w:t>
      </w:r>
    </w:p>
    <w:p w14:paraId="15E16F36" w14:textId="2F512083" w:rsidR="00930651" w:rsidRPr="00930651" w:rsidRDefault="00930651" w:rsidP="00930651">
      <w:pPr>
        <w:pStyle w:val="Bullet1G"/>
      </w:pPr>
      <w:r w:rsidRPr="00930651">
        <w:t>Ontario consulta asiduamente a jóvenes que han vivido ciertas experiencias cuando diseña políticas sobre los servicios residenciales en establecimientos autorizados. Por ejemplo, el gobierno de Ontario se basó en la información facilitada por el Grupo de Jóvenes sobre los Servicios Residenciales para desarrollar el Marco de Normas de Calidad, que brinda orientación sobre muchos aspectos de los cuidados de calidad que necesitan los niños y jóvenes vulnerables en distintos sectores: el bienestar del niño, la justicia juvenil, la salud mental de los niños y jóvenes y las necesidades especiales.</w:t>
      </w:r>
    </w:p>
    <w:p w14:paraId="04743207" w14:textId="09AD966A" w:rsidR="00930651" w:rsidRPr="00930651" w:rsidRDefault="00930651" w:rsidP="00930651">
      <w:pPr>
        <w:pStyle w:val="H23G"/>
      </w:pPr>
      <w:r>
        <w:tab/>
      </w:r>
      <w:r w:rsidRPr="00930651">
        <w:tab/>
        <w:t>Respuesta al párrafo 6 de la lista de cuestiones</w:t>
      </w:r>
    </w:p>
    <w:p w14:paraId="78AFEDFD" w14:textId="77777777" w:rsidR="00930651" w:rsidRPr="00930651" w:rsidRDefault="00930651" w:rsidP="00930651">
      <w:pPr>
        <w:pStyle w:val="SingleTxtG"/>
      </w:pPr>
      <w:r w:rsidRPr="00930651">
        <w:t>24.</w:t>
      </w:r>
      <w:r w:rsidRPr="00930651">
        <w:tab/>
        <w:t>El Canadá ha tomado varias medidas para apoyar la aplicación de las recomendaciones de la Comisión de la Verdad y la Reconciliación y la Investigación Nacional sobre las Mujeres y Niñas Indígenas Desaparecidas y Asesinadas. Algunos ejemplos notables respecto de los niños son:</w:t>
      </w:r>
    </w:p>
    <w:p w14:paraId="1049ECA3" w14:textId="7EE5BC30" w:rsidR="00930651" w:rsidRPr="00930651" w:rsidRDefault="00930651" w:rsidP="00930651">
      <w:pPr>
        <w:pStyle w:val="Bullet1G"/>
      </w:pPr>
      <w:r w:rsidRPr="00930651">
        <w:t>Desde que la Comisión lo puso en marcha en 2015, el Gobierno del Canadá ha apoyado el desarrollo y mantenimiento del Registro Nacional de Fallecimientos de Estudiantes de los Internados Indios, en consulta con supervivientes de los internados indios, familiares y comunidades. Tras el reciente descubrimiento de cementerios en los internados y de las fosas clandestinas de niños indígenas en internados de todo el país, el Gobierno del Canadá ha suplementado las inversiones destinadas a la investigación y documentación de las sepulturas clandestinas y la memorialización de los niños que fallecieron en los internados</w:t>
      </w:r>
      <w:r>
        <w:t>.</w:t>
      </w:r>
    </w:p>
    <w:p w14:paraId="7F07E813" w14:textId="7515B57E" w:rsidR="00930651" w:rsidRPr="00930651" w:rsidRDefault="00930651" w:rsidP="00930651">
      <w:pPr>
        <w:pStyle w:val="Bullet1G"/>
      </w:pPr>
      <w:r w:rsidRPr="00930651">
        <w:t>El Parlamento Federal promulgó la Ley sobre los Niños, los Jóvenes y las Familias de las Primeras Naciones, los Inuits y los Mestizos (Ley núm. C-92) que brinda apoyo a los niños, jóvenes y familias indígenas, y puso fondos a disposición de las unidades de enlace para la información a las familias, las medidas de apoyo de base comunitaria y la construcción y puesta en marcha de refugios para ayudar a proteger y apoyar a las mujeres y niñas indígenas que sufren la violencia o huyen de ella. Véase también la pregunta 9 A)</w:t>
      </w:r>
      <w:r>
        <w:t>.</w:t>
      </w:r>
    </w:p>
    <w:p w14:paraId="6D5F3050" w14:textId="7ABD5486" w:rsidR="00930651" w:rsidRPr="00930651" w:rsidRDefault="00930651" w:rsidP="00930651">
      <w:pPr>
        <w:pStyle w:val="Bullet1G"/>
      </w:pPr>
      <w:r w:rsidRPr="00930651">
        <w:t>Como resultado del diálogo mantenido con las Primeras Naciones entre 2016 y 2018, en abril de 2019 el Gobierno del Canadá puso en marcha una nueva política educativa y un nuevo plan de financiación para apoyar a los estudiantes de escuelas primarias y secundarias operadas por las Primeras Naciones con un nivel de financiación comparable al destinados a estudiantes de las escuelas provinciales</w:t>
      </w:r>
      <w:r w:rsidR="003F6C9F">
        <w:t>.</w:t>
      </w:r>
    </w:p>
    <w:p w14:paraId="77CD6060" w14:textId="391D37FD" w:rsidR="00930651" w:rsidRPr="00930651" w:rsidRDefault="00930651" w:rsidP="00930651">
      <w:pPr>
        <w:pStyle w:val="Bullet1G"/>
      </w:pPr>
      <w:r w:rsidRPr="00930651">
        <w:t>Las escuelas de Ontario emprendieron la aplicación obligatoria de los planes de estudios revisados, formulados en colaboración con asociados indígenas y miembros del sector educativo, que incorporan lecciones obligatorias sobre las perspectivas, culturas, contribuciones y relatos de los indígenas, en las que se abordan temas de gran importancia, como los internados y los tratados</w:t>
      </w:r>
      <w:r>
        <w:t>.</w:t>
      </w:r>
    </w:p>
    <w:p w14:paraId="1CF731B2" w14:textId="768DCF23" w:rsidR="00930651" w:rsidRPr="00930651" w:rsidRDefault="00930651" w:rsidP="00930651">
      <w:pPr>
        <w:pStyle w:val="Bullet1G"/>
      </w:pPr>
      <w:r w:rsidRPr="00930651">
        <w:t>En Quebec, tras las consultas celebradas con los asociados, se desarrollaron y pusieron en marcha protocolos para la creación de espacios para los niños vulnerables en los centros de primera infancia, la aplicación del principio de Jordan, el apoyo financiero para el establecimiento de centros pediátricos sociales y hogares familiares, y el apoyo a las comunidades y organizaciones indígenas que deseasen acceder a nuevas delegaciones de competencia en materia de bienestar infantil, de conformidad con la Ley de Protección de la Infancia de Quebec</w:t>
      </w:r>
      <w:r>
        <w:t>.</w:t>
      </w:r>
    </w:p>
    <w:p w14:paraId="523A4604" w14:textId="446CBE93" w:rsidR="00930651" w:rsidRPr="00930651" w:rsidRDefault="00930651" w:rsidP="00930651">
      <w:pPr>
        <w:pStyle w:val="Bullet1G"/>
      </w:pPr>
      <w:r w:rsidRPr="00930651">
        <w:t xml:space="preserve">En 2019, el gobierno de Columbia Británica dejó de emitir alertas de nacimiento, mejoró el apoyo brindado a los futuros padres vulnerables para que los recién nacidos estuvieran a salvo y las familias permanecieran unidas, y enmendó la Ley de Servicios a la Infancia, la Familia y la Comunidad, para favorecer la colaboración con las </w:t>
      </w:r>
      <w:r w:rsidRPr="00930651">
        <w:lastRenderedPageBreak/>
        <w:t>comunidades indígenas, reconociendo así los derechos y responsabilidades compartidas de estas en la crianza y el bienestar de sus niños</w:t>
      </w:r>
      <w:r>
        <w:t>.</w:t>
      </w:r>
    </w:p>
    <w:p w14:paraId="209CE4D1" w14:textId="713A1F1B" w:rsidR="00930651" w:rsidRPr="00930651" w:rsidRDefault="00930651" w:rsidP="00930651">
      <w:pPr>
        <w:pStyle w:val="Bullet1G"/>
      </w:pPr>
      <w:r w:rsidRPr="00930651">
        <w:t>En 2021, Saskatchewan puso fin a la práctica de las alertas de nacimiento y entabló procesos colaborativos entre el Ministerio de la Salud y el de Servicios Sociales para brindar apoyo a las futuras madres en el hospital durante períodos más prolongados, de ser necesario, para velar por la seguridad del recién nacido.</w:t>
      </w:r>
      <w:bookmarkStart w:id="2" w:name="_Hlk90303619"/>
    </w:p>
    <w:p w14:paraId="3E02E5D7" w14:textId="37979EAA" w:rsidR="00930651" w:rsidRPr="00930651" w:rsidRDefault="00930651" w:rsidP="00930651">
      <w:pPr>
        <w:pStyle w:val="SingleTxtG"/>
      </w:pPr>
      <w:r w:rsidRPr="00930651">
        <w:t>25.</w:t>
      </w:r>
      <w:r w:rsidRPr="00930651">
        <w:tab/>
        <w:t xml:space="preserve">El Canadá estableció mecanismos para llevar un seguimiento de la aplicación de las medidas de respuesta a la Investigación Nacional sobre las Mujeres y Niñas Indígenas Desaparecidas y Asesinadas y al Llamado a la Acción de la Comisión de la Verdad y la Reconciliación o aquellas que contribuyen a la reconciliación. Estos mecanismos incluyen la publicación periódica de informes o la creación de los consejos consultivos. Por ejemplo, el Plan de Acción Nacional sobre las Mujeres, Niñas y Personas 2SLGBTQQIA+ Desaparecidas y Asesinadas de 2021, publicado en junio de 2021, estuvo orientado por un círculo nacional de familiares y supervivientes y un grupo de trabajo central. Todos los gobiernos federales, provinciales y territoriales realizaron contribuciones importantes. Como parte del Plan de Acción Nacional, el Gobierno del Canadá desarrolló la Vía Federal, mediante la cual se describe su compromiso en cuanto contribuyente al Plan. Muchos de los socios y grupos de trabajo se están centrando en el cumplimiento de sus responsabilidades, y el </w:t>
      </w:r>
      <w:r w:rsidR="0011015D" w:rsidRPr="00930651">
        <w:t xml:space="preserve">Gobierno </w:t>
      </w:r>
      <w:r w:rsidRPr="00930651">
        <w:t>federal sigue desarrollando el marco de aplicación de la Vía Federal y la implementación y ejecución de programas e iniciativas nuevos y existentes. El Gobierno del Canadá sigue colaborando con sus socios en la aplicación del Plan de Acción Nacional.</w:t>
      </w:r>
    </w:p>
    <w:bookmarkEnd w:id="2"/>
    <w:p w14:paraId="103840A0" w14:textId="660C3AA6" w:rsidR="00930651" w:rsidRPr="00930651" w:rsidRDefault="00930651" w:rsidP="00930651">
      <w:pPr>
        <w:pStyle w:val="H23G"/>
      </w:pPr>
      <w:r>
        <w:tab/>
      </w:r>
      <w:r w:rsidRPr="00930651">
        <w:tab/>
        <w:t>Respuesta al párrafo 7 de la lista de cuestiones</w:t>
      </w:r>
    </w:p>
    <w:p w14:paraId="5913F398" w14:textId="77777777" w:rsidR="00930651" w:rsidRPr="00930651" w:rsidRDefault="00930651" w:rsidP="00930651">
      <w:pPr>
        <w:pStyle w:val="SingleTxtG"/>
      </w:pPr>
      <w:r w:rsidRPr="00930651">
        <w:t>26.</w:t>
      </w:r>
      <w:r w:rsidRPr="00930651">
        <w:tab/>
        <w:t>En junio de 2021, el Gobierno del Canadá anunció que los pueblos indígenas podían ya reclamar el uso de sus nombres indígenas con la grafía correspondiente en los pasaportes y otros documentos de inmigración (Llamado a la Acción 17 de la Comisión de la Verdad y la Reconciliación).</w:t>
      </w:r>
    </w:p>
    <w:p w14:paraId="6D74F445" w14:textId="667F46D1" w:rsidR="00930651" w:rsidRPr="00930651" w:rsidRDefault="00930651" w:rsidP="00930651">
      <w:pPr>
        <w:pStyle w:val="SingleTxtG"/>
      </w:pPr>
      <w:r w:rsidRPr="00930651">
        <w:t>27.</w:t>
      </w:r>
      <w:r w:rsidRPr="00930651">
        <w:tab/>
        <w:t xml:space="preserve">Alberta, Nuevo Brunswick, los Territorios del Noroeste y Ontario otorgan gratuitamente certificados de nacimiento de sustitución a los supervivientes y descendientes de los internados y del programa de adopciones forzadas conocido como el </w:t>
      </w:r>
      <w:r w:rsidR="00524448">
        <w:t>“</w:t>
      </w:r>
      <w:r w:rsidRPr="00930651">
        <w:t>Sixties Scoop</w:t>
      </w:r>
      <w:r w:rsidR="00524448">
        <w:t>”</w:t>
      </w:r>
      <w:r w:rsidRPr="00930651">
        <w:t>.</w:t>
      </w:r>
    </w:p>
    <w:p w14:paraId="3ACBE40B" w14:textId="77777777" w:rsidR="00930651" w:rsidRPr="00930651" w:rsidRDefault="00930651" w:rsidP="00930651">
      <w:pPr>
        <w:pStyle w:val="SingleTxtG"/>
      </w:pPr>
      <w:r w:rsidRPr="00930651">
        <w:t>28.</w:t>
      </w:r>
      <w:r w:rsidRPr="00930651">
        <w:tab/>
        <w:t>El Gobierno del Canadá cuenta con medidas para hacer frente a la apatridia, entre ellas disposiciones que permiten incluir la apatridia entre los criterios para legalizar la situación de la persona interesada. La Ley de Ciudadanía prevé conceder la ciudadanía a las personas apátridas nacidas fuera del Canadá que, teniendo un progenitor canadiense, no hayan adquirido la ciudadanía por filiación. Además, desde 2017, la Ley de Ciudadanía concede explícitamente al Ministro de Inmigración, Refugiados y Ciudadanía del Canadá la discreción de otorgar la ciudadanía a cualquier persona para subsanar una situación de apatridia.</w:t>
      </w:r>
    </w:p>
    <w:p w14:paraId="3AF83FE8" w14:textId="7E32E64A" w:rsidR="00930651" w:rsidRPr="00930651" w:rsidRDefault="00930651" w:rsidP="00930651">
      <w:pPr>
        <w:pStyle w:val="H23G"/>
      </w:pPr>
      <w:r>
        <w:tab/>
      </w:r>
      <w:r w:rsidRPr="00930651">
        <w:tab/>
        <w:t>Respuesta al párrafo 8 a) de la lista de cuestiones</w:t>
      </w:r>
    </w:p>
    <w:p w14:paraId="60B86CD0" w14:textId="77777777" w:rsidR="00930651" w:rsidRPr="00930651" w:rsidRDefault="00930651" w:rsidP="00930651">
      <w:pPr>
        <w:pStyle w:val="SingleTxtG"/>
        <w:rPr>
          <w:b/>
          <w:bCs/>
        </w:rPr>
      </w:pPr>
      <w:r w:rsidRPr="00930651">
        <w:t>29.</w:t>
      </w:r>
      <w:r w:rsidRPr="00930651">
        <w:rPr>
          <w:lang w:val="en-GB"/>
        </w:rPr>
        <w:tab/>
      </w:r>
      <w:r w:rsidRPr="00930651">
        <w:t>El Gobierno del Canadá sigue explorando las mejores formas de responder al Llamado a la Acción 6 de la Comisión de la Verdad y la Reconciliación para derogar el artículo 43 del Código Penal. Véanse los párrafos 68 y 69 del informe periódico del Canadá y la respuesta al párrafo 8 b) para obtener más información sobre las medidas para proteger a los niños frente a la violencia.</w:t>
      </w:r>
    </w:p>
    <w:p w14:paraId="1E3356FC" w14:textId="01B9ABFC" w:rsidR="00930651" w:rsidRPr="00930651" w:rsidRDefault="00930651" w:rsidP="00930651">
      <w:pPr>
        <w:pStyle w:val="H23G"/>
      </w:pPr>
      <w:r>
        <w:tab/>
      </w:r>
      <w:r w:rsidRPr="00930651">
        <w:tab/>
        <w:t>Respuesta al párrafo 8 b) de la lista de cuestiones</w:t>
      </w:r>
    </w:p>
    <w:p w14:paraId="329CB8D8" w14:textId="77777777" w:rsidR="00930651" w:rsidRPr="00930651" w:rsidRDefault="00930651" w:rsidP="00930651">
      <w:pPr>
        <w:pStyle w:val="SingleTxtG"/>
      </w:pPr>
      <w:r w:rsidRPr="00930651">
        <w:t>30.</w:t>
      </w:r>
      <w:r w:rsidRPr="00930651">
        <w:tab/>
        <w:t>El Canadá ha adoptado varias medidas para proteger a los niños frente a la violencia. Las siguientes son algunas de las iniciativas que se han adoptado desde 2018:</w:t>
      </w:r>
    </w:p>
    <w:p w14:paraId="416C1242" w14:textId="12C9EC13" w:rsidR="00930651" w:rsidRPr="00930651" w:rsidRDefault="00930651" w:rsidP="00930651">
      <w:pPr>
        <w:pStyle w:val="Bullet1G"/>
      </w:pPr>
      <w:r w:rsidRPr="00930651">
        <w:t>La puesta en marcha, ampliación y aplicación de estrategias para hacer frente a la explotación sexual infantil, la trata de personas y la violencia de género. Véanse las respuestas a los párrafos 3 a) y 15</w:t>
      </w:r>
      <w:r>
        <w:t>.</w:t>
      </w:r>
    </w:p>
    <w:p w14:paraId="6A053502" w14:textId="4224BC05" w:rsidR="00930651" w:rsidRPr="00930651" w:rsidRDefault="00930651" w:rsidP="00930651">
      <w:pPr>
        <w:pStyle w:val="Bullet1G"/>
      </w:pPr>
      <w:r w:rsidRPr="00930651">
        <w:t>La publicación en 2019 de la Hoja de Ruta del Canadá para Poner Fin a la Violencia, para acelerar los esfuerzos hacia ese objetivo y resaltar las mejores prácticas innovadoras a nivel provincial y territorial.</w:t>
      </w:r>
    </w:p>
    <w:p w14:paraId="64CF6F0E" w14:textId="29FE587E" w:rsidR="00930651" w:rsidRPr="00930651" w:rsidRDefault="00930651" w:rsidP="00930651">
      <w:pPr>
        <w:pStyle w:val="Bullet1G"/>
      </w:pPr>
      <w:r w:rsidRPr="00930651">
        <w:lastRenderedPageBreak/>
        <w:t>La aplicación de las enmiendas a la Ley de Divorcio del Canadá, que exigen a los tribunales que tengan en cuenta la violencia familiar a la hora de dirimir la cuestión de la custodia de los hijos</w:t>
      </w:r>
      <w:r>
        <w:t>.</w:t>
      </w:r>
    </w:p>
    <w:p w14:paraId="04E46A6B" w14:textId="11AE3001" w:rsidR="00930651" w:rsidRPr="00930651" w:rsidRDefault="00930651" w:rsidP="00930651">
      <w:pPr>
        <w:pStyle w:val="Bullet1G"/>
      </w:pPr>
      <w:r w:rsidRPr="00930651">
        <w:t>El suministro de fondos para la expansión de los servicios de visitas supervisadas con el fin de proteger la seguridad de los niños tras la separación o divorcio, y para financiar medidas de apoyo adicionales del sistema de justicia de familia a las víctimas de violencia de pareja, y así favorecer que esas personas y sus hijos estén a salvo</w:t>
      </w:r>
      <w:r>
        <w:t>.</w:t>
      </w:r>
    </w:p>
    <w:p w14:paraId="49D347CA" w14:textId="54829825" w:rsidR="00930651" w:rsidRPr="00930651" w:rsidRDefault="00930651" w:rsidP="00930651">
      <w:pPr>
        <w:pStyle w:val="Bullet1G"/>
      </w:pPr>
      <w:r w:rsidRPr="00930651">
        <w:t>El suministro de fondos a las comunidades para que haya alojamientos de emergencia en las reservas y en el Yukón, y para ejecutar proyectos de prevención liderados por las comunidades, en particular aquellos que facilitan apoyo a los niños indígenas para la prevención de la violencia</w:t>
      </w:r>
      <w:r>
        <w:t>.</w:t>
      </w:r>
    </w:p>
    <w:p w14:paraId="4975DDB5" w14:textId="5CB2F4B8" w:rsidR="00930651" w:rsidRPr="00930651" w:rsidRDefault="00930651" w:rsidP="00930651">
      <w:pPr>
        <w:pStyle w:val="Bullet1G"/>
      </w:pPr>
      <w:r w:rsidRPr="00930651">
        <w:t>Desde septiembre de 2018, Quebec viene aplicado varias estrategias y planes de acción con el fin de combatir la violencia doméstica, el abuso sexual y la explotación sexual. Además, las clases de educación sexual son obligatorias para todos los estudiantes desde el primer año de la escuela primaria hasta el quinto año de educación secundaria. Uno de los objetivos de estas clases es lograr que los niños sean menos vulnerables a la violencia y los abusos sexuales</w:t>
      </w:r>
      <w:r>
        <w:t>.</w:t>
      </w:r>
    </w:p>
    <w:p w14:paraId="49C753FA" w14:textId="4F992603" w:rsidR="00930651" w:rsidRPr="00930651" w:rsidRDefault="00930651" w:rsidP="00930651">
      <w:pPr>
        <w:pStyle w:val="Bullet1G"/>
        <w:rPr>
          <w:b/>
        </w:rPr>
      </w:pPr>
      <w:r w:rsidRPr="00930651">
        <w:t>Nuevo Brunswick estableció el Comité de Aplicación del Marco de Violencia Sexual en 2018. El objetivo del Marco es la sensibilización y la prevención entre los niños y jóvenes en edad escolar y los alumnos de la educación postsecundaria. En 2020, Nuevo Brunswick organizó una mesa redonda para identificar medidas de prevención e intervención con el fin de reducir la violencia sexual.</w:t>
      </w:r>
    </w:p>
    <w:p w14:paraId="7EED74E2" w14:textId="603BD191" w:rsidR="00930651" w:rsidRPr="00930651" w:rsidRDefault="00930651" w:rsidP="00930651">
      <w:pPr>
        <w:pStyle w:val="H23G"/>
      </w:pPr>
      <w:r>
        <w:tab/>
      </w:r>
      <w:r w:rsidRPr="00930651">
        <w:tab/>
        <w:t>Respuesta al párrafo 8 c) de la lista de cuestiones</w:t>
      </w:r>
    </w:p>
    <w:p w14:paraId="76AA04D9" w14:textId="77777777" w:rsidR="00930651" w:rsidRPr="00930651" w:rsidRDefault="00930651" w:rsidP="00930651">
      <w:pPr>
        <w:pStyle w:val="SingleTxtG"/>
      </w:pPr>
      <w:r w:rsidRPr="00930651">
        <w:t>31.</w:t>
      </w:r>
      <w:r w:rsidRPr="00930651">
        <w:tab/>
        <w:t>Todos los gobiernos cuentan con leyes, políticas y medidas para proteger la privacidad digital de los canadienses. La Oficina del Comisario de Protección de Datos Personales de Canadá ha tomado medidas para salvaguardar la privacidad de los niños: la publicación de las Directrices para Obtener el Consentimiento Válido, destinadas a aquellas organizaciones que recaban consentimiento para la reunión, utilización y divulgación de datos personales de niños menores de 13 años; el inicio de investigaciones sobre filtraciones de datos a escala mundial que comprometan los datos personales de los niños; y la creación de recursos educativos en línea para jóvenes en materia de privacidad.</w:t>
      </w:r>
    </w:p>
    <w:p w14:paraId="7388F7AF" w14:textId="71E386C2" w:rsidR="00930651" w:rsidRPr="00930651" w:rsidRDefault="00930651" w:rsidP="00930651">
      <w:pPr>
        <w:pStyle w:val="H23G"/>
      </w:pPr>
      <w:r>
        <w:tab/>
      </w:r>
      <w:r w:rsidRPr="00930651">
        <w:tab/>
        <w:t>Respuesta al párrafo 8 d) de la lista de cuestiones</w:t>
      </w:r>
    </w:p>
    <w:p w14:paraId="6892E258" w14:textId="77777777" w:rsidR="00930651" w:rsidRPr="00930651" w:rsidRDefault="00930651" w:rsidP="00930651">
      <w:pPr>
        <w:pStyle w:val="SingleTxtG"/>
      </w:pPr>
      <w:r w:rsidRPr="00930651">
        <w:t>32.</w:t>
      </w:r>
      <w:r w:rsidRPr="00930651">
        <w:tab/>
        <w:t>Se trata de una causa entre partes privadas. No hay involucrado ningún gobierno.</w:t>
      </w:r>
    </w:p>
    <w:p w14:paraId="660227DA" w14:textId="52DAD1DA" w:rsidR="00930651" w:rsidRPr="00930651" w:rsidRDefault="00930651" w:rsidP="00930651">
      <w:pPr>
        <w:pStyle w:val="H23G"/>
      </w:pPr>
      <w:r>
        <w:tab/>
      </w:r>
      <w:r w:rsidRPr="00930651">
        <w:tab/>
        <w:t>Respuesta al párrafo 9 a) de la lista de cuestiones</w:t>
      </w:r>
    </w:p>
    <w:p w14:paraId="7BBFC6E2" w14:textId="77777777" w:rsidR="00930651" w:rsidRPr="00930651" w:rsidRDefault="00930651" w:rsidP="00930651">
      <w:pPr>
        <w:pStyle w:val="SingleTxtG"/>
      </w:pPr>
      <w:r w:rsidRPr="00930651">
        <w:t>33.</w:t>
      </w:r>
      <w:r w:rsidRPr="00930651">
        <w:rPr>
          <w:lang w:val="en-GB"/>
        </w:rPr>
        <w:tab/>
      </w:r>
      <w:r w:rsidRPr="00930651">
        <w:t>La financiación de los programas para los niños y las familias negras e indígenas abarca las siguientes medidas (véase la respuesta al párrafo 6):</w:t>
      </w:r>
    </w:p>
    <w:p w14:paraId="073DD380" w14:textId="0C040B69" w:rsidR="00930651" w:rsidRPr="00930651" w:rsidRDefault="00930651" w:rsidP="00930651">
      <w:pPr>
        <w:pStyle w:val="Bullet1G"/>
      </w:pPr>
      <w:r w:rsidRPr="00930651">
        <w:t>El Gobierno del Canadá trabaja con sus asociados indígenas para reformar los Servicios a la Infancia y las Familias para reducir la cantidad de niños asignados a un régimen de guarda. Además, el Gobierno del Canadá está trabajando con sus asociados indígenas para desarrollar de forma conjunta una nueva metodología de financiación que oriente la prestación de servicios a la infancia y las familias</w:t>
      </w:r>
      <w:r>
        <w:t>.</w:t>
      </w:r>
    </w:p>
    <w:p w14:paraId="69E791AA" w14:textId="74991B3D" w:rsidR="00930651" w:rsidRPr="00930651" w:rsidRDefault="00930651" w:rsidP="00930651">
      <w:pPr>
        <w:pStyle w:val="Bullet1G"/>
      </w:pPr>
      <w:r w:rsidRPr="00930651">
        <w:t>La estrategia para combatir la falta de hogar del Gobierno del Canadá brinda financiación a ciertos grupos, entre ellos los niños indígenas, que se encuentren sin hogar o corran el riesgo de hacerlo, a fin de lograr la igualdad sustantiva para este grupo históricamente desfavorecido.</w:t>
      </w:r>
    </w:p>
    <w:p w14:paraId="73CC217D" w14:textId="4B1F53E0" w:rsidR="00930651" w:rsidRPr="00930651" w:rsidRDefault="00930651" w:rsidP="00930651">
      <w:pPr>
        <w:pStyle w:val="Bullet1G"/>
      </w:pPr>
      <w:r w:rsidRPr="00930651">
        <w:t>La Iniciativa de Apoyo Comunitario para los Jóvenes Canadienses Negros del Gobierno del Canadá fue fundada para apoyar proyectos de lucha contra la discriminación a través de la sensibilización, ofrecer oportunidades a los jóvenes negros, empoderar a los jóvenes a través de la promoción de la historia, la cultura y la identidad negras y desarrollar las competencias de liderazgo y la participación cívica</w:t>
      </w:r>
      <w:r>
        <w:t>.</w:t>
      </w:r>
    </w:p>
    <w:p w14:paraId="792DA67A" w14:textId="41480CCB" w:rsidR="00930651" w:rsidRPr="00930651" w:rsidRDefault="00930651" w:rsidP="00930651">
      <w:pPr>
        <w:pStyle w:val="Bullet1G"/>
      </w:pPr>
      <w:r w:rsidRPr="00930651">
        <w:lastRenderedPageBreak/>
        <w:t>El Programa de Extensión Juvenil de Nueva Escocia brinda apoyo a los jóvenes en materia de vivienda, seguridad y bienestar y, específicamente, facilita apoyo a los jóvenes africanos y mi</w:t>
      </w:r>
      <w:r w:rsidR="00524448">
        <w:t>’</w:t>
      </w:r>
      <w:r w:rsidRPr="00930651">
        <w:t>kmaq de Nueva Escocia</w:t>
      </w:r>
      <w:r>
        <w:t>.</w:t>
      </w:r>
    </w:p>
    <w:p w14:paraId="67589014" w14:textId="0077A6FD" w:rsidR="00930651" w:rsidRPr="00930651" w:rsidRDefault="00930651" w:rsidP="00930651">
      <w:pPr>
        <w:pStyle w:val="Bullet1G"/>
        <w:rPr>
          <w:b/>
        </w:rPr>
      </w:pPr>
      <w:r w:rsidRPr="00930651">
        <w:t>El Plan de Acción para los Jóvenes Negros y el Plan de Acción Mejorado para los Jóvenes Negros de Ontario, anunciados en 2020, promueven mejores oportunidades para los niños, jóvenes y familias negras al favorecer la eliminación de las disparidades sistémicas y raciales, al tiempo que brindan más oportunidades a las distintas comunidades destinatarias. Las iniciativas incluyen programas locales y culturalmente adaptados de tutorías para jóvenes; medidas de apoyo innovadoras para que los progenitores negros puedan aumentar el bienestar de sus hijos y su familia; y medidas para ayudar a las familias y los niños negros a lograr sus objetivos educativos, profesionales y vitales.</w:t>
      </w:r>
    </w:p>
    <w:p w14:paraId="4B9C2F8C" w14:textId="4749F699" w:rsidR="00930651" w:rsidRPr="00930651" w:rsidRDefault="00930651" w:rsidP="00930651">
      <w:pPr>
        <w:pStyle w:val="H23G"/>
      </w:pPr>
      <w:r>
        <w:tab/>
      </w:r>
      <w:r w:rsidRPr="00930651">
        <w:tab/>
        <w:t>Respuesta al párrafo 9 b) de la lista de cuestiones</w:t>
      </w:r>
    </w:p>
    <w:p w14:paraId="41D8F75C" w14:textId="77777777" w:rsidR="00930651" w:rsidRPr="00930651" w:rsidRDefault="00930651" w:rsidP="00930651">
      <w:pPr>
        <w:pStyle w:val="SingleTxtG"/>
      </w:pPr>
      <w:r w:rsidRPr="00930651">
        <w:t>34.</w:t>
      </w:r>
      <w:r w:rsidRPr="00930651">
        <w:tab/>
        <w:t>El Gobierno del Canadá está avanzando en la aplicación de la Ley núm. C-92 y sigue colaborando con sus socios, entre ellos los provinciales y territoriales, para hacer frente a distintos problemas. Pueden citarse las siguientes medidas:</w:t>
      </w:r>
    </w:p>
    <w:p w14:paraId="3B9654AC" w14:textId="059A5471" w:rsidR="00930651" w:rsidRPr="00930651" w:rsidRDefault="00930651" w:rsidP="00930651">
      <w:pPr>
        <w:pStyle w:val="Bullet1G"/>
      </w:pPr>
      <w:r w:rsidRPr="00930651">
        <w:t xml:space="preserve">Un aporte financiero para apoyar durante cinco años la aplicación de esta </w:t>
      </w:r>
      <w:r w:rsidR="00993E59" w:rsidRPr="00930651">
        <w:t xml:space="preserve">Ley </w:t>
      </w:r>
      <w:r w:rsidRPr="00930651">
        <w:t>mediante, entre otras cosas, la financiación de las conversaciones encaminadas a lograr acuerdos de coordinación relativos al ejercicio de la competencia en materia de servicios a la infancia y a las familias indígenas; el fomento de capacidad en las comunidades indígenas, con el fin de que se preparen para ejercer dicha competencia; y las actividades de fomento de la participación de los grupos, comunidades y pueblos indígenas para debatir sobre la aplicación de la Ley</w:t>
      </w:r>
      <w:r>
        <w:t>.</w:t>
      </w:r>
    </w:p>
    <w:p w14:paraId="113B1292" w14:textId="220D388E" w:rsidR="00930651" w:rsidRPr="00930651" w:rsidRDefault="00930651" w:rsidP="00930651">
      <w:pPr>
        <w:pStyle w:val="Bullet1G"/>
        <w:rPr>
          <w:b/>
        </w:rPr>
      </w:pPr>
      <w:r w:rsidRPr="00930651">
        <w:t>El diseño de una estrategia de recopilación de datos y presentación de informes sobre la base de los principios de soberanía indígena sobre los datos, como los establecidos en las normas de propiedad, control, acceso y posesión elaboradas por el Centro de Gobernanza de la Información de las Primeras Naciones, los principios Inuit Qaujimajatuqangit y los principios emergentes referidos a los datos de la población mestiza.</w:t>
      </w:r>
    </w:p>
    <w:p w14:paraId="2244147A" w14:textId="7B861D83" w:rsidR="00930651" w:rsidRPr="00930651" w:rsidRDefault="00930651" w:rsidP="00930651">
      <w:pPr>
        <w:pStyle w:val="H23G"/>
      </w:pPr>
      <w:r>
        <w:tab/>
      </w:r>
      <w:r w:rsidRPr="00930651">
        <w:tab/>
        <w:t>Respuesta al párrafo 9 c) de la lista de cuestiones</w:t>
      </w:r>
    </w:p>
    <w:p w14:paraId="28D250F5" w14:textId="77777777" w:rsidR="00930651" w:rsidRPr="00930651" w:rsidRDefault="00930651" w:rsidP="00930651">
      <w:pPr>
        <w:pStyle w:val="SingleTxtG"/>
      </w:pPr>
      <w:r w:rsidRPr="00930651">
        <w:t>35.</w:t>
      </w:r>
      <w:r w:rsidRPr="00930651">
        <w:tab/>
        <w:t>La adopción es competencia de los gobiernos provinciales y territoriales. Cada gobierno tiene estructuras legislativas diferentes que rigen la adopción dentro de su jurisdicción.</w:t>
      </w:r>
    </w:p>
    <w:p w14:paraId="2778892B" w14:textId="63272F83" w:rsidR="00930651" w:rsidRPr="00930651" w:rsidRDefault="00930651" w:rsidP="00930651">
      <w:pPr>
        <w:pStyle w:val="H23G"/>
      </w:pPr>
      <w:r>
        <w:tab/>
      </w:r>
      <w:r w:rsidRPr="00930651">
        <w:tab/>
        <w:t>Respuesta al párrafo 10 a) de la lista de cuestiones</w:t>
      </w:r>
    </w:p>
    <w:p w14:paraId="5632F902" w14:textId="77777777" w:rsidR="00930651" w:rsidRPr="00930651" w:rsidRDefault="00930651" w:rsidP="00930651">
      <w:pPr>
        <w:pStyle w:val="SingleTxtG"/>
      </w:pPr>
      <w:r w:rsidRPr="00930651">
        <w:t>36.</w:t>
      </w:r>
      <w:r w:rsidRPr="00930651">
        <w:tab/>
        <w:t>El Canadá sigue obrando para mejorar el acceso a los servicios de salud, entre ellos los servicios de salud mental y de prevención del suicidio, para los niños indígenas a través de iniciativas tales como:</w:t>
      </w:r>
    </w:p>
    <w:p w14:paraId="7C879904" w14:textId="1230C957" w:rsidR="00930651" w:rsidRPr="00930651" w:rsidRDefault="00930651" w:rsidP="00930651">
      <w:pPr>
        <w:pStyle w:val="Bullet1G"/>
      </w:pPr>
      <w:r w:rsidRPr="00930651">
        <w:t>El Principio de Jordan y la Iniciativa los Niños Inuit Primero, que han contribuido a que las Primeras Naciones y los niños inuit puedan acceder a productos, servicios y asistencia, como servicios de logopedia, equipos médicos y servicios de salud mental</w:t>
      </w:r>
      <w:r>
        <w:t>.</w:t>
      </w:r>
    </w:p>
    <w:p w14:paraId="79061FBE" w14:textId="0CC807A9" w:rsidR="00930651" w:rsidRPr="00930651" w:rsidRDefault="00930651" w:rsidP="00930651">
      <w:pPr>
        <w:pStyle w:val="Bullet1G"/>
      </w:pPr>
      <w:r w:rsidRPr="00930651">
        <w:t>La puesta en marcha a nivel federal del Fondo de Esperanza para los Jóvenes, que brinda apoyo a las actividades de prevención del suicidio lideradas por jóvenes, y de la Iniciativa Elijamos la Vida, que busca encontrar soluciones basadas en la comunidad para prevenir el suicidio juvenil en las comunidades de la Nación Nishnawbe Aski y en los Consejos Tribales</w:t>
      </w:r>
      <w:r>
        <w:t>.</w:t>
      </w:r>
    </w:p>
    <w:p w14:paraId="7AFCAE70" w14:textId="0E654F4E" w:rsidR="00930651" w:rsidRPr="00930651" w:rsidRDefault="00930651" w:rsidP="00930651">
      <w:pPr>
        <w:pStyle w:val="Bullet1G"/>
      </w:pPr>
      <w:bookmarkStart w:id="3" w:name="_Hlk92897340"/>
      <w:r w:rsidRPr="00930651">
        <w:t>El Grupo de Trabajo Interdepartamental sobre el Principio de Jordan de Manitoba difunde información asiduamente para que el gobierno provincial comprenda cabalmente la aplicación del principio de Jordan en la provincia. El grupo de trabajo se centra en entender mejor los problemas asociados a la prestación de servicios y en ayudar al gobierno de Manitoba a brindar apoyo a los socios de las Primeras Naciones y al Canadá a aplicar el principio de Jordan</w:t>
      </w:r>
      <w:bookmarkEnd w:id="3"/>
      <w:r>
        <w:t>.</w:t>
      </w:r>
    </w:p>
    <w:p w14:paraId="4ABCE69D" w14:textId="577CB5C6" w:rsidR="00930651" w:rsidRPr="00930651" w:rsidRDefault="00930651" w:rsidP="00930651">
      <w:pPr>
        <w:pStyle w:val="Bullet1G"/>
      </w:pPr>
      <w:r w:rsidRPr="00930651">
        <w:lastRenderedPageBreak/>
        <w:t>Ontario trabaja con las comunidades indígenas y los proveedores de servicios para mejorar el acceso a los servicios de salud mental y de tratamiento de adicciones encabezados por indígenas en toda la provincia, en particular para brindar apoyo a los 33 programas y servicios de salud mental y tratamiento de adicciones encabezados por indígenas, para contribuir a poner fin al ciclo de traumas intergeneracionales</w:t>
      </w:r>
      <w:r>
        <w:t>.</w:t>
      </w:r>
    </w:p>
    <w:p w14:paraId="4BE7EC7A" w14:textId="16AC47D4" w:rsidR="00930651" w:rsidRPr="00930651" w:rsidRDefault="00930651" w:rsidP="00930651">
      <w:pPr>
        <w:pStyle w:val="Bullet1G"/>
        <w:rPr>
          <w:b/>
        </w:rPr>
      </w:pPr>
      <w:r w:rsidRPr="00930651">
        <w:t>En 2020, Quebec apoyó la mejora de la seguridad cultural en el sistema de salud y de servicios sociales, y permitió a las comunidades indígenas hacerse cargo de ciertos servicios a la infancia y las familias y adaptarlos mediante la firma de acuerdos de protección de la juventud. Entre las iniciativas financiadas figurarán la elaboración y la ejecución de programas de formación, el despliegue de oficiales de enlace y asesores de servicio, el apoyo a los proyectos de demostración y la adaptación de las cláusulas y condiciones del sistema de examen de reclamaciones.</w:t>
      </w:r>
    </w:p>
    <w:p w14:paraId="1B67DD30" w14:textId="0CA6355E" w:rsidR="00930651" w:rsidRPr="00930651" w:rsidRDefault="00930651" w:rsidP="00930651">
      <w:pPr>
        <w:pStyle w:val="H23G"/>
      </w:pPr>
      <w:r>
        <w:tab/>
      </w:r>
      <w:r w:rsidRPr="00930651">
        <w:tab/>
        <w:t>Respuesta al párrafo 10 b) de la lista de cuestiones</w:t>
      </w:r>
    </w:p>
    <w:p w14:paraId="7A9D3E3F" w14:textId="77777777" w:rsidR="00930651" w:rsidRPr="00930651" w:rsidRDefault="00930651" w:rsidP="00930651">
      <w:pPr>
        <w:pStyle w:val="SingleTxtG"/>
      </w:pPr>
      <w:r w:rsidRPr="00930651">
        <w:t>37.</w:t>
      </w:r>
      <w:r w:rsidRPr="00930651">
        <w:tab/>
        <w:t>El Gobierno del Canadá consulta con las autoridades sanitarias para cerciorarse de que los beneficios de los fármacos psicoestimulantes que se ponen a disposición del público superan los riesgos que entrañan. También hace un seguimiento de las tasas de hospitalización debidas a casos de abuso de sustancias, entre ellas los psicoestimulantes, en jóvenes de entre 10 y 24 años de edad, con el fin de elaborar indicadores comunes y formular informes al respecto. El Informe del Director de Salud Pública sobre el Estado de la Salud Pública en el Canadá en 2018 se centró en la prevención del consumo indebido de sustancias entre los jóvenes. En el informe se contemplan los factores de riesgo, el fortalecimiento de los factores de protección, la demora del inicio del consumo y la prevención del uso nocivo de sustancias.</w:t>
      </w:r>
    </w:p>
    <w:p w14:paraId="7D69DF7C" w14:textId="77777777" w:rsidR="00930651" w:rsidRPr="00930651" w:rsidRDefault="00930651" w:rsidP="00930651">
      <w:pPr>
        <w:pStyle w:val="SingleTxtG"/>
      </w:pPr>
      <w:r w:rsidRPr="00930651">
        <w:t>38.</w:t>
      </w:r>
      <w:r w:rsidRPr="00930651">
        <w:tab/>
        <w:t>Muchas provincias y territorios han desarrollado sus propios métodos de monitoreo. Por ejemplo, Columbia Británica ha financiado su propio examen sistemático de datos sobre la prevalencia, la prevención y las opciones de tratamiento para los niños y jóvenes con trastornos de salud mental; ha financiado exámenes sistemáticos realizados por conducto de la Revista Trimestral Salud Mental Infantil; y ha impartido cursos de formación a profesionales médicos sobre varias intervenciones basadas en datos.</w:t>
      </w:r>
    </w:p>
    <w:p w14:paraId="61AF87C3" w14:textId="261581E4" w:rsidR="00930651" w:rsidRPr="00930651" w:rsidRDefault="00930651" w:rsidP="00930651">
      <w:pPr>
        <w:pStyle w:val="H23G"/>
      </w:pPr>
      <w:r>
        <w:tab/>
      </w:r>
      <w:r w:rsidRPr="00930651">
        <w:tab/>
        <w:t>Respuesta al párrafo 10 c) de la lista de cuestiones</w:t>
      </w:r>
    </w:p>
    <w:p w14:paraId="25F83D73" w14:textId="77777777" w:rsidR="00930651" w:rsidRPr="00930651" w:rsidRDefault="00930651" w:rsidP="00930651">
      <w:pPr>
        <w:pStyle w:val="SingleTxtG"/>
      </w:pPr>
      <w:r w:rsidRPr="00930651">
        <w:t>39.</w:t>
      </w:r>
      <w:r w:rsidRPr="00930651">
        <w:tab/>
        <w:t>A través de la Estrategia Nacional de Vivienda, el Gobierno del Canadá ha entablado acuerdos con las provincias y los territorios para invertir en la protección, renovación, y expansión de las viviendas comunitarias, para atender las prioridades de las provincias en materia de reparación, construcción y asequibilidad de las viviendas, y para cooperar en la prevención y la reducción de la falta de hogar. Las inversiones federales en proyectos de vivienda entre 2015 y 2019 tuvieron como resultado la construcción de 41.800 viviendas nuevas asequibles y la reparación de 229.600 viviendas. Mediante ayudas al alquiler, complementos para el alquiler y subvenciones a las viviendas sociales, 782.000 familias o personas pudieron acceder a un lugar donde vivir más asequible o estable, y 35.000 personas pudieron ser reubicadas en viviendas más estables.</w:t>
      </w:r>
    </w:p>
    <w:p w14:paraId="3F5A370D" w14:textId="16DD8799" w:rsidR="00930651" w:rsidRPr="00930651" w:rsidRDefault="00930651" w:rsidP="00930651">
      <w:pPr>
        <w:pStyle w:val="SingleTxtG"/>
      </w:pPr>
      <w:bookmarkStart w:id="4" w:name="_Hlk83294419"/>
      <w:r w:rsidRPr="00930651">
        <w:t>40.</w:t>
      </w:r>
      <w:r w:rsidRPr="00930651">
        <w:tab/>
        <w:t>Iniciada en 2018, la estrategia federal de reducción de la pobreza está logrando resultados positivos. Los datos recabados en la Encuesta Canadiense sobre los Ingresos de</w:t>
      </w:r>
      <w:r w:rsidR="002A36CC">
        <w:t> </w:t>
      </w:r>
      <w:r w:rsidRPr="00930651">
        <w:t>2019 demostraron que el Canadá ha alcanzado su objetivo de reducir la pobreza en un 20</w:t>
      </w:r>
      <w:r w:rsidR="002A36CC">
        <w:t> </w:t>
      </w:r>
      <w:r w:rsidRPr="00930651">
        <w:t>% para 2020 (con respecto a los niveles de 2015). Entre 2015 y 2019, casi 1,3 millones de canadienses salieron de la pobreza, entre ellos 435.000 niños.</w:t>
      </w:r>
    </w:p>
    <w:p w14:paraId="02FEB223" w14:textId="77777777" w:rsidR="00930651" w:rsidRPr="00930651" w:rsidRDefault="00930651" w:rsidP="00930651">
      <w:pPr>
        <w:pStyle w:val="SingleTxtG"/>
      </w:pPr>
      <w:r w:rsidRPr="00930651">
        <w:t>41.</w:t>
      </w:r>
      <w:r w:rsidRPr="00930651">
        <w:tab/>
        <w:t>En 2019-2020, Manitoba, Columbia Británica, la Isla del Príncipe Eduardo y Ontario empezaron a aplicar estrategias provinciales de reducción de la pobreza.</w:t>
      </w:r>
      <w:bookmarkEnd w:id="4"/>
    </w:p>
    <w:p w14:paraId="000495FA" w14:textId="2224CEF0" w:rsidR="00930651" w:rsidRPr="00930651" w:rsidRDefault="00930651" w:rsidP="00930651">
      <w:pPr>
        <w:pStyle w:val="H23G"/>
        <w:rPr>
          <w:lang w:val="en-GB"/>
        </w:rPr>
      </w:pPr>
      <w:r>
        <w:tab/>
      </w:r>
      <w:r w:rsidRPr="00930651">
        <w:tab/>
        <w:t>Respuesta al párrafo 10 d) de la lista de cuestiones</w:t>
      </w:r>
    </w:p>
    <w:p w14:paraId="4AFA4035" w14:textId="07041B59" w:rsidR="00930651" w:rsidRPr="00930651" w:rsidRDefault="00930651" w:rsidP="00930651">
      <w:pPr>
        <w:pStyle w:val="SingleTxtG"/>
        <w:rPr>
          <w:lang w:val="en-GB"/>
        </w:rPr>
      </w:pPr>
      <w:r w:rsidRPr="00930651">
        <w:t>42.</w:t>
      </w:r>
      <w:r w:rsidRPr="00930651">
        <w:tab/>
        <w:t>El Gobierno del Canadá sigue colaborando con las Primeras Naciones para resolver las preocupaciones que suscita el agua en las reservas. Desde 2016, y hasta el 30 de junio de</w:t>
      </w:r>
      <w:r w:rsidR="000C3F71">
        <w:t> </w:t>
      </w:r>
      <w:r w:rsidRPr="00930651">
        <w:t xml:space="preserve">2021, prestó apoyo a 751 proyectos relacionados con el agua y las aguas residuales, entre ellos 124 que daban respuesta a los avisos referidos a la calidad del agua potable a largo plazo. Desde noviembre de 2015 hasta el 9 de diciembre de 2021, con el apoyo del Gobierno </w:t>
      </w:r>
      <w:r w:rsidRPr="00930651">
        <w:lastRenderedPageBreak/>
        <w:t>del Canadá, las Primeras Naciones levantaron 120 avisos referidos a la calidad del agua potable a largo plazo en los sistemas públicos de las reservas y habían evitado que 202 avisos sobre el agua potable de corto plazo se convirtieran en avisos de largo plazo.</w:t>
      </w:r>
    </w:p>
    <w:p w14:paraId="7D7E1E6A" w14:textId="49E13032" w:rsidR="00930651" w:rsidRPr="00930651" w:rsidRDefault="00930651" w:rsidP="00930651">
      <w:pPr>
        <w:pStyle w:val="SingleTxtG"/>
        <w:rPr>
          <w:lang w:val="en-GB"/>
        </w:rPr>
      </w:pPr>
      <w:bookmarkStart w:id="5" w:name="_Hlk95738447"/>
      <w:r w:rsidRPr="00930651">
        <w:t>43.</w:t>
      </w:r>
      <w:r w:rsidRPr="00930651">
        <w:tab/>
        <w:t>Desde 2013, Ontario y el Gobierno del Canadá han trabajado con las Primeras Naciones de Grassy Narrows para hacer frente a la crisis del mercurio en Grassy Narrows. El apoyo prestado incluye la financiación y el asesoramiento técnico para realizar una evaluación de las necesidades sanitarias de la comunidad y un plan funcional para hacer realidad el proyecto de centro de atención a las personas afectadas por el mercurio; la evaluación de la salud de la población de la comunidad; y la prestación de apoyo técnico a una serie de comunidades y consejos tribales que solicitaron asistencia. En septiembre de</w:t>
      </w:r>
      <w:r w:rsidR="001917F9">
        <w:t> </w:t>
      </w:r>
      <w:r w:rsidRPr="00930651">
        <w:t>2020, el Gobierno del Canadá trabajó en estrecha colaboración con la Primera Nación de Grassy Narrows para completar las obras de mejora provisional de la planta de tratamiento de agua y de las conexiones con la red de distribución existentes. En 2020, el Gobierno del Canadá destinó fondos a la construcción y el funcionamiento de centros de atención a las personas afectadas por el mercurio tanto en Grassy Narrows como en Wabaseemoong. En abril de 2020, el Gobierno del Canadá firmó con la Primera Nación de Grassy Narrows un acuerdo marco sobre el centro de atención para afectados por el mercurio, el cual fue revisado en julio de 2021. Para atender las necesidades de agua potable a largo plazo, el Canadá también se ha comprometido a apoyar la construcción de una nueva planta de tratamiento de agua, la introducción de mejoras en la red de distribución y la instalación de una toma de agua sin depurar en el territorio de la Primera Nación de Grassy Narrows. Se prevé que la fase de diseño comience en 2022 y la de construcción en 2023.</w:t>
      </w:r>
    </w:p>
    <w:bookmarkEnd w:id="5"/>
    <w:p w14:paraId="6A61D0E0" w14:textId="77777777" w:rsidR="00930651" w:rsidRPr="00930651" w:rsidRDefault="00930651" w:rsidP="00930651">
      <w:pPr>
        <w:pStyle w:val="SingleTxtG"/>
        <w:rPr>
          <w:lang w:val="en-GB"/>
        </w:rPr>
      </w:pPr>
      <w:r w:rsidRPr="00930651">
        <w:t>44.</w:t>
      </w:r>
      <w:r w:rsidRPr="00930651">
        <w:tab/>
        <w:t>En abril de 2016, Alberta llevó a cabo una revisión final de las labores de saneamiento y cerró el expediente del río Red Deer, al determinar que no era necesario realizar ninguna otra intervención. Tras el fallo sufrido por el oleoducto en 2012, se adoptaron medidas como la de inspeccionar y documentar todos los oleoductos que cruzan el río Red Deer aguas arriba de la presa de Dickson, identificar los oleoductos de alto riesgo debido a la erosión, el arrastre de sedimentos y otras formas de deterioro del curso del río, y desmantelar los oleoductos más antiguos que estaban fuera de servicio. En marzo de 2018, una nueva directiva identificó las circunstancias en las cuales Alberta estudiará las solicitudes de protección del lecho del río contra la erosión para los oleoductos que no cumplen con los requisitos referidos a la profundidad de la erosión por arrastre establecidos en el Código de Práctica para Oleoductos y Líneas de Telecomunicaciones que Atraviesan una Masa de Agua.</w:t>
      </w:r>
    </w:p>
    <w:p w14:paraId="459711B1" w14:textId="1A565346" w:rsidR="00930651" w:rsidRPr="00930651" w:rsidRDefault="00930651" w:rsidP="00930651">
      <w:pPr>
        <w:pStyle w:val="H23G"/>
        <w:rPr>
          <w:lang w:val="en-GB"/>
        </w:rPr>
      </w:pPr>
      <w:r>
        <w:tab/>
      </w:r>
      <w:r w:rsidRPr="00930651">
        <w:tab/>
        <w:t>Respuesta al párrafo 10 e) de la lista de cuestiones</w:t>
      </w:r>
    </w:p>
    <w:p w14:paraId="4F8E97DB" w14:textId="77777777" w:rsidR="00930651" w:rsidRPr="00930651" w:rsidRDefault="00930651" w:rsidP="00930651">
      <w:pPr>
        <w:pStyle w:val="SingleTxtG"/>
        <w:rPr>
          <w:b/>
          <w:lang w:val="en-GB"/>
        </w:rPr>
      </w:pPr>
      <w:r w:rsidRPr="00930651">
        <w:t>45.</w:t>
      </w:r>
      <w:r w:rsidRPr="00930651">
        <w:tab/>
        <w:t>Los gobiernos del Canadá propugnan la realización de evaluaciones del posible impacto de los proyectos en los derechos de los indígenas o los derechos establecidos en los tratados, y/o una amplia consulta con los gobiernos y organizaciones indígenas. Por ejemplo, en 2020, Nuevo Brunswick redobló esfuerzos para hacer más transparente la administración de las tierras públicas, para lo cual dictó que se elaborara un informe anual sobre las actividades de ordenación de las tierras y que este se sometiera a la consideración de todas las Primeras Naciones y así fundamentar los debates. En 2019, la Ley de Recursos Minerales de los Territorios del Noroeste introdujo la exigencia de que los proyectos de extracción de recursos que alcanzasen un determinado umbral prescrito celebren con los correspondientes gobiernos y organizaciones acuerdos sobre las ventajas previstas.</w:t>
      </w:r>
    </w:p>
    <w:p w14:paraId="2C647D42" w14:textId="7CC56EAE" w:rsidR="00930651" w:rsidRPr="00930651" w:rsidRDefault="00930651" w:rsidP="00930651">
      <w:pPr>
        <w:pStyle w:val="H23G"/>
        <w:rPr>
          <w:lang w:val="en-GB"/>
        </w:rPr>
      </w:pPr>
      <w:r>
        <w:tab/>
      </w:r>
      <w:r w:rsidRPr="00930651">
        <w:tab/>
        <w:t>Respuesta al párrafo 11 a) de la lista de cuestiones</w:t>
      </w:r>
    </w:p>
    <w:p w14:paraId="26261882" w14:textId="77777777" w:rsidR="00930651" w:rsidRPr="00930651" w:rsidRDefault="00930651" w:rsidP="00930651">
      <w:pPr>
        <w:pStyle w:val="SingleTxtG"/>
        <w:rPr>
          <w:lang w:val="en-GB"/>
        </w:rPr>
      </w:pPr>
      <w:bookmarkStart w:id="6" w:name="_Hlk88477272"/>
      <w:r w:rsidRPr="00930651">
        <w:t>46.</w:t>
      </w:r>
      <w:r w:rsidRPr="00930651">
        <w:tab/>
        <w:t>Las provincias y los territorios han integrado los principios de los derechos humanos, incluidos los derechos del niño, en sus programas escolares. Por ejemplo:</w:t>
      </w:r>
      <w:bookmarkEnd w:id="6"/>
    </w:p>
    <w:p w14:paraId="1E86EA4D" w14:textId="7F41EC97" w:rsidR="00930651" w:rsidRPr="00930651" w:rsidRDefault="00930651" w:rsidP="00930651">
      <w:pPr>
        <w:pStyle w:val="Bullet1G"/>
        <w:rPr>
          <w:lang w:val="en-GB"/>
        </w:rPr>
      </w:pPr>
      <w:r w:rsidRPr="00930651">
        <w:t>En Terranova y Labrador, los alumnos aprenden a identificar problemas actuales relacionados con los derechos del niño a partir del 6º curso, mediante el examen crítico de las cuestiones relativas a los derechos humanos en todo el mundo y en su entorno, tomando como orientación la Convención sobre los Derechos del Niño y la Declaración Universal de Derechos Humanos</w:t>
      </w:r>
      <w:r>
        <w:t>.</w:t>
      </w:r>
    </w:p>
    <w:p w14:paraId="38D752DB" w14:textId="7478101F" w:rsidR="00930651" w:rsidRPr="00930651" w:rsidRDefault="00930651" w:rsidP="00930651">
      <w:pPr>
        <w:pStyle w:val="Bullet1G"/>
        <w:rPr>
          <w:lang w:val="en-GB"/>
        </w:rPr>
      </w:pPr>
      <w:r w:rsidRPr="00930651">
        <w:t>El nuevo programa escolar de Columbia Británica, puesto en práctica en el curso 2018</w:t>
      </w:r>
      <w:r w:rsidR="0091505B">
        <w:t>/</w:t>
      </w:r>
      <w:r w:rsidRPr="00930651">
        <w:t xml:space="preserve">19, asegura que en todas las asignaturas y niveles escolares, los temas </w:t>
      </w:r>
      <w:r w:rsidRPr="00930651">
        <w:lastRenderedPageBreak/>
        <w:t>relacionados con los derechos humanos den prioridad a los debates en torno a la prevención del racismo y la discriminación, y el valor de la diversidad. Esto incluye la enseñanza obligatoria desde el jardín de infancia hasta el décimo año de conceptos relacionados con el maltrato y el abuso sexual como parte de la asignatura de Educación Física y Salud.</w:t>
      </w:r>
    </w:p>
    <w:p w14:paraId="37926EF4" w14:textId="1F1E5EB5" w:rsidR="00930651" w:rsidRPr="00930651" w:rsidRDefault="00930651" w:rsidP="00930651">
      <w:pPr>
        <w:pStyle w:val="H23G"/>
        <w:rPr>
          <w:lang w:val="en-GB"/>
        </w:rPr>
      </w:pPr>
      <w:r>
        <w:tab/>
      </w:r>
      <w:r w:rsidRPr="00930651">
        <w:tab/>
        <w:t xml:space="preserve">Respuesta al párrafo 11 b) de la lista de cuestiones </w:t>
      </w:r>
    </w:p>
    <w:p w14:paraId="07B766DA" w14:textId="77777777" w:rsidR="00930651" w:rsidRPr="00930651" w:rsidRDefault="00930651" w:rsidP="00930651">
      <w:pPr>
        <w:pStyle w:val="SingleTxtG"/>
        <w:rPr>
          <w:lang w:val="en-GB"/>
        </w:rPr>
      </w:pPr>
      <w:r w:rsidRPr="00930651">
        <w:t>47.</w:t>
      </w:r>
      <w:r w:rsidRPr="00930651">
        <w:tab/>
        <w:t>Desde 2017, el Marco Multilateral de Enseñanza y Atención a la Primera Infancia establecido por el Gobierno del Canadá ha creado más de 40.000 espacios que prestan servicios de guardería asequibles y ha aumentado el acceso a la formación y el desarrollo profesional para quienes trabajan en el sector de la primera infancia.</w:t>
      </w:r>
    </w:p>
    <w:p w14:paraId="21F1755D" w14:textId="77777777" w:rsidR="00930651" w:rsidRPr="00930651" w:rsidRDefault="00930651" w:rsidP="00930651">
      <w:pPr>
        <w:pStyle w:val="SingleTxtG"/>
        <w:rPr>
          <w:lang w:val="en-GB"/>
        </w:rPr>
      </w:pPr>
      <w:r w:rsidRPr="00930651">
        <w:t>48.</w:t>
      </w:r>
      <w:r w:rsidRPr="00930651">
        <w:tab/>
        <w:t>En 2021, el Gobierno del Canadá realizó una inversión transformadora para establecer un sistema de enseñanza y atención a la primera financia para todo el Canadá, trabajando con socios provinciales, territoriales e indígenas. Los nuevos acuerdos concertados con las provincias y los territorios proporcionarán a unas y otros un nivel de financiación considerable para para reducir de forma sustancial el gasto que supone para las familias una plaza en las guarderías reglamentadas. Como resultado de ello:</w:t>
      </w:r>
    </w:p>
    <w:p w14:paraId="47304528" w14:textId="150BC8B4" w:rsidR="00930651" w:rsidRPr="00930651" w:rsidRDefault="00930651" w:rsidP="00930651">
      <w:pPr>
        <w:pStyle w:val="Bullet1G"/>
        <w:rPr>
          <w:lang w:val="en-GB"/>
        </w:rPr>
      </w:pPr>
      <w:r w:rsidRPr="00930651">
        <w:t>Manitoba mejoró la disponibilidad de formación para que los establecimientos atendieran mejor las necesidades de los niños con autismo. Desde 2018, 265</w:t>
      </w:r>
      <w:r w:rsidR="0091505B">
        <w:t> </w:t>
      </w:r>
      <w:r w:rsidRPr="00930651">
        <w:t>trabajadores de 28 centros de atención infantil se han formado en el análisis conductual aplicado, y, cada año, aproximadamente 400 niños con discapacidad, incluidos niños con autismo, reciben apoyo gracias a la inclusión especializada</w:t>
      </w:r>
      <w:r>
        <w:t>.</w:t>
      </w:r>
    </w:p>
    <w:p w14:paraId="21D9D73D" w14:textId="660E2343" w:rsidR="00930651" w:rsidRPr="00930651" w:rsidRDefault="00930651" w:rsidP="00930651">
      <w:pPr>
        <w:pStyle w:val="Bullet1G"/>
        <w:rPr>
          <w:lang w:val="en-GB"/>
        </w:rPr>
      </w:pPr>
      <w:r w:rsidRPr="00930651">
        <w:t>Saskatchewan mejoró el acceso a los servicios de guardería y a la formación y los recursos para quienes trabajan en este ámbito, para asegurar la disponibilidad de programas de alta calidad tanto en los centros como en el hogar. Este enfoque se basa en el principio de la inclusión para aumentar la calidad de vida de los niños con discapacidad, y para apoyar a la comunidad francófona asignando plazas de guardería para las familias de dicha comunidad.</w:t>
      </w:r>
    </w:p>
    <w:p w14:paraId="3D23127B" w14:textId="77777777" w:rsidR="00930651" w:rsidRPr="00930651" w:rsidRDefault="00930651" w:rsidP="00930651">
      <w:pPr>
        <w:pStyle w:val="SingleTxtG"/>
        <w:rPr>
          <w:lang w:val="en-GB"/>
        </w:rPr>
      </w:pPr>
      <w:r w:rsidRPr="00930651">
        <w:t>49.</w:t>
      </w:r>
      <w:r w:rsidRPr="00930651">
        <w:tab/>
        <w:t>El Gobierno del Canadá sigue colaborando con las comunidades indígenas para establecer un sistema basado en el Marco Indígena de Educación Preescolar y Cuidado de Niños, concertado conjuntamente con ellas, en particular para promover la libre determinación de los indígenas, incluido su derecho a controlar la concepción, el funcionamiento y la administración del sistema.</w:t>
      </w:r>
    </w:p>
    <w:p w14:paraId="0588D1ED" w14:textId="77777777" w:rsidR="00930651" w:rsidRPr="00930651" w:rsidRDefault="00930651" w:rsidP="00930651">
      <w:pPr>
        <w:pStyle w:val="SingleTxtG"/>
        <w:rPr>
          <w:lang w:val="en-GB"/>
        </w:rPr>
      </w:pPr>
      <w:r w:rsidRPr="00930651">
        <w:t>50.</w:t>
      </w:r>
      <w:r w:rsidRPr="00930651">
        <w:tab/>
        <w:t>Las provincias y los territorios también trabajan con los pueblos indígenas para garantizar la prestación de servicios de enseñanza y atención a la primera infancia:</w:t>
      </w:r>
    </w:p>
    <w:p w14:paraId="6CEA3162" w14:textId="2CEA5F56" w:rsidR="00930651" w:rsidRPr="00930651" w:rsidRDefault="00930651" w:rsidP="00930651">
      <w:pPr>
        <w:pStyle w:val="Bullet1G"/>
        <w:rPr>
          <w:lang w:val="en-GB"/>
        </w:rPr>
      </w:pPr>
      <w:r w:rsidRPr="00930651">
        <w:t>Columbia Británica prioriza la expansión de la atención y el aprendizaje tempranos dirigidos por los indígenas y adaptados a su cultura, y desde 2018 ha dado apoyo para hasta 643 plazas gratuitas gracias al Programa de Ayuda Preescolar a los Aborígenes (AHS). En 2020-2021 financió la puesta en marcha de programas culturales al aire libre que giraban en torno a la cuestión de la tierra en ubicaciones del programa AHS en toda la provincia, los cuales se consideraron importantes para el mantenimiento de la salud y la identidad cultural de las comunidades indígenas.</w:t>
      </w:r>
    </w:p>
    <w:p w14:paraId="6F7576F5" w14:textId="001F509A" w:rsidR="00930651" w:rsidRPr="00930651" w:rsidRDefault="00930651" w:rsidP="00930651">
      <w:pPr>
        <w:pStyle w:val="H23G"/>
        <w:rPr>
          <w:lang w:val="en-GB"/>
        </w:rPr>
      </w:pPr>
      <w:r>
        <w:tab/>
      </w:r>
      <w:r w:rsidRPr="00930651">
        <w:tab/>
        <w:t>Respuesta al párrafo 12 a) de la lista de cuestiones</w:t>
      </w:r>
    </w:p>
    <w:p w14:paraId="086186AD" w14:textId="77777777" w:rsidR="00930651" w:rsidRPr="00930651" w:rsidRDefault="00930651" w:rsidP="00930651">
      <w:pPr>
        <w:pStyle w:val="SingleTxtG"/>
        <w:rPr>
          <w:lang w:val="en-GB"/>
        </w:rPr>
      </w:pPr>
      <w:r w:rsidRPr="00930651">
        <w:t>51.</w:t>
      </w:r>
      <w:r w:rsidRPr="00930651">
        <w:tab/>
        <w:t>Todas las provincias y territorios garantizan el acceso gratuito a la enseñanza primaria. Es posible cobrar tasas en concepto de material escolar, actividades extracurriculares, participación en torneos y transporte. Algunas provincias y territorios disponen de mecanismos para que los administradores renuncien al cobro de esas tasas cuando se trata de familias necesitadas.</w:t>
      </w:r>
    </w:p>
    <w:p w14:paraId="20783D18" w14:textId="4C63C1B1" w:rsidR="00930651" w:rsidRPr="00930651" w:rsidRDefault="00930651" w:rsidP="00930651">
      <w:pPr>
        <w:pStyle w:val="H23G"/>
        <w:rPr>
          <w:lang w:val="en-GB"/>
        </w:rPr>
      </w:pPr>
      <w:r>
        <w:tab/>
      </w:r>
      <w:r w:rsidRPr="00930651">
        <w:tab/>
        <w:t>Respuesta al párrafo 12 b) de la lista de cuestiones</w:t>
      </w:r>
    </w:p>
    <w:p w14:paraId="3FCC7592" w14:textId="77777777" w:rsidR="00930651" w:rsidRPr="00930651" w:rsidRDefault="00930651" w:rsidP="00930651">
      <w:pPr>
        <w:pStyle w:val="SingleTxtG"/>
        <w:rPr>
          <w:lang w:val="en-GB"/>
        </w:rPr>
      </w:pPr>
      <w:r w:rsidRPr="00930651">
        <w:t>52.</w:t>
      </w:r>
      <w:r w:rsidRPr="00930651">
        <w:tab/>
        <w:t xml:space="preserve">La enseñanza, incluida la educación sexual, es competencia de las provincias y los territorios, salvo en el caso de las escuelas de las Primeras Naciones en las reservas, desde el jardín de infancia hasta el 12º curso, las cuales son competencia del Gobierno del Canadá. Aunque cada gobierno elabora por separado los planes de estudio sobre educación sexual, </w:t>
      </w:r>
      <w:r w:rsidRPr="00930651">
        <w:lastRenderedPageBreak/>
        <w:t>por lo general estos abordan temas comunes, como las infecciones de transmisión sexual o sanguínea (ITSS) y cómo prevenirlas.</w:t>
      </w:r>
    </w:p>
    <w:p w14:paraId="21C73031" w14:textId="77777777" w:rsidR="00930651" w:rsidRPr="00930651" w:rsidRDefault="00930651" w:rsidP="00930651">
      <w:pPr>
        <w:pStyle w:val="SingleTxtG"/>
        <w:rPr>
          <w:lang w:val="en-GB"/>
        </w:rPr>
      </w:pPr>
      <w:r w:rsidRPr="00930651">
        <w:t>53.</w:t>
      </w:r>
      <w:r w:rsidRPr="00930651">
        <w:tab/>
        <w:t>En consulta con las provincias y los territorios, el Gobierno del Canadá ha desarrollado un plan de acción para reducir el impacto sanitario de las ITSS de aquí a 2030. El Gobierno del Canadá se ha comprometido a invertir en iniciativas de prevención, educación y concienciación adaptadas a cada cultura para hacer frente al lastre que las ITSS suponen entre los pueblos indígenas, y en particular los jóvenes. Algunas provincias y territorios han desarrollado estrategias específicas contra las ITSS para gestionar y planificar las intervenciones destinadas a minimizar sus efectos.</w:t>
      </w:r>
    </w:p>
    <w:p w14:paraId="71908C95" w14:textId="2A0A816A" w:rsidR="00930651" w:rsidRPr="00930651" w:rsidRDefault="00930651" w:rsidP="00930651">
      <w:pPr>
        <w:pStyle w:val="H23G"/>
        <w:rPr>
          <w:lang w:val="en-GB"/>
        </w:rPr>
      </w:pPr>
      <w:r>
        <w:tab/>
      </w:r>
      <w:r w:rsidRPr="00930651">
        <w:tab/>
        <w:t>Respuesta al párrafo 12 c) de la lista de cuestiones</w:t>
      </w:r>
    </w:p>
    <w:p w14:paraId="516E2697" w14:textId="77777777" w:rsidR="00930651" w:rsidRPr="00930651" w:rsidRDefault="00930651" w:rsidP="00930651">
      <w:pPr>
        <w:pStyle w:val="SingleTxtG"/>
        <w:rPr>
          <w:lang w:val="en-GB"/>
        </w:rPr>
      </w:pPr>
      <w:r w:rsidRPr="00930651">
        <w:t>54.</w:t>
      </w:r>
      <w:r w:rsidRPr="00930651">
        <w:tab/>
        <w:t>Los gobiernos de Alberta, Columbia Británica, Terranova y Labrador, Nueva Escocia, Ontario, Isla del Príncipe Eduardo, Quebec y Saskatchewan han revisado o están revisando sus planes de estudio en colaboración con las comunidades indígenas y las partes interesadas para asegurarse de que todos los alumnos, profesores y dirigentes de escuela estén informados sobre las perspectivas y experiencias de las Primeras Naciones, los mestizos y los inuit, los tratados y la historia y el legado de los internados. Por ejemplo:</w:t>
      </w:r>
    </w:p>
    <w:p w14:paraId="09CB4F71" w14:textId="4C286386" w:rsidR="00930651" w:rsidRPr="00930651" w:rsidRDefault="00930651" w:rsidP="00930651">
      <w:pPr>
        <w:pStyle w:val="Bullet1G"/>
        <w:rPr>
          <w:lang w:val="en-GB"/>
        </w:rPr>
      </w:pPr>
      <w:r w:rsidRPr="00930651">
        <w:t>Nueva Escocia se ha asociado con los mi</w:t>
      </w:r>
      <w:r w:rsidR="00524448">
        <w:t>’</w:t>
      </w:r>
      <w:r w:rsidRPr="00930651">
        <w:t>kmaq y las partes interesadas gubernamentales para sensibilizar y dar a conocer mejor en las escuelas la importancia de la historia común, lo cual incluye la incorporación de los tambores de mano en las clases de música, el canto de la Canción del Honor Mi</w:t>
      </w:r>
      <w:r w:rsidR="00524448">
        <w:t>’</w:t>
      </w:r>
      <w:r w:rsidRPr="00930651">
        <w:t xml:space="preserve">kmaq y la nueva serie de libros infantiles </w:t>
      </w:r>
      <w:r w:rsidRPr="00930651">
        <w:rPr>
          <w:i/>
          <w:iCs/>
        </w:rPr>
        <w:t>Antle aqq Witapk</w:t>
      </w:r>
      <w:r w:rsidRPr="00930651">
        <w:t xml:space="preserve"> (Antle y sus amigos), para ayudar a los profesores de las escuelas públicas a impartir las enseñanzas y la cultura mi</w:t>
      </w:r>
      <w:r w:rsidR="00524448">
        <w:t>’</w:t>
      </w:r>
      <w:r w:rsidRPr="00930651">
        <w:t>kmaq en el aula</w:t>
      </w:r>
      <w:r>
        <w:t>.</w:t>
      </w:r>
    </w:p>
    <w:p w14:paraId="57B35AB2" w14:textId="3913443A" w:rsidR="00930651" w:rsidRPr="00930651" w:rsidRDefault="00930651" w:rsidP="0091505B">
      <w:pPr>
        <w:pStyle w:val="Bullet1G"/>
        <w:rPr>
          <w:lang w:val="en-GB"/>
        </w:rPr>
      </w:pPr>
      <w:r w:rsidRPr="00930651">
        <w:t xml:space="preserve">Ontario apoya las oportunidades de enseñanza y aprendizaje de las lenguas indígenas para los alumnos indígenas del sistema educativo provincial. La iniciativa </w:t>
      </w:r>
      <w:r w:rsidR="00524448">
        <w:t>“</w:t>
      </w:r>
      <w:r w:rsidRPr="00930651">
        <w:t>Anishinaabemodaa</w:t>
      </w:r>
      <w:r w:rsidR="00524448">
        <w:t>”</w:t>
      </w:r>
      <w:r w:rsidRPr="00930651">
        <w:t xml:space="preserve"> </w:t>
      </w:r>
      <w:r w:rsidR="0091505B" w:rsidRPr="0091505B">
        <w:t xml:space="preserve">− </w:t>
      </w:r>
      <w:r w:rsidR="00524448">
        <w:t>“</w:t>
      </w:r>
      <w:r w:rsidRPr="00930651">
        <w:t>Hablemos en ojibwe</w:t>
      </w:r>
      <w:r w:rsidR="00524448">
        <w:t>”</w:t>
      </w:r>
      <w:r w:rsidRPr="00930651">
        <w:t>, emprendida en asociación con la Junta Escolar del Distrito de Rainy River, el Instituto de Educación de las Siete Generaciones y SayITFirst, tiene por objetivo mantener y expandir las oportunidades de aprendizaje de la lengua ojibwe y aumentar el acceso a los recursos de aprendizaje lingüístico para los alumnos de las Primeras Naciones de toda la provincia.</w:t>
      </w:r>
    </w:p>
    <w:p w14:paraId="16AB44CB" w14:textId="77777777" w:rsidR="00930651" w:rsidRPr="00930651" w:rsidRDefault="00930651" w:rsidP="00930651">
      <w:pPr>
        <w:pStyle w:val="SingleTxtG"/>
        <w:rPr>
          <w:lang w:val="en-GB"/>
        </w:rPr>
      </w:pPr>
      <w:r w:rsidRPr="00930651">
        <w:t>55.</w:t>
      </w:r>
      <w:r w:rsidRPr="00930651">
        <w:tab/>
        <w:t xml:space="preserve">Se están revisando los planes de estudio de Alberta, Terranova y Labrador, Nuevo Brunswick, Ontario y Saskatchewan para que en ellos queden mejor reflejados el legado histórico que ha dejado en el Canadá la trata transatlántica de esclavos y las contribuciones realizadas y dificultades encontradas por los canadienses negros. Esta labor aborda el racismo sistémico, los conceptos relacionados con la diversidad y las relaciones raciales, la equidad y los derechos humanos de los negros, los indígenas y las personas de color, y las cuestiones relacionadas con la marginación y las desigualdades sociales y económicas. Por ejemplo: </w:t>
      </w:r>
    </w:p>
    <w:p w14:paraId="437AE953" w14:textId="7C1DB7DF" w:rsidR="00930651" w:rsidRPr="00930651" w:rsidRDefault="00930651" w:rsidP="00930651">
      <w:pPr>
        <w:pStyle w:val="Bullet1G"/>
        <w:rPr>
          <w:lang w:val="en-GB"/>
        </w:rPr>
      </w:pPr>
      <w:r w:rsidRPr="00930651">
        <w:t>Nuevo Brunswick está desarrollando todo un conjunto de ayudas referidas a las historias y culturas negras de Nuevo Brunswick que servirán a los docentes a la hora de buscar, adquirir y desarrollar recursos educativos. Esto implica trabajar con expertos clave y establecer un proceso para recibir e integrar las aportaciones de las organizaciones de la sociedad civil que abogan por la igualdad racial</w:t>
      </w:r>
      <w:r>
        <w:t>.</w:t>
      </w:r>
    </w:p>
    <w:p w14:paraId="5D55FD3A" w14:textId="350E0660" w:rsidR="00930651" w:rsidRPr="00930651" w:rsidRDefault="00930651" w:rsidP="00930651">
      <w:pPr>
        <w:pStyle w:val="Bullet1G"/>
        <w:rPr>
          <w:lang w:val="en-GB"/>
        </w:rPr>
      </w:pPr>
      <w:r w:rsidRPr="00930651">
        <w:t>Terranova y Labrador está renovando su plan provincial de estudios sociales. Como parte de esa iniciativa, está sometiendo a examen y revisión los contenidos referidos a la historia de Terranova y Labrador, el Canadá y el resto del mundo. También se propondrá como opción de estudio la trata transatlántica de esclavos en el Canadá.</w:t>
      </w:r>
    </w:p>
    <w:p w14:paraId="46E07F60" w14:textId="77777777" w:rsidR="00930651" w:rsidRPr="00930651" w:rsidRDefault="00930651" w:rsidP="00930651">
      <w:pPr>
        <w:pStyle w:val="SingleTxtG"/>
        <w:rPr>
          <w:lang w:val="en-GB"/>
        </w:rPr>
      </w:pPr>
      <w:r w:rsidRPr="00930651">
        <w:t>56.</w:t>
      </w:r>
      <w:r w:rsidRPr="00930651">
        <w:tab/>
        <w:t>Además, todas las escuelas de las Primeras Naciones de las reservas reciben fondos para apoyar los programas lingüísticos y culturales.</w:t>
      </w:r>
    </w:p>
    <w:p w14:paraId="2D834F88" w14:textId="74A50CCA" w:rsidR="00930651" w:rsidRPr="00930651" w:rsidRDefault="00930651" w:rsidP="00930651">
      <w:pPr>
        <w:pStyle w:val="H23G"/>
        <w:rPr>
          <w:lang w:val="en-GB"/>
        </w:rPr>
      </w:pPr>
      <w:r>
        <w:tab/>
      </w:r>
      <w:r w:rsidRPr="00930651">
        <w:tab/>
        <w:t>Respuesta al párrafo 12 d) de la lista de cuestiones</w:t>
      </w:r>
    </w:p>
    <w:p w14:paraId="218EDD17" w14:textId="77777777" w:rsidR="00930651" w:rsidRPr="00930651" w:rsidRDefault="00930651" w:rsidP="00930651">
      <w:pPr>
        <w:pStyle w:val="SingleTxtG"/>
        <w:rPr>
          <w:lang w:val="en-GB"/>
        </w:rPr>
      </w:pPr>
      <w:r w:rsidRPr="00930651">
        <w:t>57.</w:t>
      </w:r>
      <w:r w:rsidRPr="00930651">
        <w:tab/>
        <w:t>En el Canadá, los planes de estudio establecidos por todas la provincias y territorios animan a los niños a jugar de manera autodirigida. Algunas provincias y territorios han elaborado guías para informar a los docentes, padres y familias sobre las experiencias de aprendizaje basadas en el juego.</w:t>
      </w:r>
    </w:p>
    <w:p w14:paraId="00C4762E" w14:textId="28A6BB5E" w:rsidR="00930651" w:rsidRPr="00930651" w:rsidRDefault="00930651" w:rsidP="00930651">
      <w:pPr>
        <w:pStyle w:val="H23G"/>
        <w:rPr>
          <w:lang w:val="en-GB"/>
        </w:rPr>
      </w:pPr>
      <w:r>
        <w:lastRenderedPageBreak/>
        <w:tab/>
      </w:r>
      <w:r w:rsidRPr="00930651">
        <w:tab/>
        <w:t>Respuesta al párrafo 13 a) de la lista de cuestiones</w:t>
      </w:r>
    </w:p>
    <w:p w14:paraId="0BF66661" w14:textId="77777777" w:rsidR="00930651" w:rsidRPr="00930651" w:rsidRDefault="00930651" w:rsidP="00930651">
      <w:pPr>
        <w:pStyle w:val="SingleTxtG"/>
        <w:rPr>
          <w:lang w:val="en-GB"/>
        </w:rPr>
      </w:pPr>
      <w:r w:rsidRPr="00930651">
        <w:t>58.</w:t>
      </w:r>
      <w:r w:rsidRPr="00930651">
        <w:tab/>
        <w:t>El Gobierno del Canadá sigue trabajando para reducir al mínimo el recurso a la detención de inmigrantes cuando se trata de niños y de sus progenitores o tutores. En 2018, el Gobierno del Canadá puso en marcha un programa ampliado de alternativas a la detención, con herramientas que permiten la puesta en libertad efectiva en el seno de una comunidad. El mayor recurso a las alternativas a la detención ha dado lugar a un menor número de personas detenidas por motivos de inmigración, a mejores opciones para gestionar a las personas vulnerables, entre ellos los adultos con hijos, y a una mayor coherencia en el plano nacional.</w:t>
      </w:r>
    </w:p>
    <w:p w14:paraId="06C25C67" w14:textId="1F6ECDAE" w:rsidR="00930651" w:rsidRPr="00930651" w:rsidRDefault="00930651" w:rsidP="00930651">
      <w:pPr>
        <w:pStyle w:val="H23G"/>
        <w:rPr>
          <w:lang w:val="en-GB"/>
        </w:rPr>
      </w:pPr>
      <w:r>
        <w:tab/>
      </w:r>
      <w:r w:rsidRPr="00930651">
        <w:tab/>
        <w:t>Respuesta al párrafo 13 b) de la lista de cuestiones</w:t>
      </w:r>
    </w:p>
    <w:p w14:paraId="695F8D21" w14:textId="77777777" w:rsidR="00930651" w:rsidRPr="00930651" w:rsidRDefault="00930651" w:rsidP="00930651">
      <w:pPr>
        <w:pStyle w:val="SingleTxtG"/>
        <w:rPr>
          <w:iCs/>
          <w:lang w:val="en-GB"/>
        </w:rPr>
      </w:pPr>
      <w:r w:rsidRPr="00930651">
        <w:t>59.</w:t>
      </w:r>
      <w:r w:rsidRPr="00930651">
        <w:tab/>
        <w:t>Actualmente no se dispone de estadísticas completas sobre el número de condenas de adulto impuestas a jóvenes infractores. Entre 2015 y 2019, las provincias y los territorios informaron de 71 casos en que se habían impuesto condenas de adulto a jóvenes infractores. Sin embargo, tres provincias y territorios no facilitaron información al respecto. Véase el párrafo 48 del informe periódico del Canadá.</w:t>
      </w:r>
    </w:p>
    <w:p w14:paraId="11B62BE8" w14:textId="78D55F74" w:rsidR="00930651" w:rsidRPr="00930651" w:rsidRDefault="00930651" w:rsidP="00930651">
      <w:pPr>
        <w:pStyle w:val="H23G"/>
        <w:rPr>
          <w:lang w:val="en-GB"/>
        </w:rPr>
      </w:pPr>
      <w:r>
        <w:tab/>
      </w:r>
      <w:r w:rsidRPr="00930651">
        <w:tab/>
        <w:t>Respuesta al párrafo 13 c) de la lista de cuestiones</w:t>
      </w:r>
    </w:p>
    <w:p w14:paraId="14BF1749" w14:textId="77777777" w:rsidR="00930651" w:rsidRPr="00930651" w:rsidRDefault="00930651" w:rsidP="00930651">
      <w:pPr>
        <w:pStyle w:val="SingleTxtG"/>
        <w:rPr>
          <w:lang w:val="en-GB"/>
        </w:rPr>
      </w:pPr>
      <w:r w:rsidRPr="00930651">
        <w:t>60.</w:t>
      </w:r>
      <w:r w:rsidRPr="00930651">
        <w:tab/>
        <w:t>Las medidas adoptadas para corregir la representación excesiva de los niños indígenas y negros en el sistema de justicia penal incluyen las siguientes;</w:t>
      </w:r>
    </w:p>
    <w:p w14:paraId="01ED013F" w14:textId="7CD17DCE" w:rsidR="00930651" w:rsidRPr="00930651" w:rsidRDefault="00930651" w:rsidP="00930651">
      <w:pPr>
        <w:pStyle w:val="Bullet1G"/>
        <w:rPr>
          <w:lang w:val="en-GB"/>
        </w:rPr>
      </w:pPr>
      <w:r w:rsidRPr="00930651">
        <w:t>El Parlamento Federal modificó la Ley de Justicia Penal Juvenil en 2019 para restringir el recurso a la libertad bajo fianza y las condiciones de imposición de las penas, y para fomentar el recurso a medidas extrajudiciales para las infracciones asociadas a la administración de justicia, lo cual se espera que contribuya a reducir la representación excesiva de los jóvenes indígenas, racializados y vulnerables en el sistema de justicia penal</w:t>
      </w:r>
      <w:r>
        <w:t>.</w:t>
      </w:r>
    </w:p>
    <w:p w14:paraId="7C558A6D" w14:textId="67BB31E3" w:rsidR="00930651" w:rsidRPr="00930651" w:rsidRDefault="00930651" w:rsidP="00930651">
      <w:pPr>
        <w:pStyle w:val="Bullet1G"/>
        <w:rPr>
          <w:lang w:val="en-GB"/>
        </w:rPr>
      </w:pPr>
      <w:r w:rsidRPr="00930651">
        <w:t>Columbia Británica exige ahora una formación obligatoria sobre seguridad cultural indígena a todo el personal de los servicios de justicia juvenil que redacten informes a petición del tribunal para la toma de decisiones</w:t>
      </w:r>
      <w:r>
        <w:t>.</w:t>
      </w:r>
    </w:p>
    <w:p w14:paraId="78AC6ECF" w14:textId="26EE61D8" w:rsidR="00930651" w:rsidRPr="00930651" w:rsidRDefault="00930651" w:rsidP="00930651">
      <w:pPr>
        <w:pStyle w:val="Bullet1G"/>
        <w:rPr>
          <w:b/>
          <w:lang w:val="en-GB"/>
        </w:rPr>
      </w:pPr>
      <w:r w:rsidRPr="00930651">
        <w:t>Ontario está poniendo en marcha sus primeros centros de justicia comunitarios, en los que se reúnen los servicios de justicia, salud, empleo, educación y los servicios sociales para hacer frente de manera colectiva a las causas profundas de la delincuencia, romper el ciclo delictivo y mejorar la seguridad pública y el bienestar de la comunidad.</w:t>
      </w:r>
    </w:p>
    <w:p w14:paraId="0A23EBAC" w14:textId="2CBBDDC7" w:rsidR="00930651" w:rsidRPr="00930651" w:rsidRDefault="00930651" w:rsidP="00930651">
      <w:pPr>
        <w:pStyle w:val="H23G"/>
        <w:rPr>
          <w:lang w:val="en-GB"/>
        </w:rPr>
      </w:pPr>
      <w:r>
        <w:tab/>
      </w:r>
      <w:r w:rsidRPr="00930651">
        <w:tab/>
        <w:t>Respuesta al párrafo 13 d) de la lista de cuestiones</w:t>
      </w:r>
    </w:p>
    <w:p w14:paraId="1F14CB53" w14:textId="77777777" w:rsidR="00930651" w:rsidRPr="00930651" w:rsidRDefault="00930651" w:rsidP="00930651">
      <w:pPr>
        <w:pStyle w:val="SingleTxtG"/>
        <w:rPr>
          <w:lang w:val="en-GB"/>
        </w:rPr>
      </w:pPr>
      <w:r w:rsidRPr="00930651">
        <w:t>61.</w:t>
      </w:r>
      <w:r w:rsidRPr="00930651">
        <w:tab/>
        <w:t>En respuesta a la pandemia, muchas provincias y territorios ampliaron sus capacidades tecnológicas para poder continuar con sus procesos judiciales.</w:t>
      </w:r>
    </w:p>
    <w:p w14:paraId="7BC8FE93" w14:textId="338F082A" w:rsidR="00930651" w:rsidRPr="00930651" w:rsidRDefault="00930651" w:rsidP="00930651">
      <w:pPr>
        <w:pStyle w:val="Bullet1G"/>
        <w:rPr>
          <w:lang w:val="en-GB"/>
        </w:rPr>
      </w:pPr>
      <w:r w:rsidRPr="00930651">
        <w:t>En Alberta, la pandemia ha dado lugar a una expansión del uso de la tecnología para los casos de libertad bajo fianza, la gestión de casos y la celebración de juicios</w:t>
      </w:r>
      <w:r>
        <w:t>.</w:t>
      </w:r>
    </w:p>
    <w:p w14:paraId="68DB3BEB" w14:textId="104C722D" w:rsidR="00930651" w:rsidRPr="00930651" w:rsidRDefault="00930651" w:rsidP="00930651">
      <w:pPr>
        <w:pStyle w:val="Bullet1G"/>
        <w:rPr>
          <w:lang w:val="en-GB"/>
        </w:rPr>
      </w:pPr>
      <w:r w:rsidRPr="00930651">
        <w:t>La Isla del Príncipe Eduardo recurrió en mayor medida a la supervisión electrónica y amplió su tribunal virtual</w:t>
      </w:r>
      <w:r>
        <w:t>.</w:t>
      </w:r>
    </w:p>
    <w:p w14:paraId="3D96A394" w14:textId="128BA2F1" w:rsidR="00930651" w:rsidRPr="00930651" w:rsidRDefault="00930651" w:rsidP="00930651">
      <w:pPr>
        <w:pStyle w:val="Bullet1G"/>
        <w:rPr>
          <w:lang w:val="en-GB"/>
        </w:rPr>
      </w:pPr>
      <w:r w:rsidRPr="00930651">
        <w:t>En Quebec, en el marco del Programa de Sanciones Extrajudiciales, se amplió el plazo para permitir a los jóvenes cumplir íntegramente sus sanciones extrajudiciales a pesar de los retrasos causados por la pandemia de COVID-19</w:t>
      </w:r>
      <w:r>
        <w:t>.</w:t>
      </w:r>
    </w:p>
    <w:p w14:paraId="570E2C3F" w14:textId="3E51259F" w:rsidR="00930651" w:rsidRPr="00930651" w:rsidRDefault="00930651" w:rsidP="00930651">
      <w:pPr>
        <w:pStyle w:val="Bullet1G"/>
        <w:rPr>
          <w:lang w:val="en-GB"/>
        </w:rPr>
      </w:pPr>
      <w:r w:rsidRPr="00930651">
        <w:t>Terranova y Labrador se esforzó por poner en libertad al mayor número posible de personas en prisión preventiva, especialmente en el caso de los indígenas, respecto de los cuales se determinó que lo más adecuado era permanecer en sus comunidades para minimizar la propagación del COVID-19.</w:t>
      </w:r>
    </w:p>
    <w:p w14:paraId="55C451AA" w14:textId="77777777" w:rsidR="00930651" w:rsidRPr="00930651" w:rsidRDefault="00930651" w:rsidP="00930651">
      <w:pPr>
        <w:pStyle w:val="SingleTxtG"/>
        <w:rPr>
          <w:lang w:val="en-GB"/>
        </w:rPr>
      </w:pPr>
      <w:r w:rsidRPr="00930651">
        <w:t>62.</w:t>
      </w:r>
      <w:r w:rsidRPr="00930651">
        <w:tab/>
        <w:t>Alberta, Nueva Escocia, Isla del Príncipe Eduardo y Quebec han empezado a integrar los informes Gladue en sus procedimientos judiciales. Otras provincias y territorios, como Nuevo Brunswick y los Territorios del Noroeste, ya ofrecen informes previos a la sentencia que integran los principios de Gladue.</w:t>
      </w:r>
    </w:p>
    <w:p w14:paraId="677DCC5C" w14:textId="4A1D1D7A" w:rsidR="00930651" w:rsidRPr="00930651" w:rsidRDefault="00930651" w:rsidP="00930651">
      <w:pPr>
        <w:pStyle w:val="H23G"/>
        <w:rPr>
          <w:lang w:val="en-GB"/>
        </w:rPr>
      </w:pPr>
      <w:r>
        <w:lastRenderedPageBreak/>
        <w:tab/>
      </w:r>
      <w:r w:rsidRPr="00930651">
        <w:tab/>
        <w:t xml:space="preserve">Respuesta al párrafo 14 a) de la lista de cuestiones </w:t>
      </w:r>
    </w:p>
    <w:p w14:paraId="6015CAF3" w14:textId="77777777" w:rsidR="00930651" w:rsidRPr="00930651" w:rsidRDefault="00930651" w:rsidP="00930651">
      <w:pPr>
        <w:pStyle w:val="SingleTxtG"/>
        <w:rPr>
          <w:lang w:val="en-GB"/>
        </w:rPr>
      </w:pPr>
      <w:r w:rsidRPr="00930651">
        <w:t>63.</w:t>
      </w:r>
      <w:r w:rsidRPr="00930651">
        <w:tab/>
        <w:t>En el informe periódico del Canadá, párrafos 162 a 164, se informa sobre la edad de alistamiento en la Fuerza Regular de las Fuerzas Armadas Canadienses.</w:t>
      </w:r>
    </w:p>
    <w:p w14:paraId="3F17AAD6" w14:textId="00938FC2" w:rsidR="00930651" w:rsidRPr="00930651" w:rsidRDefault="00930651" w:rsidP="00930651">
      <w:pPr>
        <w:pStyle w:val="SingleTxtG"/>
        <w:rPr>
          <w:lang w:val="en-GB"/>
        </w:rPr>
      </w:pPr>
      <w:r w:rsidRPr="00930651">
        <w:t>64.</w:t>
      </w:r>
      <w:r w:rsidRPr="00930651">
        <w:tab/>
        <w:t xml:space="preserve">El Canadá pasó a ser Parte en el Tratado sobre el Comercio de Armas (TCA) el 17 de septiembre de 2019. En consecuencia, el Gobierno del Canadá modificó la Ley de Permisos de Exportación e Importación para incorporar en ella los criterios de evaluación de riesgos del TCA. En virtud de esta </w:t>
      </w:r>
      <w:r w:rsidR="007116A0" w:rsidRPr="00930651">
        <w:t>Ley</w:t>
      </w:r>
      <w:r w:rsidRPr="00930651">
        <w:t>, el Ministro de Relaciones Exteriores no podrá emitir un permiso de exportación o de corretaje si la transacción propuesta puede, entre otros usos, utilizarse para cometer o facilitar actos graves de violencia de género o de violencia contra las mujeres y los niños. Los procedimientos mejorados de evaluación de riesgos citan como referencia la Convención sobre los Derechos del Niño.</w:t>
      </w:r>
    </w:p>
    <w:p w14:paraId="0A01B66D" w14:textId="5A00AD8E" w:rsidR="00930651" w:rsidRPr="00930651" w:rsidRDefault="00930651" w:rsidP="00930651">
      <w:pPr>
        <w:pStyle w:val="H23G"/>
        <w:rPr>
          <w:lang w:val="en-GB"/>
        </w:rPr>
      </w:pPr>
      <w:r>
        <w:tab/>
      </w:r>
      <w:r w:rsidRPr="00930651">
        <w:tab/>
        <w:t xml:space="preserve">Respuesta al párrafo 14 b) de la lista de cuestiones </w:t>
      </w:r>
    </w:p>
    <w:p w14:paraId="7EC02F89" w14:textId="77777777" w:rsidR="00930651" w:rsidRPr="00930651" w:rsidRDefault="00930651" w:rsidP="00930651">
      <w:pPr>
        <w:pStyle w:val="SingleTxtG"/>
        <w:rPr>
          <w:lang w:val="en-GB"/>
        </w:rPr>
      </w:pPr>
      <w:r w:rsidRPr="00930651">
        <w:t>65.</w:t>
      </w:r>
      <w:r w:rsidRPr="00930651">
        <w:tab/>
        <w:t>Preocupan especialmente al Gobierno del Canadá los casos de niños canadienses detenidos por las autoridades kurdas en el noreste de Siria. En octubre de 2020, el Gobierno del Canadá repatrió, a título excepcional, a un huérfano canadiense que se encontraba en el noreste de Siria.</w:t>
      </w:r>
    </w:p>
    <w:p w14:paraId="2DECA6F6" w14:textId="77777777" w:rsidR="00930651" w:rsidRPr="00930651" w:rsidRDefault="00930651" w:rsidP="00930651">
      <w:pPr>
        <w:pStyle w:val="SingleTxtG"/>
        <w:rPr>
          <w:lang w:val="en-GB"/>
        </w:rPr>
      </w:pPr>
      <w:r w:rsidRPr="00930651">
        <w:t>66.</w:t>
      </w:r>
      <w:r w:rsidRPr="00930651">
        <w:tab/>
        <w:t>La embajada del Canadá en Siria sigue cerrada y no hay representación diplomática en el país. Los funcionarios consulares canadienses están en contacto con las autoridades kurdas de Siria, y las organizaciones internacionales que operan en la región recaban información sobre los canadienses detenidos por los kurdos. La capacidad del Gobierno del Canadá para prestar asistencia consular en Siria sigue siendo extremadamente limitada, pero el Gobierno sigue observando la situación muy de cerca.</w:t>
      </w:r>
    </w:p>
    <w:p w14:paraId="6ACDFF82" w14:textId="062FB60D" w:rsidR="00930651" w:rsidRPr="00930651" w:rsidRDefault="00930651" w:rsidP="00930651">
      <w:pPr>
        <w:pStyle w:val="H23G"/>
        <w:rPr>
          <w:lang w:val="en-GB"/>
        </w:rPr>
      </w:pPr>
      <w:r>
        <w:tab/>
      </w:r>
      <w:r w:rsidRPr="00930651">
        <w:tab/>
        <w:t>Respuesta al párrafo 15 de la lista de cuestiones</w:t>
      </w:r>
    </w:p>
    <w:p w14:paraId="7BD01DC0" w14:textId="77777777" w:rsidR="00930651" w:rsidRPr="00930651" w:rsidRDefault="00930651" w:rsidP="00930651">
      <w:pPr>
        <w:pStyle w:val="SingleTxtG"/>
        <w:rPr>
          <w:lang w:val="en-GB"/>
        </w:rPr>
      </w:pPr>
      <w:r w:rsidRPr="00930651">
        <w:t>67.</w:t>
      </w:r>
      <w:r w:rsidRPr="00930651">
        <w:tab/>
        <w:t>Desde 2018, el Canadá ha adoptado varias medidas para hacer frente a la venta de niños, la prostitución infantil, la utilización de niños en la pornografía, así como contra la explotación sexual de niños en el turismo. A nivel federal cabe citar las siguientes:</w:t>
      </w:r>
    </w:p>
    <w:p w14:paraId="7A1254F1" w14:textId="78457C61" w:rsidR="00930651" w:rsidRPr="00930651" w:rsidRDefault="00930651" w:rsidP="00930651">
      <w:pPr>
        <w:pStyle w:val="Bullet1G"/>
        <w:rPr>
          <w:lang w:val="en-GB"/>
        </w:rPr>
      </w:pPr>
      <w:r w:rsidRPr="00930651">
        <w:t>La financiación del Centro Nacional contra los Delitos de Explotación Infantil, con el fin de mejorar la capacidad operativa en materia de explotación sexual infantil en línea, la capacidad de identificar a las víctimas, la capacidad de investigación operativa y de soluciones técnicas, y la capacidad de identificar a los autores canadienses de delitos sexuales transnacionales contra niños</w:t>
      </w:r>
      <w:r>
        <w:t>.</w:t>
      </w:r>
    </w:p>
    <w:p w14:paraId="2C51AE0B" w14:textId="4A5818BF" w:rsidR="00930651" w:rsidRPr="00930651" w:rsidRDefault="00930651" w:rsidP="00930651">
      <w:pPr>
        <w:pStyle w:val="Bullet1G"/>
        <w:rPr>
          <w:lang w:val="en-GB"/>
        </w:rPr>
      </w:pPr>
      <w:r w:rsidRPr="00930651">
        <w:t xml:space="preserve">La ampliación de la Estrategia Nacional de Protección de la Infancia frente la Explotación Sexual en Internet para incluir en ella una campaña nacional de sensibilización; la financiación de iniciativas de sensibilización de los jóvenes, centrándose en las poblaciones vulnerables, como los jóvenes 2SLGBTQQIA+ e indígenas; la financiación para mejorar la capacidad de las unidades de las fuerzas del orden locales dedicadas a combatir la explotación infantil en Internet; y la colaboración con los otros miembros de la alianza de los Cinco Ojos </w:t>
      </w:r>
      <w:r w:rsidRPr="00747E8F">
        <w:rPr>
          <w:i/>
          <w:iCs/>
        </w:rPr>
        <w:t>(Five Eyes)</w:t>
      </w:r>
      <w:r w:rsidRPr="00930651">
        <w:t xml:space="preserve"> y la industria digital para aplicar en las redes digitales los Principios Voluntarios para Contrarrestar la Explotación y los Abusos Sexuales de Niños</w:t>
      </w:r>
      <w:r>
        <w:t>.</w:t>
      </w:r>
    </w:p>
    <w:p w14:paraId="548EA5A6" w14:textId="447EEE5C" w:rsidR="00930651" w:rsidRPr="00930651" w:rsidRDefault="00930651" w:rsidP="00930651">
      <w:pPr>
        <w:pStyle w:val="Bullet1G"/>
        <w:rPr>
          <w:lang w:val="en-GB"/>
        </w:rPr>
      </w:pPr>
      <w:r w:rsidRPr="00930651">
        <w:t>La aprobación de la Estrategia Nacional de Lucha contra la Trata de Personas y la financiación específica canalizada cada año a través del Fondo para las Víctimas para apoyar a las víctimas de la trata de seres humanos (véase la respuesta al párrafo 3 a)).</w:t>
      </w:r>
    </w:p>
    <w:p w14:paraId="7F75C058" w14:textId="77777777" w:rsidR="00930651" w:rsidRPr="00930651" w:rsidRDefault="00930651" w:rsidP="00930651">
      <w:pPr>
        <w:pStyle w:val="SingleTxtG"/>
        <w:rPr>
          <w:lang w:val="en-GB"/>
        </w:rPr>
      </w:pPr>
      <w:r w:rsidRPr="00930651">
        <w:t>68.</w:t>
      </w:r>
      <w:r w:rsidRPr="00930651">
        <w:tab/>
        <w:t>Entre las medidas adoptadas por las provincias y territorios figuran las siguientes:</w:t>
      </w:r>
    </w:p>
    <w:p w14:paraId="6360F783" w14:textId="225A2B3B" w:rsidR="00930651" w:rsidRPr="00930651" w:rsidRDefault="00930651" w:rsidP="00930651">
      <w:pPr>
        <w:pStyle w:val="Bullet1G"/>
        <w:rPr>
          <w:lang w:val="en-GB"/>
        </w:rPr>
      </w:pPr>
      <w:r w:rsidRPr="00930651">
        <w:t xml:space="preserve">En 2020, Alberta estableció un plan de acción para la lucha contra la trata de personas con el fin de proteger a las personas en situación de riesgo, como los niños. El plan también empodera a los supervivientes y ofrece nuevas vías de recurso contra los autores de la trata. Alberta creó el Grupo de Trabajo de Alberta sobre la Trata de Personas, así como el Grupo de Trabajo Interministerial sobre la Trata de Personas en el que están representados nueve ministerios. Alberta también promulgó la Ley de Protección de los Supervivientes de la Trata de Personas, cuyo objetivo es proteger a </w:t>
      </w:r>
      <w:r w:rsidRPr="00930651">
        <w:lastRenderedPageBreak/>
        <w:t>aquellos habitantes de la provincia que son vulnerables al riesgo de convertirse en víctimas de la trata</w:t>
      </w:r>
      <w:r>
        <w:t>.</w:t>
      </w:r>
    </w:p>
    <w:p w14:paraId="1A044D0F" w14:textId="46B2E2AB" w:rsidR="00930651" w:rsidRPr="00930651" w:rsidRDefault="00930651" w:rsidP="00930651">
      <w:pPr>
        <w:pStyle w:val="Bullet1G"/>
        <w:rPr>
          <w:lang w:val="en-GB"/>
        </w:rPr>
      </w:pPr>
      <w:r w:rsidRPr="00930651">
        <w:t>En 2020, Ontario estableció una Estrategia de Lucha contra la Trata de Personas, con acciones centradas en: sensibilizar sobre este fenómeno; proteger a las víctimas e intervenir con prontitud; apoyar a los supervivientes; y exigir responsabilidades a los culpables. Ontario ofrece acceso servicios de apoyo multisectoriales para evitar que las personas en situación de riesgo, como los niños, sean víctimas de la trata y para ayudar a los supervivientes de la trata a reponerse y reconstruir sus vidas. Estos servicios incluyen el Fondo de Apoyo Comunitario contra la Trata de Personas, que financia soluciones comunitarias para ayudar a los supervivientes de la trata de personas y aumentar la protección de las personas en situación de riesgo, y el Fondo de Iniciativas Indígenas contra la Trata de Personas, que financia la prestación de servicios centrados en la comunidad contra la trata de personas diseñados por y para los indígenas.</w:t>
      </w:r>
    </w:p>
    <w:p w14:paraId="320D0494" w14:textId="77777777" w:rsidR="00930651" w:rsidRPr="00930651" w:rsidRDefault="00930651" w:rsidP="00930651">
      <w:pPr>
        <w:pStyle w:val="SingleTxtG"/>
        <w:rPr>
          <w:lang w:val="en-GB"/>
        </w:rPr>
      </w:pPr>
      <w:r w:rsidRPr="00930651">
        <w:t>69.</w:t>
      </w:r>
      <w:r w:rsidRPr="00930651">
        <w:tab/>
        <w:t>En 2019, las mejoras en los métodos de recopilación datos sobre los delitos denunciados por la policía, los recientes debates públicos sobre la violencia sexual y las iniciativas de sensibilización, así como la observancia de las disposiciones recogidas en el proyecto de ley federal C-22, que impone a las personas que prestan servicios de Internet la obligación de denunciar los casos de pornografía infantil en Internet, podrían explicar en parte el reciente aumento de denuncias de pornografía infantil registradas por la policía.</w:t>
      </w:r>
    </w:p>
    <w:p w14:paraId="38756A39" w14:textId="46592BFA" w:rsidR="00930651" w:rsidRPr="00930651" w:rsidRDefault="00A95464" w:rsidP="00101402">
      <w:pPr>
        <w:pStyle w:val="HChG"/>
        <w:rPr>
          <w:lang w:val="en-GB"/>
        </w:rPr>
      </w:pPr>
      <w:r>
        <w:tab/>
      </w:r>
      <w:r w:rsidR="00930651" w:rsidRPr="00930651">
        <w:tab/>
        <w:t>Parte II</w:t>
      </w:r>
    </w:p>
    <w:p w14:paraId="0B78D8FD" w14:textId="6F67C000" w:rsidR="00930651" w:rsidRPr="00930651" w:rsidRDefault="00A95464" w:rsidP="00A95464">
      <w:pPr>
        <w:pStyle w:val="H23G"/>
        <w:rPr>
          <w:lang w:val="en-GB"/>
        </w:rPr>
      </w:pPr>
      <w:r>
        <w:tab/>
      </w:r>
      <w:r w:rsidR="00930651" w:rsidRPr="00930651">
        <w:tab/>
        <w:t>Respuesta al párrafo 16 a) de la lista de cuestiones</w:t>
      </w:r>
    </w:p>
    <w:p w14:paraId="362911F1" w14:textId="77777777" w:rsidR="00930651" w:rsidRPr="00930651" w:rsidRDefault="00930651" w:rsidP="00930651">
      <w:pPr>
        <w:pStyle w:val="SingleTxtG"/>
        <w:rPr>
          <w:lang w:val="en-GB"/>
        </w:rPr>
      </w:pPr>
      <w:r w:rsidRPr="00930651">
        <w:t>70.</w:t>
      </w:r>
      <w:r w:rsidRPr="00930651">
        <w:tab/>
        <w:t>Desde la redacción del informe periódico del Canadá, las disposiciones legislativas que afectan a los niños incluyen:</w:t>
      </w:r>
    </w:p>
    <w:p w14:paraId="60A20E96" w14:textId="2A56FE40" w:rsidR="00930651" w:rsidRPr="00930651" w:rsidRDefault="00930651" w:rsidP="00A95464">
      <w:pPr>
        <w:pStyle w:val="Bullet1G"/>
        <w:rPr>
          <w:lang w:val="en-GB"/>
        </w:rPr>
      </w:pPr>
      <w:r w:rsidRPr="00930651">
        <w:t>2018</w:t>
      </w:r>
      <w:r w:rsidR="003F6C9F">
        <w:t>:</w:t>
      </w:r>
    </w:p>
    <w:p w14:paraId="441667A2" w14:textId="2BCD1631" w:rsidR="00930651" w:rsidRPr="00930651" w:rsidRDefault="00930651" w:rsidP="003F6C9F">
      <w:pPr>
        <w:pStyle w:val="Bullet2G"/>
        <w:rPr>
          <w:lang w:val="en-GB"/>
        </w:rPr>
      </w:pPr>
      <w:r w:rsidRPr="00930651">
        <w:t>La ley federal sobre el cannabis exime a los jóvenes en posesión de hasta 5</w:t>
      </w:r>
      <w:r w:rsidR="00747E8F">
        <w:t> </w:t>
      </w:r>
      <w:r w:rsidRPr="00930651">
        <w:t>gramos de cannabis de ser procesados por la vía penal, lo que ha conducido a un descenso significativo de las acusaciones formuladas contra personas jóvenes por posesión de cannabis y podría influir en la representación excesiva de los jóvenes indígenas y de otros jóvenes racializados en el sistema de justicia penal juvenil del Canadá</w:t>
      </w:r>
      <w:r w:rsidR="003F6C9F">
        <w:t>.</w:t>
      </w:r>
    </w:p>
    <w:p w14:paraId="2A929535" w14:textId="20D8EA77" w:rsidR="00930651" w:rsidRPr="00930651" w:rsidRDefault="00930651" w:rsidP="003F6C9F">
      <w:pPr>
        <w:pStyle w:val="Bullet2G"/>
        <w:rPr>
          <w:lang w:val="en-GB"/>
        </w:rPr>
      </w:pPr>
      <w:r w:rsidRPr="00930651">
        <w:t>La Ley Rendición de Cuentas y Protección de la Infancia de Alberta garantiza que el Defensor del Niño y el Adolescente, una institución que actúa con independencia, examine todo fallecimiento de un niño beneficiario de servicios de atención a la infancia.</w:t>
      </w:r>
    </w:p>
    <w:p w14:paraId="5472E68C" w14:textId="069D2419" w:rsidR="00930651" w:rsidRPr="00930651" w:rsidRDefault="00930651" w:rsidP="00A95464">
      <w:pPr>
        <w:pStyle w:val="Bullet1G"/>
        <w:rPr>
          <w:lang w:val="en-GB"/>
        </w:rPr>
      </w:pPr>
      <w:r w:rsidRPr="00930651">
        <w:t>2019:</w:t>
      </w:r>
    </w:p>
    <w:p w14:paraId="57036FF6" w14:textId="48069245" w:rsidR="00930651" w:rsidRPr="00930651" w:rsidRDefault="00930651" w:rsidP="003F6C9F">
      <w:pPr>
        <w:pStyle w:val="Bullet2G"/>
        <w:rPr>
          <w:lang w:val="en-GB"/>
        </w:rPr>
      </w:pPr>
      <w:r w:rsidRPr="00930651">
        <w:t>La Ley de Niños, Jóvenes y Familias de Terranova y Labrador aumentó la edad para la declaración obligatoria de jóvenes que necesitan protección, que ahora incluye a los de 16 y 17 años, y eliminó las restricciones, de modo que los jóvenes vulnerables pueden recibir servicios hasta cumplir los 21 años. Otras disposiciones reconocen como categoría aparte a los niños, jóvenes y familias indígenas y favorecen la participación de los gobiernos y organizaciones indígenas en la planificación y toma de decisiones relativas a los niños y jóvenes indígenas</w:t>
      </w:r>
      <w:r w:rsidR="003F6C9F">
        <w:t>.</w:t>
      </w:r>
    </w:p>
    <w:p w14:paraId="39EB07CF" w14:textId="3B7D479F" w:rsidR="00930651" w:rsidRPr="00930651" w:rsidRDefault="00930651" w:rsidP="003F6C9F">
      <w:pPr>
        <w:pStyle w:val="Bullet2G"/>
        <w:rPr>
          <w:lang w:val="en-GB"/>
        </w:rPr>
      </w:pPr>
      <w:r w:rsidRPr="00930651">
        <w:t>La Ley del Defensor del Niño y el Adolescente de la Isla del Príncipe Eduardo creó la Defensoría del Niño y el Adolescente, la cual nombró a un Defensor Independiente del Niño y el Adolescente en mayo de 2020. El Defensor vela por que los niños y jóvenes tengan voz en las decisiones que les afectan</w:t>
      </w:r>
      <w:bookmarkStart w:id="7" w:name="_Hlk89343646"/>
      <w:bookmarkEnd w:id="7"/>
      <w:r w:rsidR="003F6C9F">
        <w:t>.</w:t>
      </w:r>
    </w:p>
    <w:p w14:paraId="08976911" w14:textId="253C9853" w:rsidR="00930651" w:rsidRPr="00930651" w:rsidRDefault="00930651" w:rsidP="003F6C9F">
      <w:pPr>
        <w:pStyle w:val="Bullet2G"/>
        <w:rPr>
          <w:lang w:val="en-GB"/>
        </w:rPr>
      </w:pPr>
      <w:r w:rsidRPr="00930651">
        <w:t xml:space="preserve">La Ley Federal relativa a los Niños, Jóvenes y Familias de las Primeras Naciones, Inuit y Mestizos introdujo normas nacionales para la prestación de servicios a los niños y familias indígenas. Véase la respuesta al párrafo 5 a). </w:t>
      </w:r>
      <w:r w:rsidRPr="00930651">
        <w:lastRenderedPageBreak/>
        <w:t xml:space="preserve">Esta </w:t>
      </w:r>
      <w:r w:rsidR="00747E8F" w:rsidRPr="00930651">
        <w:t xml:space="preserve">Ley </w:t>
      </w:r>
      <w:r w:rsidRPr="00930651">
        <w:t>desencadenó una serie de cambios legislativos en todo el país, entre ellos el hecho de que varias provincias pusieran fin a su antigua práctica de emitir alertas de nacimiento, pasando en su lugar a prestar servicios de apoyo a los futuros padres de alto riesgo, con carácter voluntario y previo consentimiento, con el fin de ofrecer un mejor respaldo a las familias</w:t>
      </w:r>
      <w:r w:rsidR="003F6C9F">
        <w:t>.</w:t>
      </w:r>
    </w:p>
    <w:p w14:paraId="33A674FD" w14:textId="12E75743" w:rsidR="00930651" w:rsidRPr="00930651" w:rsidRDefault="00930651" w:rsidP="003F6C9F">
      <w:pPr>
        <w:pStyle w:val="Bullet2G"/>
        <w:rPr>
          <w:lang w:val="en-GB"/>
        </w:rPr>
      </w:pPr>
      <w:r w:rsidRPr="00930651">
        <w:t>En junio se aprobaron las enmiendas a las leyes federales del Canadá relativas a la familia. Las enmiendas promueven el interés superior del niño, luchan contra la violencia familiar, ayudan a reducir los índices de pobreza y aumentan la accesibilidad del sistema canadiense de justicia de familia</w:t>
      </w:r>
      <w:r w:rsidR="00747E8F">
        <w:t>.</w:t>
      </w:r>
    </w:p>
    <w:p w14:paraId="13E2D026" w14:textId="0D5890BC" w:rsidR="00930651" w:rsidRPr="00930651" w:rsidRDefault="00930651" w:rsidP="00A95464">
      <w:pPr>
        <w:pStyle w:val="Bullet1G"/>
        <w:rPr>
          <w:lang w:val="en-GB"/>
        </w:rPr>
      </w:pPr>
      <w:bookmarkStart w:id="8" w:name="_Hlk95739003"/>
      <w:r w:rsidRPr="00930651">
        <w:t>2020:</w:t>
      </w:r>
    </w:p>
    <w:p w14:paraId="7F580B28" w14:textId="0C903466" w:rsidR="00930651" w:rsidRPr="00930651" w:rsidRDefault="00930651" w:rsidP="003F6C9F">
      <w:pPr>
        <w:pStyle w:val="Bullet2G"/>
        <w:rPr>
          <w:lang w:val="en-GB"/>
        </w:rPr>
      </w:pPr>
      <w:r w:rsidRPr="00930651">
        <w:t>La Ley de Aprendizaje Temprano y Atención a la Infancia de Alberta aumenta la calidad y la seguridad, la transparencia para los padres y ofrece mayor flexibilidad a los proveedores</w:t>
      </w:r>
      <w:r w:rsidR="003F6C9F">
        <w:t>.</w:t>
      </w:r>
    </w:p>
    <w:p w14:paraId="6FB0F710" w14:textId="3D8F7937" w:rsidR="00930651" w:rsidRPr="00930651" w:rsidRDefault="00930651" w:rsidP="003F6C9F">
      <w:pPr>
        <w:pStyle w:val="Bullet2G"/>
        <w:rPr>
          <w:lang w:val="en-GB"/>
        </w:rPr>
      </w:pPr>
      <w:bookmarkStart w:id="9" w:name="_Hlk89343893"/>
      <w:bookmarkStart w:id="10" w:name="_Hlk95739041"/>
      <w:bookmarkEnd w:id="8"/>
      <w:r w:rsidRPr="00930651">
        <w:t>La Ley de Enmienda de las Leyes sobre la Educación de Columbia Británica aclaró la facultad con que cuentan las escuelas gestionadas por las Primeras Naciones para emitir certificados de graduación provinciales</w:t>
      </w:r>
      <w:bookmarkEnd w:id="9"/>
      <w:r w:rsidR="003F6C9F">
        <w:t>.</w:t>
      </w:r>
    </w:p>
    <w:p w14:paraId="730312A0" w14:textId="196086D0" w:rsidR="00930651" w:rsidRPr="00930651" w:rsidRDefault="00930651" w:rsidP="003F6C9F">
      <w:pPr>
        <w:pStyle w:val="Bullet2G"/>
        <w:rPr>
          <w:lang w:val="en-GB"/>
        </w:rPr>
      </w:pPr>
      <w:r w:rsidRPr="00930651">
        <w:t>La Ley del Derecho de Familia de Nueva Brunswick actualizó los criterios referidos al interés superior del niño, incluyendo en ellos consideraciones específicas sobre la violencia familiar y las familias de las Primeras Naciones</w:t>
      </w:r>
      <w:r w:rsidR="003F6C9F">
        <w:t>.</w:t>
      </w:r>
    </w:p>
    <w:p w14:paraId="57EE8108" w14:textId="2861F833" w:rsidR="00930651" w:rsidRPr="00930651" w:rsidRDefault="00930651" w:rsidP="003F6C9F">
      <w:pPr>
        <w:pStyle w:val="Bullet2G"/>
        <w:rPr>
          <w:lang w:val="en-GB"/>
        </w:rPr>
      </w:pPr>
      <w:r w:rsidRPr="00930651">
        <w:t>La Ley de Protección contra la Trata de Personas de Saskatchewan ofrece a las víctimas y supervivientes de la trata, incluidos los niños, recursos por la vía civil contra los autores</w:t>
      </w:r>
      <w:bookmarkEnd w:id="10"/>
      <w:r w:rsidR="003F6C9F">
        <w:t>.</w:t>
      </w:r>
    </w:p>
    <w:p w14:paraId="75FA8A05" w14:textId="77777777" w:rsidR="00A95464" w:rsidRDefault="00930651" w:rsidP="00A95464">
      <w:pPr>
        <w:pStyle w:val="Bullet1G"/>
        <w:rPr>
          <w:lang w:val="en-GB"/>
        </w:rPr>
      </w:pPr>
      <w:r w:rsidRPr="00930651">
        <w:t>2021:</w:t>
      </w:r>
    </w:p>
    <w:p w14:paraId="62612382" w14:textId="0CF9A930" w:rsidR="00930651" w:rsidRPr="00930651" w:rsidRDefault="00930651" w:rsidP="003F6C9F">
      <w:pPr>
        <w:pStyle w:val="Bullet2G"/>
        <w:rPr>
          <w:lang w:val="en-GB"/>
        </w:rPr>
      </w:pPr>
      <w:r w:rsidRPr="00930651">
        <w:t>La Ley de Servicios para la Primera Infancia de Nueva Brunswick exige que los operadores de guarderías cuenten con una política de inclusión</w:t>
      </w:r>
      <w:r w:rsidR="003F6C9F">
        <w:t>.</w:t>
      </w:r>
    </w:p>
    <w:p w14:paraId="439C125C" w14:textId="0A46FE6E" w:rsidR="00930651" w:rsidRPr="00930651" w:rsidRDefault="00930651" w:rsidP="003F6C9F">
      <w:pPr>
        <w:pStyle w:val="Bullet2G"/>
        <w:rPr>
          <w:lang w:val="en-GB"/>
        </w:rPr>
      </w:pPr>
      <w:r w:rsidRPr="00930651">
        <w:t>La Ley Federal de la Declaración de las Naciones Unidas sobre los Derechos de los Pueblos Indígenas establece una hoja de ruta para que el Gobierno del Canadá y los pueblos indígenas trabajen de consuno en la aplicación de la Declaración, entre otras cosas a través de un plan de acción que contendrá medidas para hacer frente a las injusticias y eliminar todas las formas de violencia y discriminación sufridas por los niños y jóvenes indígenas.</w:t>
      </w:r>
    </w:p>
    <w:p w14:paraId="55792EFC" w14:textId="609B7AC1" w:rsidR="00930651" w:rsidRPr="00930651" w:rsidRDefault="00A95464" w:rsidP="00A95464">
      <w:pPr>
        <w:pStyle w:val="H23G"/>
        <w:rPr>
          <w:lang w:val="en-GB"/>
        </w:rPr>
      </w:pPr>
      <w:r>
        <w:tab/>
      </w:r>
      <w:r w:rsidR="00930651" w:rsidRPr="00930651">
        <w:tab/>
        <w:t xml:space="preserve">Respuesta al párrafo 16 b) de la lista de cuestiones </w:t>
      </w:r>
    </w:p>
    <w:p w14:paraId="250C520A" w14:textId="20C80C1C" w:rsidR="00930651" w:rsidRPr="00930651" w:rsidRDefault="00930651" w:rsidP="00930651">
      <w:pPr>
        <w:pStyle w:val="SingleTxtG"/>
        <w:rPr>
          <w:lang w:val="en-GB"/>
        </w:rPr>
      </w:pPr>
      <w:r w:rsidRPr="00930651">
        <w:t>71.</w:t>
      </w:r>
      <w:r w:rsidRPr="00930651">
        <w:tab/>
        <w:t xml:space="preserve">Durante el período que abarca el informe, el </w:t>
      </w:r>
      <w:r w:rsidR="0011015D" w:rsidRPr="00930651">
        <w:t xml:space="preserve">Gobierno </w:t>
      </w:r>
      <w:r w:rsidRPr="00930651">
        <w:t>federal y los gobiernos de las provincias y los territorios han creado las siguientes instituciones y mandatos:</w:t>
      </w:r>
    </w:p>
    <w:p w14:paraId="64B410F6" w14:textId="0099DB83" w:rsidR="00930651" w:rsidRPr="00930651" w:rsidRDefault="00930651" w:rsidP="00A95464">
      <w:pPr>
        <w:pStyle w:val="Bullet1G"/>
        <w:rPr>
          <w:lang w:val="en-GB"/>
        </w:rPr>
      </w:pPr>
      <w:r w:rsidRPr="00930651">
        <w:t>Desde 2019, el Primer Ministro canadiense ha nombrado a ministros de la juventud, entre cuyas responsabilidades se encuentra la de ejercer de vicepresidente del Consejo de la Juventud de la Oficina del Primer Ministro, de modo que el Primer Ministro pueda obtener asesoramiento de un grupo comprometido de jóvenes canadienses</w:t>
      </w:r>
      <w:r w:rsidR="00A95464">
        <w:t>.</w:t>
      </w:r>
    </w:p>
    <w:p w14:paraId="6AFBAA92" w14:textId="369D7536" w:rsidR="00930651" w:rsidRPr="00930651" w:rsidRDefault="00930651" w:rsidP="00A95464">
      <w:pPr>
        <w:pStyle w:val="Bullet1G"/>
        <w:rPr>
          <w:lang w:val="en-GB"/>
        </w:rPr>
      </w:pPr>
      <w:r w:rsidRPr="00930651">
        <w:t>Desde la apertura del nuevo Centro de Salud de Sunny Hill en el Hospital Infantil de Columbia Británica en septiembre de 2020, los niños y jóvenes de toda Columbia Británica que requieren un tratamiento agudo especializado para su rehabilitación y evaluaciones de su desarrollo tienen acceso a un centro, el primero de su clase, para niños y jóvenes con problemas de salud complejos</w:t>
      </w:r>
      <w:r w:rsidR="00A95464">
        <w:t>.</w:t>
      </w:r>
    </w:p>
    <w:p w14:paraId="53CB90E2" w14:textId="505DCB26" w:rsidR="00930651" w:rsidRPr="00930651" w:rsidRDefault="00930651" w:rsidP="00A95464">
      <w:pPr>
        <w:pStyle w:val="Bullet1G"/>
        <w:rPr>
          <w:lang w:val="en-GB"/>
        </w:rPr>
      </w:pPr>
      <w:r w:rsidRPr="00930651">
        <w:t>En junio de 2021, Quebec nombró una consejera especial para apoyar a las familias de los niños indígenas desaparecidos y fallecidos tras ingresar en una institución de salud y servicios sociales. Su mandato incluye informar a las familias indígenas acerca de las medidas existentes para respaldarlas en su búsqueda de información, así como sobre el procedimiento que debe seguirse con arreglo a la ley. Trabaja en colaboración con la Dirección de Apoyo a la Familia creada en septiembre de 2021 en el seno de la Secretaría de Asuntos Indígenas. El mandato de la Dirección es ayudar a las familias de niños indígenas desaparecidos tras ingresar en un centro sanitario que desean emprender acciones para encontrarlos.</w:t>
      </w:r>
    </w:p>
    <w:p w14:paraId="43821308" w14:textId="500B5FDC" w:rsidR="00930651" w:rsidRPr="00930651" w:rsidRDefault="00A95464" w:rsidP="00A95464">
      <w:pPr>
        <w:pStyle w:val="H23G"/>
        <w:rPr>
          <w:lang w:val="en-GB"/>
        </w:rPr>
      </w:pPr>
      <w:r>
        <w:lastRenderedPageBreak/>
        <w:tab/>
      </w:r>
      <w:r w:rsidR="00930651" w:rsidRPr="00930651">
        <w:tab/>
        <w:t>Respuesta al párrafo 16 c) de la lista de cuestiones</w:t>
      </w:r>
    </w:p>
    <w:p w14:paraId="7020E714" w14:textId="77777777" w:rsidR="00930651" w:rsidRPr="00930651" w:rsidRDefault="00930651" w:rsidP="00930651">
      <w:pPr>
        <w:pStyle w:val="SingleTxtG"/>
        <w:rPr>
          <w:lang w:val="en-GB"/>
        </w:rPr>
      </w:pPr>
      <w:r w:rsidRPr="00930651">
        <w:t>72.</w:t>
      </w:r>
      <w:r w:rsidRPr="00930651">
        <w:tab/>
        <w:t>Entre las nuevas políticas, programas y planes de acción no mencionados anteriormente en esta respuesta se encuentran:</w:t>
      </w:r>
    </w:p>
    <w:p w14:paraId="394DEDEA" w14:textId="174EF30C" w:rsidR="00930651" w:rsidRPr="00930651" w:rsidRDefault="00930651" w:rsidP="00A95464">
      <w:pPr>
        <w:pStyle w:val="Bullet1G"/>
        <w:rPr>
          <w:lang w:val="en-GB"/>
        </w:rPr>
      </w:pPr>
      <w:r w:rsidRPr="00930651">
        <w:t>En 2019, el Gobierno del Canadá puso en marcha su primera Política de la Juventud tras movilizar a más de 5.000 jóvenes de todo el país. La política identifica esferas prioritarias de actuación: liderazgo e impacto; salud y bienestar; innovación, competencias y aprendizaje; empleo; verdad y reconciliación; y medio ambiente y cambio climático. El Gobierno publicó un informe sobre el estado de la juventud en</w:t>
      </w:r>
      <w:r w:rsidR="00101402">
        <w:t> </w:t>
      </w:r>
      <w:r w:rsidRPr="00930651">
        <w:t>2021, el cual estuvo basado en sesiones de movilización de la juventud</w:t>
      </w:r>
      <w:r w:rsidR="00A95464">
        <w:t>.</w:t>
      </w:r>
    </w:p>
    <w:p w14:paraId="7DAD0963" w14:textId="578C1D33" w:rsidR="00930651" w:rsidRPr="00930651" w:rsidRDefault="00930651" w:rsidP="00A95464">
      <w:pPr>
        <w:pStyle w:val="Bullet1G"/>
        <w:rPr>
          <w:lang w:val="en-GB"/>
        </w:rPr>
      </w:pPr>
      <w:r w:rsidRPr="00930651">
        <w:t>En junio de 2019, Terranova y Labrador introdujo el Programa de Subvenciones para la Transferencia Permanente de la Custodia, destinado a quienes obtienen la custodia permanente de un niño al que están cuidando en el marco del plan de permanencia para el niño, en particular los padres de acogida que tienen una relación significativa con un niño que acogen, y los cuidadores con grado de parentesco</w:t>
      </w:r>
      <w:r w:rsidR="00A95464">
        <w:t>.</w:t>
      </w:r>
    </w:p>
    <w:p w14:paraId="724E23EE" w14:textId="4D284E49" w:rsidR="00930651" w:rsidRPr="00930651" w:rsidRDefault="00930651" w:rsidP="00A95464">
      <w:pPr>
        <w:pStyle w:val="Bullet1G"/>
        <w:rPr>
          <w:lang w:val="en-GB"/>
        </w:rPr>
      </w:pPr>
      <w:r w:rsidRPr="00930651">
        <w:t>Ontario puso en marcha la primera fase de los servicios familiares de base en agosto de 2020, garantizando así la disponibilidad de servicios a todas las familias inscritas en el Programa de Autismo de Ontario. Las familias pueden optar por acceder a estos servicios gratuitos en cualquier momento en función de las necesidades de su hijo</w:t>
      </w:r>
      <w:r w:rsidR="00A95464">
        <w:t>.</w:t>
      </w:r>
    </w:p>
    <w:p w14:paraId="3AC5632A" w14:textId="4BC7DAF9" w:rsidR="00930651" w:rsidRPr="00930651" w:rsidRDefault="00930651" w:rsidP="00A95464">
      <w:pPr>
        <w:pStyle w:val="Bullet1G"/>
        <w:rPr>
          <w:lang w:val="en-GB"/>
        </w:rPr>
      </w:pPr>
      <w:r w:rsidRPr="00930651">
        <w:t>El Plan de Acción del Gobierno de Quebec sobre la Violencia Doméstica 2018-2023 se dirige a las víctimas directas de la violencia doméstica, así como a los niños y adolescentes expuestos a dicha violencia. Aspira a proteger la seguridad de esas personas y a desarrollar servicios específicos para ellas. Además, el Plan de Acción del Gobierno de Quebec 2021-2026 adoptado en respuesta a las recomendaciones de la Comisión Especial sobre la Explotación Sexual de Menores tiene por vocación actuar en todos los frentes para contrarrestar este problema en Quebec: la investigación, la comunicación y sensibilización, la prevención y formación, la represión y la reconstrucción y rehabilitación</w:t>
      </w:r>
      <w:r w:rsidR="00A95464">
        <w:t>.</w:t>
      </w:r>
    </w:p>
    <w:p w14:paraId="417A05EB" w14:textId="610D06B9" w:rsidR="00930651" w:rsidRPr="00930651" w:rsidRDefault="00930651" w:rsidP="00A95464">
      <w:pPr>
        <w:pStyle w:val="Bullet1G"/>
        <w:rPr>
          <w:lang w:val="en-GB"/>
        </w:rPr>
      </w:pPr>
      <w:r w:rsidRPr="00930651">
        <w:t>En mayo de 2020, Saskatchewan publicó una declaración de política sobre el apoyo a los estudiantes con problemas de salud potencialmente mortales en las escuelas. Requiere que las divisiones escolares desarrollen, o examinen y actualicen, sus procedimientos administrativos relacionados con la gestión de dichos problemas de salud en las escuelas. Además, en 2021 se dio prioridad a una estrategia de implicación de los jóvenes con el objetivo principal de capacitar y preparar a los jóvenes del sistema de bienestar infantil para la transición a la vida adulta.</w:t>
      </w:r>
    </w:p>
    <w:p w14:paraId="0141E30A" w14:textId="4ACEDE36" w:rsidR="00930651" w:rsidRPr="00930651" w:rsidRDefault="00930651" w:rsidP="00A95464">
      <w:pPr>
        <w:pStyle w:val="H23G"/>
        <w:rPr>
          <w:lang w:val="en-GB"/>
        </w:rPr>
      </w:pPr>
      <w:r>
        <w:tab/>
      </w:r>
      <w:r w:rsidRPr="00930651">
        <w:tab/>
        <w:t>Respuesta al párrafo 16 d) de la lista de cuestiones</w:t>
      </w:r>
    </w:p>
    <w:p w14:paraId="57AFA1DE" w14:textId="77777777" w:rsidR="00930651" w:rsidRPr="00930651" w:rsidRDefault="00930651" w:rsidP="00930651">
      <w:pPr>
        <w:pStyle w:val="SingleTxtG"/>
        <w:rPr>
          <w:lang w:val="en-GB"/>
        </w:rPr>
      </w:pPr>
      <w:r w:rsidRPr="00930651">
        <w:t>73.</w:t>
      </w:r>
      <w:r w:rsidRPr="00930651">
        <w:tab/>
        <w:t>El Canadá se adhirió al Protocolo Facultativo de la Convención sobre los Derechos de las Personas con Discapacidad en diciembre de 2018 y actualmente está estudiando la posibilidad de adherirse a la Convención Interamericana para Prevenir, Sancionar y Erradicar la Violencia contra la Mujer (Convención de Belem do Pará), al Protocolo Facultativo de la Convención contra la Tortura y a la Convención Internacional para la Protección de Todas las Personas contra las Desapariciones Forzadas.</w:t>
      </w:r>
    </w:p>
    <w:p w14:paraId="07E19413" w14:textId="52139475" w:rsidR="00930651" w:rsidRPr="00930651" w:rsidRDefault="00930651" w:rsidP="00101402">
      <w:pPr>
        <w:pStyle w:val="HChG"/>
        <w:rPr>
          <w:lang w:val="en-GB"/>
        </w:rPr>
      </w:pPr>
      <w:r>
        <w:tab/>
      </w:r>
      <w:r w:rsidRPr="00930651">
        <w:tab/>
        <w:t>Parte III</w:t>
      </w:r>
    </w:p>
    <w:p w14:paraId="73FA5459" w14:textId="7D2FA910" w:rsidR="00930651" w:rsidRPr="00930651" w:rsidRDefault="00930651" w:rsidP="00A95464">
      <w:pPr>
        <w:pStyle w:val="H23G"/>
        <w:rPr>
          <w:lang w:val="en-GB"/>
        </w:rPr>
      </w:pPr>
      <w:r>
        <w:tab/>
      </w:r>
      <w:r w:rsidRPr="00930651">
        <w:tab/>
        <w:t>Respuesta al párrafo 17 de la lista de cuestiones</w:t>
      </w:r>
    </w:p>
    <w:p w14:paraId="6582C40E" w14:textId="65B1F1B5" w:rsidR="00930651" w:rsidRPr="00930651" w:rsidRDefault="00930651" w:rsidP="00930651">
      <w:pPr>
        <w:pStyle w:val="SingleTxtG"/>
        <w:rPr>
          <w:b/>
          <w:lang w:val="en-GB"/>
        </w:rPr>
      </w:pPr>
      <w:r w:rsidRPr="00930651">
        <w:t>74.</w:t>
      </w:r>
      <w:r w:rsidRPr="00930651">
        <w:tab/>
        <w:t>El presupuesto federal recoge la información sobre el gasto total en programas inscritos en el gasto destinado a las prestaciones para la infancia canadiense en tres categorías: las principales transferencias a los particulares, las destinadas a otros niveles de gobierno y los gastos directos de los programas. El gasto total representó el 13,9 % del producto interior bruto en 2017</w:t>
      </w:r>
      <w:r w:rsidR="005D7454">
        <w:t>/</w:t>
      </w:r>
      <w:r w:rsidRPr="00930651">
        <w:t>18, el 14,1 % en 2018</w:t>
      </w:r>
      <w:r w:rsidR="005D7454">
        <w:t>/</w:t>
      </w:r>
      <w:r w:rsidRPr="00930651">
        <w:t>19 y el 14,5 % en 2019-2020. Véase el anexo 2, cuadros 1 y 2.</w:t>
      </w:r>
    </w:p>
    <w:p w14:paraId="64A83250" w14:textId="194CDAA7" w:rsidR="00930651" w:rsidRPr="00930651" w:rsidRDefault="00930651" w:rsidP="00A95464">
      <w:pPr>
        <w:pStyle w:val="H23G"/>
        <w:rPr>
          <w:lang w:val="en-GB"/>
        </w:rPr>
      </w:pPr>
      <w:r>
        <w:lastRenderedPageBreak/>
        <w:tab/>
      </w:r>
      <w:r w:rsidRPr="00930651">
        <w:tab/>
        <w:t xml:space="preserve">Respuesta al párrafo 18 a) de la lista de cuestiones </w:t>
      </w:r>
    </w:p>
    <w:p w14:paraId="239F101D" w14:textId="1B73CBDA" w:rsidR="00930651" w:rsidRPr="00930651" w:rsidRDefault="00930651" w:rsidP="00930651">
      <w:pPr>
        <w:pStyle w:val="SingleTxtG"/>
        <w:rPr>
          <w:lang w:val="en-GB"/>
        </w:rPr>
      </w:pPr>
      <w:r w:rsidRPr="00930651">
        <w:t>75.</w:t>
      </w:r>
      <w:r w:rsidRPr="00930651">
        <w:tab/>
        <w:t>Los datos de la Encuesta de Vivienda del Canadá de 2018 indicaron que 1.311.387</w:t>
      </w:r>
      <w:r w:rsidR="007964EC">
        <w:t> </w:t>
      </w:r>
      <w:r w:rsidRPr="00930651">
        <w:t>niños viven en una vivienda inadecuada, en las cuales el gasto mensual neto en concepto de vivienda supera el 30 % de los ingresos mensuales del hogar. Véase el anexo 2, cuadros 3 a 6.</w:t>
      </w:r>
    </w:p>
    <w:p w14:paraId="2839F557" w14:textId="77777777" w:rsidR="00930651" w:rsidRPr="00930651" w:rsidRDefault="00930651" w:rsidP="00930651">
      <w:pPr>
        <w:pStyle w:val="SingleTxtG"/>
        <w:rPr>
          <w:lang w:val="en-GB"/>
        </w:rPr>
      </w:pPr>
      <w:r w:rsidRPr="00930651">
        <w:t>76.</w:t>
      </w:r>
      <w:r w:rsidRPr="00930651">
        <w:tab/>
        <w:t>Los datos del censo del Canadá de 2016 indican que 116.815 niños indígenas habitaban viviendas que requerían reparaciones importantes, por ejemplo para corregir problemas de fontanería o una instalación eléctrica defectuosa y reparaciones estructurales de las paredes, el suelo o el techo. Véase el anexo 2, cuadro 7.</w:t>
      </w:r>
    </w:p>
    <w:p w14:paraId="5285C50C" w14:textId="384D8AEA" w:rsidR="00930651" w:rsidRPr="00930651" w:rsidRDefault="00930651" w:rsidP="00930651">
      <w:pPr>
        <w:pStyle w:val="SingleTxtG"/>
        <w:rPr>
          <w:lang w:val="en-GB"/>
        </w:rPr>
      </w:pPr>
      <w:r w:rsidRPr="00930651">
        <w:t>77.</w:t>
      </w:r>
      <w:r w:rsidRPr="00930651">
        <w:tab/>
        <w:t>La tasa de pobreza infantil del Canadá se redujo del 11,6 % al 9,7 % entre 2017 y</w:t>
      </w:r>
      <w:r w:rsidR="007964EC">
        <w:t> </w:t>
      </w:r>
      <w:r w:rsidRPr="00930651">
        <w:t>2019, lo que representa unos 123.000 niños sacados de la pobreza. Durante el mismo período, siete provincias y territorios experimentaron una disminución de sus tasas de pobreza infantil, mientras que tres provincias registraron un aumento. Véase el anexo 2, cuadro 8.</w:t>
      </w:r>
    </w:p>
    <w:p w14:paraId="70E55145" w14:textId="11D6FA1E" w:rsidR="00930651" w:rsidRPr="00930651" w:rsidRDefault="00930651" w:rsidP="00A95464">
      <w:pPr>
        <w:pStyle w:val="H23G"/>
        <w:rPr>
          <w:lang w:val="en-GB"/>
        </w:rPr>
      </w:pPr>
      <w:r>
        <w:tab/>
      </w:r>
      <w:r w:rsidRPr="00930651">
        <w:tab/>
        <w:t>Respuesta al párrafo 18 b) de la lista de cuestiones</w:t>
      </w:r>
    </w:p>
    <w:p w14:paraId="286BC432" w14:textId="77777777" w:rsidR="00930651" w:rsidRPr="00930651" w:rsidRDefault="00930651" w:rsidP="00930651">
      <w:pPr>
        <w:pStyle w:val="SingleTxtG"/>
        <w:rPr>
          <w:lang w:val="en-GB"/>
        </w:rPr>
      </w:pPr>
      <w:r w:rsidRPr="00930651">
        <w:t>78.</w:t>
      </w:r>
      <w:r w:rsidRPr="00930651">
        <w:tab/>
        <w:t>Los datos disponibles sobre el número de niños separados de sus padres se encuentran en el anexo 2, cuadro 9. Todavía no se dispone de datos desglosados. Las provincias y territorios tienen en marcha iniciativas para corregir las carencias observadas en materia de datos, análisis e informes.</w:t>
      </w:r>
    </w:p>
    <w:p w14:paraId="49527D04" w14:textId="7F4612D5" w:rsidR="00930651" w:rsidRPr="00930651" w:rsidRDefault="00930651" w:rsidP="00A95464">
      <w:pPr>
        <w:pStyle w:val="H23G"/>
        <w:rPr>
          <w:lang w:val="en-GB"/>
        </w:rPr>
      </w:pPr>
      <w:r>
        <w:tab/>
      </w:r>
      <w:r w:rsidRPr="00930651">
        <w:tab/>
        <w:t>Respuesta al párrafo 18 c) de la lista de cuestiones</w:t>
      </w:r>
    </w:p>
    <w:p w14:paraId="7C92EDE6" w14:textId="77777777" w:rsidR="00930651" w:rsidRPr="00930651" w:rsidRDefault="00930651" w:rsidP="00930651">
      <w:pPr>
        <w:pStyle w:val="SingleTxtG"/>
        <w:rPr>
          <w:b/>
          <w:lang w:val="en-GB"/>
        </w:rPr>
      </w:pPr>
      <w:r w:rsidRPr="00930651">
        <w:t>79.</w:t>
      </w:r>
      <w:r w:rsidRPr="00930651">
        <w:tab/>
        <w:t>Entre 2018 y 2020, 171.080 niños de 0 a 17 años, entre ellos niños refugiados, fueron admitidos en el Canadá como residentes permanentes. Durante ese período, solicitaron una solicitud de asilo 36.525 niños de entre 0 y 17 años. Véase el anexo 2, cuadros 10 y 11.</w:t>
      </w:r>
    </w:p>
    <w:p w14:paraId="2BBD7C87" w14:textId="3E4D6F96" w:rsidR="00930651" w:rsidRPr="00930651" w:rsidRDefault="00930651" w:rsidP="00A95464">
      <w:pPr>
        <w:pStyle w:val="H23G"/>
        <w:rPr>
          <w:lang w:val="en-GB"/>
        </w:rPr>
      </w:pPr>
      <w:r>
        <w:tab/>
      </w:r>
      <w:r w:rsidRPr="00930651">
        <w:tab/>
        <w:t>Respuesta al párrafo 18 d) de la lista de cuestiones</w:t>
      </w:r>
    </w:p>
    <w:p w14:paraId="1F5F1725" w14:textId="77777777" w:rsidR="00930651" w:rsidRPr="00930651" w:rsidRDefault="00930651" w:rsidP="00930651">
      <w:pPr>
        <w:pStyle w:val="SingleTxtG"/>
        <w:rPr>
          <w:lang w:val="en-GB"/>
        </w:rPr>
      </w:pPr>
      <w:r w:rsidRPr="00930651">
        <w:t>80.</w:t>
      </w:r>
      <w:r w:rsidRPr="00930651">
        <w:tab/>
        <w:t>En 2019-2020 se detuvo a 2 niños por razones de inmigración, durante una media de 2,5 días, y 136 niños permanecieron alojados en un centro de internamiento de inmigrantes durante una media de 16,9 días. El 75 % de los niños acompañaban a un progenitor o tutor detenido por motivos de identidad. Véase el anexo 2, cuadros 12 a 14.</w:t>
      </w:r>
    </w:p>
    <w:p w14:paraId="1E07A097" w14:textId="3BBEB139" w:rsidR="00930651" w:rsidRPr="00930651" w:rsidRDefault="00930651" w:rsidP="00A95464">
      <w:pPr>
        <w:pStyle w:val="H23G"/>
        <w:rPr>
          <w:lang w:val="en-GB"/>
        </w:rPr>
      </w:pPr>
      <w:r>
        <w:tab/>
      </w:r>
      <w:r w:rsidRPr="00930651">
        <w:tab/>
        <w:t>Respuesta al párrafo 18 e) de la lista de cuestiones</w:t>
      </w:r>
    </w:p>
    <w:p w14:paraId="25A87289" w14:textId="77777777" w:rsidR="00930651" w:rsidRPr="00930651" w:rsidRDefault="00930651" w:rsidP="00930651">
      <w:pPr>
        <w:pStyle w:val="SingleTxtG"/>
        <w:rPr>
          <w:lang w:val="en-GB"/>
        </w:rPr>
      </w:pPr>
      <w:r w:rsidRPr="00930651">
        <w:t>81.</w:t>
      </w:r>
      <w:r w:rsidRPr="00930651">
        <w:tab/>
        <w:t>Los datos disponibles sobre el número de niños ingresados en una institución psiquiátrica de forma involuntaria figuran en el anexo 2, cuadro 15.</w:t>
      </w:r>
    </w:p>
    <w:p w14:paraId="4A3EB5A7" w14:textId="1DA1A87B" w:rsidR="00930651" w:rsidRPr="00930651" w:rsidRDefault="00930651" w:rsidP="00A95464">
      <w:pPr>
        <w:pStyle w:val="H23G"/>
        <w:rPr>
          <w:lang w:val="en-GB"/>
        </w:rPr>
      </w:pPr>
      <w:bookmarkStart w:id="11" w:name="_Hlk90308875"/>
      <w:r>
        <w:tab/>
      </w:r>
      <w:r w:rsidRPr="00930651">
        <w:tab/>
        <w:t>Respuesta al párrafo 19 a) de la lista de cuestiones</w:t>
      </w:r>
    </w:p>
    <w:p w14:paraId="62CBB73C" w14:textId="77777777" w:rsidR="00930651" w:rsidRPr="00930651" w:rsidRDefault="00930651" w:rsidP="00930651">
      <w:pPr>
        <w:pStyle w:val="SingleTxtG"/>
        <w:rPr>
          <w:b/>
          <w:lang w:val="en-GB"/>
        </w:rPr>
      </w:pPr>
      <w:r w:rsidRPr="00930651">
        <w:t>82.</w:t>
      </w:r>
      <w:r w:rsidRPr="00930651">
        <w:tab/>
        <w:t>Entre 2018 y 2020, en promedio, hubo más de 28.000 niños y jóvenes en modalidades alternativas de cuidado en el Canadá. Los datos disponibles sobre el número de niños en modalidades alternativas de cuidado se encuentran en el anexo 2, cuadro 16.</w:t>
      </w:r>
    </w:p>
    <w:p w14:paraId="3C416465" w14:textId="0FFE89CA" w:rsidR="00930651" w:rsidRPr="00930651" w:rsidRDefault="00930651" w:rsidP="00A95464">
      <w:pPr>
        <w:pStyle w:val="H23G"/>
        <w:rPr>
          <w:lang w:val="en-GB"/>
        </w:rPr>
      </w:pPr>
      <w:r>
        <w:tab/>
      </w:r>
      <w:r w:rsidRPr="00930651">
        <w:tab/>
        <w:t xml:space="preserve">Respuesta al párrafo 19 b) de la lista de cuestiones </w:t>
      </w:r>
    </w:p>
    <w:p w14:paraId="33B54A3D" w14:textId="7E2B72C6" w:rsidR="00930651" w:rsidRPr="00930651" w:rsidRDefault="00930651" w:rsidP="00930651">
      <w:pPr>
        <w:pStyle w:val="SingleTxtG"/>
        <w:rPr>
          <w:lang w:val="en-GB"/>
        </w:rPr>
      </w:pPr>
      <w:bookmarkStart w:id="12" w:name="_Hlk90308853"/>
      <w:r w:rsidRPr="00930651">
        <w:t>83.</w:t>
      </w:r>
      <w:r w:rsidRPr="00930651">
        <w:tab/>
        <w:t>Entre 2018 y 2020, en promedio, hubo más de 28.000 niños y jóvenes en familias de</w:t>
      </w:r>
      <w:r w:rsidR="007964EC">
        <w:t xml:space="preserve"> </w:t>
      </w:r>
      <w:r w:rsidRPr="00930651">
        <w:t>acogida o al cuidado de parientes en el Canadá. Los datos disponibles sobre el número de</w:t>
      </w:r>
      <w:r w:rsidR="007964EC">
        <w:t xml:space="preserve"> </w:t>
      </w:r>
      <w:r w:rsidRPr="00930651">
        <w:t>niños en familias de acogida o al cuidado de parientes se encuentran en el anexo 2, cuadro</w:t>
      </w:r>
      <w:r w:rsidR="007964EC">
        <w:t> </w:t>
      </w:r>
      <w:r w:rsidRPr="00930651">
        <w:t>17.</w:t>
      </w:r>
    </w:p>
    <w:p w14:paraId="4CEDCDF1" w14:textId="63DEFF47" w:rsidR="00930651" w:rsidRPr="00930651" w:rsidRDefault="00930651" w:rsidP="00A95464">
      <w:pPr>
        <w:pStyle w:val="H23G"/>
        <w:rPr>
          <w:lang w:val="en-GB"/>
        </w:rPr>
      </w:pPr>
      <w:r>
        <w:tab/>
      </w:r>
      <w:r w:rsidRPr="00930651">
        <w:tab/>
        <w:t>Respuesta al párrafo 19 c) de la lista de cuestiones</w:t>
      </w:r>
    </w:p>
    <w:p w14:paraId="5A0270D7" w14:textId="4D24BAE7" w:rsidR="00930651" w:rsidRPr="00930651" w:rsidRDefault="00930651" w:rsidP="00930651">
      <w:pPr>
        <w:pStyle w:val="SingleTxtG"/>
        <w:rPr>
          <w:b/>
          <w:lang w:val="en-GB"/>
        </w:rPr>
      </w:pPr>
      <w:r w:rsidRPr="00930651">
        <w:t>84.</w:t>
      </w:r>
      <w:r w:rsidRPr="00930651">
        <w:tab/>
        <w:t>Entre 2018 y 2020, en promedio, se adoptó a más de 770 niños y jóvenes en el Canadá. Los datos disponibles sobre el número de niños adoptados se encuentran en el anexo 2, cuadro</w:t>
      </w:r>
      <w:r w:rsidR="007964EC">
        <w:t> </w:t>
      </w:r>
      <w:r w:rsidRPr="00930651">
        <w:t>18.</w:t>
      </w:r>
      <w:bookmarkEnd w:id="11"/>
      <w:bookmarkEnd w:id="12"/>
    </w:p>
    <w:p w14:paraId="2AAFBD3A" w14:textId="7CF42F9D" w:rsidR="00930651" w:rsidRPr="00930651" w:rsidRDefault="00930651" w:rsidP="00A95464">
      <w:pPr>
        <w:pStyle w:val="H23G"/>
        <w:rPr>
          <w:lang w:val="en-GB"/>
        </w:rPr>
      </w:pPr>
      <w:r>
        <w:tab/>
      </w:r>
      <w:r w:rsidRPr="00930651">
        <w:tab/>
        <w:t>Respuesta al párrafo 20 a) de la lista de cuestiones</w:t>
      </w:r>
    </w:p>
    <w:p w14:paraId="32FB1ABC" w14:textId="77777777" w:rsidR="00930651" w:rsidRPr="00930651" w:rsidRDefault="00930651" w:rsidP="00930651">
      <w:pPr>
        <w:pStyle w:val="SingleTxtG"/>
        <w:rPr>
          <w:lang w:val="en-GB"/>
        </w:rPr>
      </w:pPr>
      <w:r w:rsidRPr="00930651">
        <w:t>85.</w:t>
      </w:r>
      <w:r w:rsidRPr="00930651">
        <w:tab/>
        <w:t>En 2019, el 11,9 % de los niños de 2 a 17 años del Canadá experimentaron algún tipo de dificultad funcional. Véase el anexo 2, cuadro 19.</w:t>
      </w:r>
    </w:p>
    <w:p w14:paraId="663D6EC5" w14:textId="3ED39EA9" w:rsidR="00930651" w:rsidRPr="00930651" w:rsidRDefault="00930651" w:rsidP="00A95464">
      <w:pPr>
        <w:pStyle w:val="H23G"/>
        <w:rPr>
          <w:lang w:val="en-GB"/>
        </w:rPr>
      </w:pPr>
      <w:r>
        <w:lastRenderedPageBreak/>
        <w:tab/>
      </w:r>
      <w:r w:rsidRPr="00930651">
        <w:tab/>
        <w:t>Respuesta al párrafo 20 c) y d) de la lista de cuestiones</w:t>
      </w:r>
    </w:p>
    <w:p w14:paraId="5DCF588D" w14:textId="77777777" w:rsidR="00930651" w:rsidRPr="00930651" w:rsidRDefault="00930651" w:rsidP="00930651">
      <w:pPr>
        <w:pStyle w:val="SingleTxtG"/>
        <w:rPr>
          <w:lang w:val="en-GB"/>
        </w:rPr>
      </w:pPr>
      <w:r w:rsidRPr="00930651">
        <w:t>86.</w:t>
      </w:r>
      <w:r w:rsidRPr="00930651">
        <w:tab/>
        <w:t>En 2019, el 12,5 % de los niños de 3 a 17 años del Canadá que estaban escolarizados tenían algún tipo de dificultad funcional. Véase el anexo 2, cuadro 20.</w:t>
      </w:r>
    </w:p>
    <w:p w14:paraId="76850305" w14:textId="2342A440" w:rsidR="00930651" w:rsidRPr="00930651" w:rsidRDefault="00930651" w:rsidP="00A95464">
      <w:pPr>
        <w:pStyle w:val="H23G"/>
        <w:rPr>
          <w:lang w:val="en-GB"/>
        </w:rPr>
      </w:pPr>
      <w:r>
        <w:tab/>
      </w:r>
      <w:r w:rsidRPr="00930651">
        <w:tab/>
        <w:t xml:space="preserve">Respuesta al párrafo 20 f) de la lista de cuestiones </w:t>
      </w:r>
    </w:p>
    <w:p w14:paraId="67D1C2F0" w14:textId="77777777" w:rsidR="00930651" w:rsidRPr="00930651" w:rsidRDefault="00930651" w:rsidP="00930651">
      <w:pPr>
        <w:pStyle w:val="SingleTxtG"/>
        <w:rPr>
          <w:b/>
          <w:lang w:val="en-GB"/>
        </w:rPr>
      </w:pPr>
      <w:r w:rsidRPr="00930651">
        <w:t>87.</w:t>
      </w:r>
      <w:r w:rsidRPr="00930651">
        <w:tab/>
        <w:t>En 2019, el porcentaje de niños de 3 a 17 años del Canadá con alguna dificultad funcional que no estaban escolarizados era del 5,9 %. Véase el anexo 2, cuadro 21.</w:t>
      </w:r>
    </w:p>
    <w:p w14:paraId="75304F38" w14:textId="7BCFA5B1" w:rsidR="00930651" w:rsidRPr="00930651" w:rsidRDefault="00930651" w:rsidP="00A95464">
      <w:pPr>
        <w:pStyle w:val="H23G"/>
        <w:rPr>
          <w:lang w:val="en-GB"/>
        </w:rPr>
      </w:pPr>
      <w:r>
        <w:tab/>
      </w:r>
      <w:r w:rsidRPr="00930651">
        <w:tab/>
        <w:t>Respuesta al párrafo 21 a) de la lista de cuestiones</w:t>
      </w:r>
    </w:p>
    <w:p w14:paraId="595C15F9" w14:textId="77777777" w:rsidR="00930651" w:rsidRPr="00930651" w:rsidRDefault="00930651" w:rsidP="00930651">
      <w:pPr>
        <w:pStyle w:val="SingleTxtG"/>
        <w:rPr>
          <w:lang w:val="en-GB"/>
        </w:rPr>
      </w:pPr>
      <w:r w:rsidRPr="00930651">
        <w:t>88.</w:t>
      </w:r>
      <w:r w:rsidRPr="00930651">
        <w:tab/>
        <w:t>En 2019, el número de jóvenes de 12 a 17 años acusados de una infracción penal disminuyó en un 11%, pasando de 95.968 en 2018, a 85.197 en 2019. Véase el anexo 2, cuadro 22.</w:t>
      </w:r>
    </w:p>
    <w:p w14:paraId="3CC3CA66" w14:textId="3A8E876B" w:rsidR="00930651" w:rsidRPr="00930651" w:rsidRDefault="00930651" w:rsidP="00930651">
      <w:pPr>
        <w:pStyle w:val="SingleTxtG"/>
        <w:rPr>
          <w:lang w:val="en-GB"/>
        </w:rPr>
      </w:pPr>
      <w:r w:rsidRPr="00930651">
        <w:t>89.</w:t>
      </w:r>
      <w:r w:rsidRPr="00930651">
        <w:tab/>
        <w:t>En 2019, el 37,5 % de esos jóvenes fueron acusados de delitos contra la propiedad, el</w:t>
      </w:r>
      <w:r w:rsidR="003839ED">
        <w:t xml:space="preserve"> </w:t>
      </w:r>
      <w:r w:rsidRPr="00930651">
        <w:t>37,6 % por delitos violentos, el 17,9 % por otros delitos tipificados en el Código Penal, el 2,35 % por delitos de drogas, el 3,85 % por otras infracciones de las leyes federales y el 1,15</w:t>
      </w:r>
      <w:r w:rsidR="003839ED">
        <w:t> </w:t>
      </w:r>
      <w:r w:rsidRPr="00930651">
        <w:t>% por infracciones de tráfico. Véase el anexo 2, cuadro 23.</w:t>
      </w:r>
    </w:p>
    <w:p w14:paraId="3E3875D5" w14:textId="08EDE94C" w:rsidR="00930651" w:rsidRPr="00930651" w:rsidRDefault="00930651" w:rsidP="00A95464">
      <w:pPr>
        <w:pStyle w:val="H23G"/>
        <w:rPr>
          <w:lang w:val="en-GB"/>
        </w:rPr>
      </w:pPr>
      <w:r>
        <w:tab/>
      </w:r>
      <w:r w:rsidRPr="00930651">
        <w:tab/>
        <w:t>Respuesta al párrafo 21 b) de la lista de cuestiones</w:t>
      </w:r>
    </w:p>
    <w:p w14:paraId="170D50DC" w14:textId="77777777" w:rsidR="00930651" w:rsidRPr="00930651" w:rsidRDefault="00930651" w:rsidP="00930651">
      <w:pPr>
        <w:pStyle w:val="SingleTxtG"/>
        <w:rPr>
          <w:lang w:val="en-GB"/>
        </w:rPr>
      </w:pPr>
      <w:r w:rsidRPr="00930651">
        <w:t>90.</w:t>
      </w:r>
      <w:r w:rsidRPr="00930651">
        <w:tab/>
        <w:t>El número de jóvenes que recibieron una advertencia, una amonestación o una remisión a un programa comunitario o programa de sanciones extrajudiciales disminuyó un 14 %, pasando de 51.723 en 2018 a 44.355 en 2019. Véase el anexo 2, cuadro 24.</w:t>
      </w:r>
    </w:p>
    <w:p w14:paraId="74E3D1A6" w14:textId="2A1BAF6D" w:rsidR="00930651" w:rsidRPr="00930651" w:rsidRDefault="00930651" w:rsidP="00A95464">
      <w:pPr>
        <w:pStyle w:val="H23G"/>
        <w:rPr>
          <w:lang w:val="en-GB"/>
        </w:rPr>
      </w:pPr>
      <w:r>
        <w:tab/>
      </w:r>
      <w:r w:rsidRPr="00930651">
        <w:tab/>
        <w:t>Respuesta al párrafo 21 c) de la lista de cuestiones</w:t>
      </w:r>
    </w:p>
    <w:p w14:paraId="62EEC351" w14:textId="1598FF3E" w:rsidR="00930651" w:rsidRPr="00930651" w:rsidRDefault="00930651" w:rsidP="00930651">
      <w:pPr>
        <w:pStyle w:val="SingleTxtG"/>
        <w:rPr>
          <w:b/>
          <w:lang w:val="en-GB"/>
        </w:rPr>
      </w:pPr>
      <w:r w:rsidRPr="00930651">
        <w:t>91.</w:t>
      </w:r>
      <w:r w:rsidRPr="00930651">
        <w:tab/>
        <w:t>El número de jóvenes ingresados en prisión preventiva disminuyó un 21 %, pasando de 6.077 en 2017</w:t>
      </w:r>
      <w:r w:rsidR="003839ED">
        <w:t>/</w:t>
      </w:r>
      <w:r w:rsidRPr="00930651">
        <w:t>18 a 4.785 en 2018</w:t>
      </w:r>
      <w:r w:rsidR="003839ED">
        <w:t>/</w:t>
      </w:r>
      <w:r w:rsidRPr="00930651">
        <w:t>19. Véase el anexo 2, cuadros 25 y 26.</w:t>
      </w:r>
    </w:p>
    <w:p w14:paraId="7CC7D78F" w14:textId="03259F86" w:rsidR="00930651" w:rsidRPr="00930651" w:rsidRDefault="00930651" w:rsidP="00A95464">
      <w:pPr>
        <w:pStyle w:val="H23G"/>
        <w:rPr>
          <w:lang w:val="en-GB"/>
        </w:rPr>
      </w:pPr>
      <w:r>
        <w:tab/>
      </w:r>
      <w:r w:rsidRPr="00930651">
        <w:tab/>
        <w:t>Respuesta al párrafo 21 d) de la lista de cuestiones</w:t>
      </w:r>
    </w:p>
    <w:p w14:paraId="19A580B0" w14:textId="77777777" w:rsidR="00930651" w:rsidRPr="00930651" w:rsidRDefault="00930651" w:rsidP="00930651">
      <w:pPr>
        <w:pStyle w:val="SingleTxtG"/>
        <w:rPr>
          <w:lang w:val="en-GB"/>
        </w:rPr>
      </w:pPr>
      <w:r w:rsidRPr="00930651">
        <w:t>92.</w:t>
      </w:r>
      <w:r w:rsidRPr="00930651">
        <w:tab/>
        <w:t>Desde 2018, en Columbia Británica, Terranova y Labrador, Nuevo Brunswick, los Territorios del Noroeste y la Isla del Príncipe Eduardo, ningún joven fue juzgado como adulto. En Ontario los datos para responder a la pregunta no son de fácil acceso, ya que podrían conducir a la identificación de los raros casos en que ello se produjo y poner en peligro a los implicados.</w:t>
      </w:r>
    </w:p>
    <w:p w14:paraId="7D469D9A" w14:textId="556590A0" w:rsidR="00930651" w:rsidRPr="00930651" w:rsidRDefault="00930651" w:rsidP="00A95464">
      <w:pPr>
        <w:pStyle w:val="H23G"/>
        <w:rPr>
          <w:lang w:val="en-GB"/>
        </w:rPr>
      </w:pPr>
      <w:r>
        <w:tab/>
      </w:r>
      <w:r w:rsidRPr="00930651">
        <w:tab/>
        <w:t>Respuesta al párrafo 21 e) de la lista de cuestiones</w:t>
      </w:r>
    </w:p>
    <w:p w14:paraId="19190998" w14:textId="49CBB118" w:rsidR="00930651" w:rsidRPr="00930651" w:rsidRDefault="00930651" w:rsidP="00930651">
      <w:pPr>
        <w:pStyle w:val="SingleTxtG"/>
        <w:rPr>
          <w:lang w:val="en-GB"/>
        </w:rPr>
      </w:pPr>
      <w:r w:rsidRPr="00930651">
        <w:t>93.</w:t>
      </w:r>
      <w:r w:rsidRPr="00930651">
        <w:tab/>
        <w:t>El número de jóvenes en conflicto con la ley que han cumplido una pena en régimen de seguridad disminuyó un 9 %, pasando de 583 en 2017</w:t>
      </w:r>
      <w:r w:rsidR="005D7454">
        <w:t>/</w:t>
      </w:r>
      <w:r w:rsidRPr="00930651">
        <w:t>18 a 531 en 2018</w:t>
      </w:r>
      <w:r w:rsidR="005D7454">
        <w:t>/</w:t>
      </w:r>
      <w:r w:rsidRPr="00930651">
        <w:t>19. El número de</w:t>
      </w:r>
      <w:r w:rsidR="00626E8D">
        <w:t> </w:t>
      </w:r>
      <w:r w:rsidRPr="00930651">
        <w:t>jóvenes en conflicto con la ley que han cumplido una pena en régimen abierto disminuyó un 20 %, pasando de 673 en 2017</w:t>
      </w:r>
      <w:r w:rsidR="005D7454">
        <w:t>/</w:t>
      </w:r>
      <w:r w:rsidRPr="00930651">
        <w:t>18 a 538 en 2018</w:t>
      </w:r>
      <w:r w:rsidR="005D7454">
        <w:t>/</w:t>
      </w:r>
      <w:r w:rsidRPr="00930651">
        <w:t>19. Véase el anexo 2, cuadros 27 a 30.</w:t>
      </w:r>
    </w:p>
    <w:p w14:paraId="7091CE61" w14:textId="2655C0FC" w:rsidR="00930651" w:rsidRPr="00930651" w:rsidRDefault="00930651" w:rsidP="00A95464">
      <w:pPr>
        <w:pStyle w:val="H23G"/>
        <w:rPr>
          <w:lang w:val="en-GB"/>
        </w:rPr>
      </w:pPr>
      <w:r>
        <w:tab/>
      </w:r>
      <w:r w:rsidRPr="00930651">
        <w:tab/>
        <w:t>Respuesta al párrafo 22 de la lista de cuestiones</w:t>
      </w:r>
    </w:p>
    <w:p w14:paraId="24A747FD" w14:textId="77777777" w:rsidR="00930651" w:rsidRPr="00930651" w:rsidRDefault="00930651" w:rsidP="00930651">
      <w:pPr>
        <w:pStyle w:val="SingleTxtG"/>
        <w:rPr>
          <w:lang w:val="en-GB"/>
        </w:rPr>
      </w:pPr>
      <w:r w:rsidRPr="00930651">
        <w:t>94.</w:t>
      </w:r>
      <w:r w:rsidRPr="00930651">
        <w:tab/>
        <w:t>El Plan Federal de Implementación de los Objetivos de Desarrollo Sostenible (ODS) incluye el objetivo transversal de no dejar a nadie atrás para que diversos grupos, incluidos los niños y los jóvenes, participen en los esfuerzos tendentes al desarrollo sostenible, teniendo en cuenta sus necesidades particulares.</w:t>
      </w:r>
    </w:p>
    <w:p w14:paraId="40818C5A" w14:textId="77777777" w:rsidR="00930651" w:rsidRPr="00930651" w:rsidRDefault="00930651" w:rsidP="00930651">
      <w:pPr>
        <w:pStyle w:val="SingleTxtG"/>
        <w:rPr>
          <w:b/>
          <w:lang w:val="en-GB"/>
        </w:rPr>
      </w:pPr>
      <w:bookmarkStart w:id="13" w:name="_Hlk90309766"/>
      <w:r w:rsidRPr="00930651">
        <w:t>95.</w:t>
      </w:r>
      <w:r w:rsidRPr="00930651">
        <w:tab/>
        <w:t>Muchos de los indicadores que figuran en el marco de indicadores del Canadá y en el marco de indicadores mundiales se basan en las actividades de recopilación de datos realizadas por el organismo federal de estadística del Canadá, incluida la recopilación de información sobre los niños. Cuando procede, en ambos marcos, la información recopilada sobre los niños se utiliza como insumo para generar los indicadores de los ODS. Y cuando resulte pertinente y factible, los datos se desglosarán, entre otros conceptos por grupos de edad, para ofrecer un panorama más preciso de los avances en relación con los niños y los jóvenes.</w:t>
      </w:r>
      <w:bookmarkEnd w:id="13"/>
    </w:p>
    <w:p w14:paraId="44F2318F" w14:textId="20F625D0" w:rsidR="00930651" w:rsidRPr="00930651" w:rsidRDefault="00930651" w:rsidP="00A95464">
      <w:pPr>
        <w:pStyle w:val="H23G"/>
        <w:rPr>
          <w:lang w:val="en-GB"/>
        </w:rPr>
      </w:pPr>
      <w:r>
        <w:lastRenderedPageBreak/>
        <w:tab/>
      </w:r>
      <w:r w:rsidRPr="00930651">
        <w:tab/>
        <w:t>Respuesta al párrafo 24 de la lista de cuestiones</w:t>
      </w:r>
    </w:p>
    <w:p w14:paraId="1A642520" w14:textId="77777777" w:rsidR="00930651" w:rsidRPr="00930651" w:rsidRDefault="00930651" w:rsidP="00930651">
      <w:pPr>
        <w:pStyle w:val="SingleTxtG"/>
        <w:rPr>
          <w:lang w:val="en-GB"/>
        </w:rPr>
      </w:pPr>
      <w:r w:rsidRPr="00930651">
        <w:t>96.</w:t>
      </w:r>
      <w:r w:rsidRPr="00930651">
        <w:tab/>
        <w:t>Lograr que los niños indígenas y sus familias logren mejores resultados en materia educativa y sanitaria es una prioridad esencial relacionada con la Convención sobre los Derechos del Niño. En este sentido, el Gobierno federal y los gobiernos de las provincias y los territorios están trabajando juntos y en asociación con los líderes y las comunidades indígenas para apoyar la educación indígena, para aplicar plenamente el Principio de Jordan, y para garantizar que las familias y las comunidades indígenas tengan el apoyo que necesitan para criar a sus hijos dentro de su propia cultura y estructuras familiares.</w:t>
      </w:r>
    </w:p>
    <w:p w14:paraId="0EF0FEDD" w14:textId="77777777" w:rsidR="00930651" w:rsidRPr="00930651" w:rsidRDefault="00930651" w:rsidP="00930651">
      <w:pPr>
        <w:pStyle w:val="SingleTxtG"/>
        <w:rPr>
          <w:lang w:val="en-GB"/>
        </w:rPr>
      </w:pPr>
      <w:r w:rsidRPr="00930651">
        <w:t>97.</w:t>
      </w:r>
      <w:r w:rsidRPr="00930651">
        <w:tab/>
        <w:t>En su presupuesto de abril de 2021, el Gobierno del Canadá efectuó una inversión transformadora para establecer un sistema de enseñanza y atención a la primera infancia que abarcara todo el Canadá, en asociación con las provincias y territorios y con los socios indígenas, con el objetivo de que todas las familias tuvieran acceso a servicios de guardería y enseñanza en la primera infancia de alta calidad, asequibles, flexibles e inclusivos. Quebec cuenta con un sistema de guarderías subvencionadas desde 1997 y se beneficiará de la inversión del Gobierno del Canadá.</w:t>
      </w:r>
    </w:p>
    <w:p w14:paraId="4E6E2DA4" w14:textId="77777777" w:rsidR="00930651" w:rsidRPr="00930651" w:rsidRDefault="00930651" w:rsidP="00930651">
      <w:pPr>
        <w:pStyle w:val="SingleTxtG"/>
        <w:rPr>
          <w:lang w:val="en-GB"/>
        </w:rPr>
      </w:pPr>
      <w:r w:rsidRPr="00930651">
        <w:t>98.</w:t>
      </w:r>
      <w:r w:rsidRPr="00930651">
        <w:tab/>
        <w:t>La salud mental de los niños también es una prioridad, especialmente a la luz de las repercusiones de la pandemia de COVID-19 relacionadas con la salud mental. Por ejemplo, Saskatchewan ha aumentado el apoyo a los programas de prevención del suicidio entre los jóvenes, entre otras cosas poniendo en marcha una plataforma de medios sociales con información y recursos sobre la prevención del suicidio y la intervención al respecto, así como sobre el bienestar general.</w:t>
      </w:r>
    </w:p>
    <w:p w14:paraId="73D9BFBF" w14:textId="77777777" w:rsidR="00930651" w:rsidRPr="00930651" w:rsidRDefault="00930651" w:rsidP="00930651">
      <w:pPr>
        <w:pStyle w:val="SingleTxtG"/>
        <w:rPr>
          <w:lang w:val="en-GB"/>
        </w:rPr>
      </w:pPr>
      <w:r w:rsidRPr="00930651">
        <w:t>99.</w:t>
      </w:r>
      <w:r w:rsidRPr="00930651">
        <w:tab/>
        <w:t>Las provincias y los territorios también han atribuido gran importancia al aprendizaje y al bienestar de los niños con discapacidad. Columbia Británica, Ontario, la Isla del Príncipe Eduardo, Quebec, Saskatchewan y Manitoba tienen previsto invertir en el aprendizaje y el bienestar de los alumnos, incluidos los niños con dificultades de aprendizaje y con discapacidad. En 2018, la Isla del Príncipe Eduardo invirtió en un plan de tres años para acelerar el acceso a las evaluaciones y la atención psicológicas para los alumnos. El diagnóstico de una discapacidad intelectual o del aprendizaje se realiza tras evaluaciones exhaustivas de las necesidades académicas, emocionales y comportamentales del alumno.</w:t>
      </w:r>
    </w:p>
    <w:p w14:paraId="45296301" w14:textId="6BE5C348" w:rsidR="00930651" w:rsidRPr="00930651" w:rsidRDefault="00930651" w:rsidP="00930651">
      <w:pPr>
        <w:pStyle w:val="SingleTxtG"/>
        <w:suppressAutoHyphens/>
        <w:spacing w:before="240" w:after="0"/>
        <w:jc w:val="center"/>
        <w:rPr>
          <w:u w:val="single"/>
        </w:rPr>
      </w:pPr>
      <w:r>
        <w:rPr>
          <w:u w:val="single"/>
        </w:rPr>
        <w:tab/>
      </w:r>
      <w:r>
        <w:rPr>
          <w:u w:val="single"/>
        </w:rPr>
        <w:tab/>
      </w:r>
      <w:r>
        <w:rPr>
          <w:u w:val="single"/>
        </w:rPr>
        <w:tab/>
      </w:r>
    </w:p>
    <w:sectPr w:rsidR="00930651" w:rsidRPr="00930651" w:rsidSect="009306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8B38" w14:textId="77777777" w:rsidR="00871961" w:rsidRPr="007C2DEF" w:rsidRDefault="00871961" w:rsidP="007C2DEF">
      <w:pPr>
        <w:pStyle w:val="Piedepgina"/>
      </w:pPr>
    </w:p>
  </w:endnote>
  <w:endnote w:type="continuationSeparator" w:id="0">
    <w:p w14:paraId="2908A3B2" w14:textId="77777777" w:rsidR="00871961" w:rsidRPr="007C2DEF" w:rsidRDefault="0087196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8D0B" w14:textId="73B97A31" w:rsidR="00930651" w:rsidRPr="00930651" w:rsidRDefault="00930651" w:rsidP="00930651">
    <w:pPr>
      <w:pStyle w:val="Piedepgina"/>
      <w:tabs>
        <w:tab w:val="right" w:pos="9638"/>
      </w:tabs>
    </w:pPr>
    <w:r w:rsidRPr="00930651">
      <w:rPr>
        <w:b/>
        <w:sz w:val="18"/>
      </w:rPr>
      <w:fldChar w:fldCharType="begin"/>
    </w:r>
    <w:r w:rsidRPr="00930651">
      <w:rPr>
        <w:b/>
        <w:sz w:val="18"/>
      </w:rPr>
      <w:instrText xml:space="preserve"> PAGE  \* MERGEFORMAT </w:instrText>
    </w:r>
    <w:r w:rsidRPr="00930651">
      <w:rPr>
        <w:b/>
        <w:sz w:val="18"/>
      </w:rPr>
      <w:fldChar w:fldCharType="separate"/>
    </w:r>
    <w:r w:rsidRPr="00930651">
      <w:rPr>
        <w:b/>
        <w:noProof/>
        <w:sz w:val="18"/>
      </w:rPr>
      <w:t>2</w:t>
    </w:r>
    <w:r w:rsidRPr="00930651">
      <w:rPr>
        <w:b/>
        <w:sz w:val="18"/>
      </w:rPr>
      <w:fldChar w:fldCharType="end"/>
    </w:r>
    <w:r>
      <w:rPr>
        <w:b/>
        <w:sz w:val="18"/>
      </w:rPr>
      <w:tab/>
    </w:r>
    <w:r>
      <w:t>GE.22-05241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3565" w14:textId="0127BC87" w:rsidR="00930651" w:rsidRPr="00930651" w:rsidRDefault="00930651" w:rsidP="00930651">
    <w:pPr>
      <w:pStyle w:val="Piedepgina"/>
      <w:tabs>
        <w:tab w:val="right" w:pos="9638"/>
      </w:tabs>
      <w:rPr>
        <w:b/>
        <w:sz w:val="18"/>
      </w:rPr>
    </w:pPr>
    <w:r>
      <w:t>GE.22-05241</w:t>
    </w:r>
    <w:r>
      <w:tab/>
    </w:r>
    <w:r w:rsidRPr="00930651">
      <w:rPr>
        <w:b/>
        <w:sz w:val="18"/>
      </w:rPr>
      <w:fldChar w:fldCharType="begin"/>
    </w:r>
    <w:r w:rsidRPr="00930651">
      <w:rPr>
        <w:b/>
        <w:sz w:val="18"/>
      </w:rPr>
      <w:instrText xml:space="preserve"> PAGE  \* MERGEFORMAT </w:instrText>
    </w:r>
    <w:r w:rsidRPr="00930651">
      <w:rPr>
        <w:b/>
        <w:sz w:val="18"/>
      </w:rPr>
      <w:fldChar w:fldCharType="separate"/>
    </w:r>
    <w:r w:rsidRPr="00930651">
      <w:rPr>
        <w:b/>
        <w:noProof/>
        <w:sz w:val="18"/>
      </w:rPr>
      <w:t>3</w:t>
    </w:r>
    <w:r w:rsidRPr="009306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7444" w14:textId="26748E36" w:rsidR="007E16A7" w:rsidRPr="00930651" w:rsidRDefault="00930651" w:rsidP="00930651">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1F9AFF39" wp14:editId="712813E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22-05241  (S)</w:t>
    </w:r>
    <w:r>
      <w:rPr>
        <w:noProof/>
        <w:sz w:val="20"/>
      </w:rPr>
      <w:drawing>
        <wp:anchor distT="0" distB="0" distL="114300" distR="114300" simplePos="0" relativeHeight="251658752" behindDoc="0" locked="0" layoutInCell="1" allowOverlap="1" wp14:anchorId="0E6451FB" wp14:editId="16629F5C">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82B">
      <w:rPr>
        <w:sz w:val="20"/>
      </w:rPr>
      <w:t xml:space="preserve">    080622    090622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C2D6" w14:textId="77777777" w:rsidR="00871961" w:rsidRPr="001075E9" w:rsidRDefault="00871961" w:rsidP="001075E9">
      <w:pPr>
        <w:tabs>
          <w:tab w:val="right" w:pos="2155"/>
        </w:tabs>
        <w:spacing w:after="80" w:line="240" w:lineRule="auto"/>
        <w:ind w:left="680"/>
        <w:rPr>
          <w:u w:val="single"/>
        </w:rPr>
      </w:pPr>
      <w:r>
        <w:rPr>
          <w:u w:val="single"/>
        </w:rPr>
        <w:tab/>
      </w:r>
    </w:p>
  </w:footnote>
  <w:footnote w:type="continuationSeparator" w:id="0">
    <w:p w14:paraId="55334DF3" w14:textId="77777777" w:rsidR="00871961" w:rsidRDefault="00871961" w:rsidP="007C2DEF">
      <w:pPr>
        <w:tabs>
          <w:tab w:val="right" w:pos="2155"/>
        </w:tabs>
        <w:spacing w:after="80" w:line="240" w:lineRule="auto"/>
        <w:ind w:left="680"/>
        <w:rPr>
          <w:u w:val="single"/>
        </w:rPr>
      </w:pPr>
      <w:r>
        <w:rPr>
          <w:u w:val="single"/>
        </w:rPr>
        <w:tab/>
      </w:r>
    </w:p>
  </w:footnote>
  <w:footnote w:id="1">
    <w:p w14:paraId="572E75DC" w14:textId="6C5348F8" w:rsidR="00930651" w:rsidRPr="00930651" w:rsidRDefault="00930651" w:rsidP="00930651">
      <w:pPr>
        <w:pStyle w:val="Textonotapie"/>
        <w:rPr>
          <w:sz w:val="20"/>
        </w:rPr>
      </w:pPr>
      <w:r>
        <w:tab/>
      </w:r>
      <w:r w:rsidRPr="00930651">
        <w:rPr>
          <w:rStyle w:val="Refdenotaalpie"/>
          <w:sz w:val="20"/>
          <w:vertAlign w:val="baseline"/>
        </w:rPr>
        <w:t>*</w:t>
      </w:r>
      <w:r w:rsidRPr="00930651">
        <w:rPr>
          <w:rStyle w:val="Refdenotaalpie"/>
          <w:vertAlign w:val="baseline"/>
        </w:rPr>
        <w:tab/>
      </w:r>
      <w:r w:rsidRPr="00930651">
        <w:t>La versión original del presente documento no fue objeto de revisión editorial oficial.</w:t>
      </w:r>
    </w:p>
  </w:footnote>
  <w:footnote w:id="2">
    <w:p w14:paraId="3B43B79D" w14:textId="40942B16" w:rsidR="00930651" w:rsidRPr="00930651" w:rsidRDefault="00930651" w:rsidP="00930651">
      <w:pPr>
        <w:pStyle w:val="Textonotapie"/>
        <w:rPr>
          <w:sz w:val="20"/>
        </w:rPr>
      </w:pPr>
      <w:r>
        <w:tab/>
      </w:r>
      <w:r w:rsidRPr="00930651">
        <w:rPr>
          <w:rStyle w:val="Refdenotaalpie"/>
          <w:sz w:val="20"/>
          <w:vertAlign w:val="baseline"/>
        </w:rPr>
        <w:t>**</w:t>
      </w:r>
      <w:r w:rsidRPr="00930651">
        <w:rPr>
          <w:rStyle w:val="Refdenotaalpie"/>
          <w:vertAlign w:val="baseline"/>
        </w:rPr>
        <w:tab/>
      </w:r>
      <w:r w:rsidRPr="00930651">
        <w:t>Los anexos del presente documento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B2DA" w14:textId="61C28178" w:rsidR="00930651" w:rsidRPr="00930651" w:rsidRDefault="00993E59">
    <w:pPr>
      <w:pStyle w:val="Encabezado"/>
    </w:pPr>
    <w:r>
      <w:fldChar w:fldCharType="begin"/>
    </w:r>
    <w:r>
      <w:instrText xml:space="preserve"> TITLE  \* MERGEFORMAT </w:instrText>
    </w:r>
    <w:r>
      <w:fldChar w:fldCharType="separate"/>
    </w:r>
    <w:r w:rsidR="003D3963">
      <w:t>CRC/C/CAN/</w:t>
    </w:r>
    <w:proofErr w:type="spellStart"/>
    <w:r w:rsidR="003D3963">
      <w:t>RQ</w:t>
    </w:r>
    <w:proofErr w:type="spellEnd"/>
    <w:r w:rsidR="003D3963">
      <w:t>/5-6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E365" w14:textId="242DAF20" w:rsidR="00930651" w:rsidRPr="00930651" w:rsidRDefault="00993E59" w:rsidP="00930651">
    <w:pPr>
      <w:pStyle w:val="Encabezado"/>
      <w:jc w:val="right"/>
    </w:pPr>
    <w:r>
      <w:fldChar w:fldCharType="begin"/>
    </w:r>
    <w:r>
      <w:instrText xml:space="preserve"> TITLE  \* MERGEFORMAT </w:instrText>
    </w:r>
    <w:r>
      <w:fldChar w:fldCharType="separate"/>
    </w:r>
    <w:r w:rsidR="003D3963">
      <w:t>CRC/C/CAN/</w:t>
    </w:r>
    <w:proofErr w:type="spellStart"/>
    <w:r w:rsidR="003D3963">
      <w:t>RQ</w:t>
    </w:r>
    <w:proofErr w:type="spellEnd"/>
    <w:r w:rsidR="003D3963">
      <w:t>/5-6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A38D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441EA5A6"/>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61"/>
    <w:rsid w:val="00002131"/>
    <w:rsid w:val="00023B74"/>
    <w:rsid w:val="00033EE1"/>
    <w:rsid w:val="000B57E7"/>
    <w:rsid w:val="000C3F71"/>
    <w:rsid w:val="000F09DF"/>
    <w:rsid w:val="000F61B2"/>
    <w:rsid w:val="00101402"/>
    <w:rsid w:val="001075E9"/>
    <w:rsid w:val="0011015D"/>
    <w:rsid w:val="001256EA"/>
    <w:rsid w:val="00161852"/>
    <w:rsid w:val="00180183"/>
    <w:rsid w:val="0018649F"/>
    <w:rsid w:val="001917F9"/>
    <w:rsid w:val="00196389"/>
    <w:rsid w:val="001B269E"/>
    <w:rsid w:val="001B5FFA"/>
    <w:rsid w:val="001C7A89"/>
    <w:rsid w:val="001D1565"/>
    <w:rsid w:val="0020708F"/>
    <w:rsid w:val="00220F72"/>
    <w:rsid w:val="002346B3"/>
    <w:rsid w:val="00240004"/>
    <w:rsid w:val="00286EF0"/>
    <w:rsid w:val="002931F6"/>
    <w:rsid w:val="002A2EFC"/>
    <w:rsid w:val="002A36CC"/>
    <w:rsid w:val="002C0E18"/>
    <w:rsid w:val="002D5AAC"/>
    <w:rsid w:val="00301299"/>
    <w:rsid w:val="00322004"/>
    <w:rsid w:val="003402C2"/>
    <w:rsid w:val="00381C24"/>
    <w:rsid w:val="003839ED"/>
    <w:rsid w:val="003958D0"/>
    <w:rsid w:val="003B00E5"/>
    <w:rsid w:val="003D3963"/>
    <w:rsid w:val="003F6C9F"/>
    <w:rsid w:val="004043B6"/>
    <w:rsid w:val="00414A16"/>
    <w:rsid w:val="00427F10"/>
    <w:rsid w:val="00454E07"/>
    <w:rsid w:val="004D45DB"/>
    <w:rsid w:val="004E2A3E"/>
    <w:rsid w:val="0050108D"/>
    <w:rsid w:val="00524448"/>
    <w:rsid w:val="00536DF4"/>
    <w:rsid w:val="00572E19"/>
    <w:rsid w:val="005741AF"/>
    <w:rsid w:val="005A182D"/>
    <w:rsid w:val="005C43E4"/>
    <w:rsid w:val="005D7179"/>
    <w:rsid w:val="005D7454"/>
    <w:rsid w:val="005F0B42"/>
    <w:rsid w:val="005F2AD1"/>
    <w:rsid w:val="00626E8D"/>
    <w:rsid w:val="006B3A76"/>
    <w:rsid w:val="006F35EE"/>
    <w:rsid w:val="006F7B0F"/>
    <w:rsid w:val="007021FF"/>
    <w:rsid w:val="007116A0"/>
    <w:rsid w:val="00747E8F"/>
    <w:rsid w:val="00757357"/>
    <w:rsid w:val="007746A7"/>
    <w:rsid w:val="007774A8"/>
    <w:rsid w:val="007964EC"/>
    <w:rsid w:val="007A059A"/>
    <w:rsid w:val="007C2DEF"/>
    <w:rsid w:val="007D0A1F"/>
    <w:rsid w:val="007D431B"/>
    <w:rsid w:val="007E16A7"/>
    <w:rsid w:val="007F3812"/>
    <w:rsid w:val="007F4281"/>
    <w:rsid w:val="008136D8"/>
    <w:rsid w:val="00834B71"/>
    <w:rsid w:val="0086445C"/>
    <w:rsid w:val="00867322"/>
    <w:rsid w:val="008675EF"/>
    <w:rsid w:val="00871961"/>
    <w:rsid w:val="008A08D7"/>
    <w:rsid w:val="008A3EA3"/>
    <w:rsid w:val="008C2B1A"/>
    <w:rsid w:val="008E1429"/>
    <w:rsid w:val="00906890"/>
    <w:rsid w:val="0091505B"/>
    <w:rsid w:val="00930651"/>
    <w:rsid w:val="00945724"/>
    <w:rsid w:val="00951972"/>
    <w:rsid w:val="00982B66"/>
    <w:rsid w:val="00993E59"/>
    <w:rsid w:val="009B609B"/>
    <w:rsid w:val="009C646E"/>
    <w:rsid w:val="009C7505"/>
    <w:rsid w:val="009E1414"/>
    <w:rsid w:val="00A23086"/>
    <w:rsid w:val="00A43957"/>
    <w:rsid w:val="00A5723C"/>
    <w:rsid w:val="00A917B3"/>
    <w:rsid w:val="00A9316D"/>
    <w:rsid w:val="00A95464"/>
    <w:rsid w:val="00A97C80"/>
    <w:rsid w:val="00AB4B51"/>
    <w:rsid w:val="00B01940"/>
    <w:rsid w:val="00B10CC7"/>
    <w:rsid w:val="00B62458"/>
    <w:rsid w:val="00B8687E"/>
    <w:rsid w:val="00BD33EE"/>
    <w:rsid w:val="00C31389"/>
    <w:rsid w:val="00C54585"/>
    <w:rsid w:val="00C60F0C"/>
    <w:rsid w:val="00C67843"/>
    <w:rsid w:val="00C805C9"/>
    <w:rsid w:val="00CA1679"/>
    <w:rsid w:val="00CC1155"/>
    <w:rsid w:val="00CE382B"/>
    <w:rsid w:val="00D15EAE"/>
    <w:rsid w:val="00D318C7"/>
    <w:rsid w:val="00D33D63"/>
    <w:rsid w:val="00D83653"/>
    <w:rsid w:val="00D90138"/>
    <w:rsid w:val="00DA2579"/>
    <w:rsid w:val="00DB5591"/>
    <w:rsid w:val="00DD299D"/>
    <w:rsid w:val="00DF63E3"/>
    <w:rsid w:val="00E23796"/>
    <w:rsid w:val="00E73F76"/>
    <w:rsid w:val="00EF1360"/>
    <w:rsid w:val="00EF3220"/>
    <w:rsid w:val="00F23FB6"/>
    <w:rsid w:val="00F248E9"/>
    <w:rsid w:val="00F65F7A"/>
    <w:rsid w:val="00F80811"/>
    <w:rsid w:val="00F94155"/>
    <w:rsid w:val="00FA3077"/>
    <w:rsid w:val="00FB2D3D"/>
    <w:rsid w:val="00FB5D7C"/>
    <w:rsid w:val="00FC1396"/>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2B1D4"/>
  <w15:docId w15:val="{972C12C0-BE8F-427F-B961-2080EFE0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C7505"/>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9C75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9C7505"/>
    <w:pPr>
      <w:keepNext/>
      <w:outlineLvl w:val="1"/>
    </w:pPr>
    <w:rPr>
      <w:rFonts w:cs="Arial"/>
      <w:bCs/>
      <w:iCs/>
      <w:szCs w:val="28"/>
    </w:rPr>
  </w:style>
  <w:style w:type="paragraph" w:styleId="Ttulo3">
    <w:name w:val="heading 3"/>
    <w:basedOn w:val="Normal"/>
    <w:next w:val="Normal"/>
    <w:link w:val="Ttulo3Car"/>
    <w:semiHidden/>
    <w:rsid w:val="009C7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9C7505"/>
    <w:pPr>
      <w:keepNext/>
      <w:spacing w:before="240" w:after="60"/>
      <w:outlineLvl w:val="3"/>
    </w:pPr>
    <w:rPr>
      <w:b/>
      <w:bCs/>
      <w:sz w:val="28"/>
      <w:szCs w:val="28"/>
    </w:rPr>
  </w:style>
  <w:style w:type="paragraph" w:styleId="Ttulo5">
    <w:name w:val="heading 5"/>
    <w:basedOn w:val="Normal"/>
    <w:next w:val="Normal"/>
    <w:link w:val="Ttulo5Car"/>
    <w:semiHidden/>
    <w:rsid w:val="009C7505"/>
    <w:pPr>
      <w:spacing w:before="240" w:after="60"/>
      <w:outlineLvl w:val="4"/>
    </w:pPr>
    <w:rPr>
      <w:b/>
      <w:bCs/>
      <w:i/>
      <w:iCs/>
      <w:sz w:val="26"/>
      <w:szCs w:val="26"/>
    </w:rPr>
  </w:style>
  <w:style w:type="paragraph" w:styleId="Ttulo6">
    <w:name w:val="heading 6"/>
    <w:basedOn w:val="Normal"/>
    <w:next w:val="Normal"/>
    <w:link w:val="Ttulo6Car"/>
    <w:semiHidden/>
    <w:rsid w:val="009C7505"/>
    <w:pPr>
      <w:spacing w:before="240" w:after="60"/>
      <w:outlineLvl w:val="5"/>
    </w:pPr>
    <w:rPr>
      <w:b/>
      <w:bCs/>
      <w:sz w:val="22"/>
      <w:szCs w:val="22"/>
    </w:rPr>
  </w:style>
  <w:style w:type="paragraph" w:styleId="Ttulo7">
    <w:name w:val="heading 7"/>
    <w:basedOn w:val="Normal"/>
    <w:next w:val="Normal"/>
    <w:link w:val="Ttulo7Car"/>
    <w:semiHidden/>
    <w:rsid w:val="009C7505"/>
    <w:pPr>
      <w:spacing w:before="240" w:after="60"/>
      <w:outlineLvl w:val="6"/>
    </w:pPr>
    <w:rPr>
      <w:sz w:val="24"/>
      <w:szCs w:val="24"/>
    </w:rPr>
  </w:style>
  <w:style w:type="paragraph" w:styleId="Ttulo8">
    <w:name w:val="heading 8"/>
    <w:basedOn w:val="Normal"/>
    <w:next w:val="Normal"/>
    <w:link w:val="Ttulo8Car"/>
    <w:semiHidden/>
    <w:rsid w:val="009C7505"/>
    <w:pPr>
      <w:spacing w:before="240" w:after="60"/>
      <w:outlineLvl w:val="7"/>
    </w:pPr>
    <w:rPr>
      <w:i/>
      <w:iCs/>
      <w:sz w:val="24"/>
      <w:szCs w:val="24"/>
    </w:rPr>
  </w:style>
  <w:style w:type="paragraph" w:styleId="Ttulo9">
    <w:name w:val="heading 9"/>
    <w:basedOn w:val="Normal"/>
    <w:next w:val="Normal"/>
    <w:link w:val="Ttulo9Car"/>
    <w:semiHidden/>
    <w:rsid w:val="009C7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C7505"/>
    <w:rPr>
      <w:rFonts w:ascii="Times New Roman" w:hAnsi="Times New Roman"/>
      <w:sz w:val="18"/>
      <w:vertAlign w:val="superscript"/>
    </w:rPr>
  </w:style>
  <w:style w:type="paragraph" w:customStyle="1" w:styleId="HMG">
    <w:name w:val="_ H __M_G"/>
    <w:basedOn w:val="Normal"/>
    <w:next w:val="Normal"/>
    <w:qFormat/>
    <w:rsid w:val="009C7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C7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C7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C7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C7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C7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C750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C750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C750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C7505"/>
    <w:pPr>
      <w:keepNext/>
      <w:keepLines/>
      <w:spacing w:before="240" w:after="240" w:line="580" w:lineRule="exact"/>
      <w:ind w:left="1134" w:right="1134"/>
    </w:pPr>
    <w:rPr>
      <w:b/>
      <w:sz w:val="56"/>
    </w:rPr>
  </w:style>
  <w:style w:type="paragraph" w:customStyle="1" w:styleId="SSG">
    <w:name w:val="__S_S_G"/>
    <w:basedOn w:val="Normal"/>
    <w:next w:val="Normal"/>
    <w:uiPriority w:val="5"/>
    <w:rsid w:val="009C7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C7505"/>
    <w:rPr>
      <w:sz w:val="16"/>
    </w:rPr>
  </w:style>
  <w:style w:type="paragraph" w:customStyle="1" w:styleId="XLargeG">
    <w:name w:val="__XLarge_G"/>
    <w:basedOn w:val="Normal"/>
    <w:next w:val="Normal"/>
    <w:uiPriority w:val="5"/>
    <w:rsid w:val="009C750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C7505"/>
    <w:pPr>
      <w:tabs>
        <w:tab w:val="right" w:pos="1021"/>
      </w:tabs>
      <w:spacing w:line="220" w:lineRule="exact"/>
      <w:ind w:left="1134" w:right="1134" w:hanging="1134"/>
    </w:pPr>
    <w:rPr>
      <w:sz w:val="18"/>
    </w:rPr>
  </w:style>
  <w:style w:type="table" w:styleId="Tablaconcuadrcula">
    <w:name w:val="Table Grid"/>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C7505"/>
    <w:pPr>
      <w:numPr>
        <w:numId w:val="1"/>
      </w:numPr>
    </w:pPr>
  </w:style>
  <w:style w:type="numbering" w:styleId="1ai">
    <w:name w:val="Outline List 1"/>
    <w:basedOn w:val="Sinlista"/>
    <w:rsid w:val="009C7505"/>
    <w:pPr>
      <w:numPr>
        <w:numId w:val="2"/>
      </w:numPr>
    </w:pPr>
  </w:style>
  <w:style w:type="character" w:styleId="AcrnimoHTML">
    <w:name w:val="HTML Acronym"/>
    <w:basedOn w:val="Fuentedeprrafopredeter"/>
    <w:semiHidden/>
    <w:rsid w:val="009C7505"/>
  </w:style>
  <w:style w:type="numbering" w:styleId="ArtculoSeccin">
    <w:name w:val="Outline List 3"/>
    <w:basedOn w:val="Sinlista"/>
    <w:rsid w:val="009C7505"/>
    <w:pPr>
      <w:numPr>
        <w:numId w:val="3"/>
      </w:numPr>
    </w:pPr>
  </w:style>
  <w:style w:type="paragraph" w:styleId="Cierre">
    <w:name w:val="Closing"/>
    <w:basedOn w:val="Normal"/>
    <w:link w:val="CierreCar"/>
    <w:semiHidden/>
    <w:rsid w:val="009C7505"/>
    <w:pPr>
      <w:ind w:left="4252"/>
    </w:pPr>
  </w:style>
  <w:style w:type="character" w:styleId="CitaHTML">
    <w:name w:val="HTML Cite"/>
    <w:semiHidden/>
    <w:rsid w:val="009C7505"/>
    <w:rPr>
      <w:i/>
      <w:iCs/>
    </w:rPr>
  </w:style>
  <w:style w:type="character" w:styleId="CdigoHTML">
    <w:name w:val="HTML Code"/>
    <w:semiHidden/>
    <w:rsid w:val="009C7505"/>
    <w:rPr>
      <w:rFonts w:ascii="Courier New" w:hAnsi="Courier New" w:cs="Courier New"/>
      <w:sz w:val="20"/>
      <w:szCs w:val="20"/>
    </w:rPr>
  </w:style>
  <w:style w:type="paragraph" w:styleId="Continuarlista">
    <w:name w:val="List Continue"/>
    <w:basedOn w:val="Normal"/>
    <w:semiHidden/>
    <w:rsid w:val="009C7505"/>
    <w:pPr>
      <w:spacing w:after="120"/>
      <w:ind w:left="283"/>
    </w:pPr>
  </w:style>
  <w:style w:type="paragraph" w:styleId="Continuarlista2">
    <w:name w:val="List Continue 2"/>
    <w:basedOn w:val="Normal"/>
    <w:semiHidden/>
    <w:rsid w:val="009C7505"/>
    <w:pPr>
      <w:spacing w:after="120"/>
      <w:ind w:left="566"/>
    </w:pPr>
  </w:style>
  <w:style w:type="paragraph" w:styleId="Continuarlista3">
    <w:name w:val="List Continue 3"/>
    <w:basedOn w:val="Normal"/>
    <w:semiHidden/>
    <w:rsid w:val="009C7505"/>
    <w:pPr>
      <w:spacing w:after="120"/>
      <w:ind w:left="849"/>
    </w:pPr>
  </w:style>
  <w:style w:type="paragraph" w:styleId="Continuarlista4">
    <w:name w:val="List Continue 4"/>
    <w:basedOn w:val="Normal"/>
    <w:semiHidden/>
    <w:rsid w:val="009C7505"/>
    <w:pPr>
      <w:spacing w:after="120"/>
      <w:ind w:left="1132"/>
    </w:pPr>
  </w:style>
  <w:style w:type="paragraph" w:styleId="Continuarlista5">
    <w:name w:val="List Continue 5"/>
    <w:basedOn w:val="Normal"/>
    <w:semiHidden/>
    <w:rsid w:val="009C7505"/>
    <w:pPr>
      <w:spacing w:after="120"/>
      <w:ind w:left="1415"/>
    </w:pPr>
  </w:style>
  <w:style w:type="character" w:styleId="DefinicinHTML">
    <w:name w:val="HTML Definition"/>
    <w:semiHidden/>
    <w:rsid w:val="009C7505"/>
    <w:rPr>
      <w:i/>
      <w:iCs/>
    </w:rPr>
  </w:style>
  <w:style w:type="paragraph" w:styleId="DireccinHTML">
    <w:name w:val="HTML Address"/>
    <w:basedOn w:val="Normal"/>
    <w:link w:val="DireccinHTMLCar"/>
    <w:semiHidden/>
    <w:rsid w:val="009C7505"/>
    <w:rPr>
      <w:i/>
      <w:iCs/>
    </w:rPr>
  </w:style>
  <w:style w:type="paragraph" w:styleId="Direccinsobre">
    <w:name w:val="envelope address"/>
    <w:basedOn w:val="Normal"/>
    <w:semiHidden/>
    <w:rsid w:val="009C75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C7505"/>
    <w:rPr>
      <w:rFonts w:ascii="Courier New" w:hAnsi="Courier New" w:cs="Courier New"/>
    </w:rPr>
  </w:style>
  <w:style w:type="paragraph" w:styleId="Encabezadodemensaje">
    <w:name w:val="Message Header"/>
    <w:basedOn w:val="Normal"/>
    <w:link w:val="EncabezadodemensajeCar"/>
    <w:semiHidden/>
    <w:rsid w:val="009C7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C7505"/>
  </w:style>
  <w:style w:type="character" w:styleId="nfasis">
    <w:name w:val="Emphasis"/>
    <w:rsid w:val="009C7505"/>
    <w:rPr>
      <w:i/>
      <w:iCs/>
    </w:rPr>
  </w:style>
  <w:style w:type="paragraph" w:styleId="Fecha">
    <w:name w:val="Date"/>
    <w:basedOn w:val="Normal"/>
    <w:next w:val="Normal"/>
    <w:link w:val="FechaCar"/>
    <w:semiHidden/>
    <w:rsid w:val="009C7505"/>
  </w:style>
  <w:style w:type="paragraph" w:styleId="Firma">
    <w:name w:val="Signature"/>
    <w:basedOn w:val="Normal"/>
    <w:link w:val="FirmaCar"/>
    <w:semiHidden/>
    <w:rsid w:val="009C7505"/>
    <w:pPr>
      <w:ind w:left="4252"/>
    </w:pPr>
  </w:style>
  <w:style w:type="paragraph" w:styleId="Firmadecorreoelectrnico">
    <w:name w:val="E-mail Signature"/>
    <w:basedOn w:val="Normal"/>
    <w:link w:val="FirmadecorreoelectrnicoCar"/>
    <w:semiHidden/>
    <w:rsid w:val="009C7505"/>
  </w:style>
  <w:style w:type="character" w:styleId="Hipervnculo">
    <w:name w:val="Hyperlink"/>
    <w:uiPriority w:val="4"/>
    <w:rsid w:val="009C7505"/>
    <w:rPr>
      <w:color w:val="0000FF"/>
      <w:u w:val="none"/>
    </w:rPr>
  </w:style>
  <w:style w:type="character" w:styleId="Hipervnculovisitado">
    <w:name w:val="FollowedHyperlink"/>
    <w:uiPriority w:val="4"/>
    <w:rsid w:val="009C7505"/>
    <w:rPr>
      <w:color w:val="0000FF"/>
      <w:u w:val="none"/>
    </w:rPr>
  </w:style>
  <w:style w:type="paragraph" w:styleId="HTMLconformatoprevio">
    <w:name w:val="HTML Preformatted"/>
    <w:basedOn w:val="Normal"/>
    <w:link w:val="HTMLconformatoprevioCar"/>
    <w:semiHidden/>
    <w:rsid w:val="009C7505"/>
    <w:rPr>
      <w:rFonts w:ascii="Courier New" w:hAnsi="Courier New" w:cs="Courier New"/>
    </w:rPr>
  </w:style>
  <w:style w:type="paragraph" w:styleId="Lista">
    <w:name w:val="List"/>
    <w:basedOn w:val="Normal"/>
    <w:semiHidden/>
    <w:rsid w:val="009C7505"/>
    <w:pPr>
      <w:ind w:left="283" w:hanging="283"/>
    </w:pPr>
  </w:style>
  <w:style w:type="paragraph" w:styleId="Lista2">
    <w:name w:val="List 2"/>
    <w:basedOn w:val="Normal"/>
    <w:semiHidden/>
    <w:rsid w:val="009C7505"/>
    <w:pPr>
      <w:ind w:left="566" w:hanging="283"/>
    </w:pPr>
  </w:style>
  <w:style w:type="paragraph" w:styleId="Lista3">
    <w:name w:val="List 3"/>
    <w:basedOn w:val="Normal"/>
    <w:semiHidden/>
    <w:rsid w:val="009C7505"/>
    <w:pPr>
      <w:ind w:left="849" w:hanging="283"/>
    </w:pPr>
  </w:style>
  <w:style w:type="paragraph" w:styleId="Lista4">
    <w:name w:val="List 4"/>
    <w:basedOn w:val="Normal"/>
    <w:semiHidden/>
    <w:rsid w:val="009C7505"/>
    <w:pPr>
      <w:ind w:left="1132" w:hanging="283"/>
    </w:pPr>
  </w:style>
  <w:style w:type="paragraph" w:styleId="Lista5">
    <w:name w:val="List 5"/>
    <w:basedOn w:val="Normal"/>
    <w:semiHidden/>
    <w:rsid w:val="009C7505"/>
    <w:pPr>
      <w:ind w:left="1415" w:hanging="283"/>
    </w:pPr>
  </w:style>
  <w:style w:type="paragraph" w:styleId="Listaconnmeros">
    <w:name w:val="List Number"/>
    <w:basedOn w:val="Normal"/>
    <w:semiHidden/>
    <w:rsid w:val="009C7505"/>
    <w:pPr>
      <w:numPr>
        <w:numId w:val="13"/>
      </w:numPr>
    </w:pPr>
  </w:style>
  <w:style w:type="paragraph" w:styleId="Listaconnmeros2">
    <w:name w:val="List Number 2"/>
    <w:basedOn w:val="Normal"/>
    <w:semiHidden/>
    <w:rsid w:val="009C7505"/>
    <w:pPr>
      <w:numPr>
        <w:numId w:val="14"/>
      </w:numPr>
    </w:pPr>
  </w:style>
  <w:style w:type="paragraph" w:styleId="Listaconnmeros3">
    <w:name w:val="List Number 3"/>
    <w:basedOn w:val="Normal"/>
    <w:semiHidden/>
    <w:rsid w:val="009C7505"/>
    <w:pPr>
      <w:numPr>
        <w:numId w:val="15"/>
      </w:numPr>
    </w:pPr>
  </w:style>
  <w:style w:type="paragraph" w:styleId="Listaconnmeros4">
    <w:name w:val="List Number 4"/>
    <w:basedOn w:val="Normal"/>
    <w:semiHidden/>
    <w:rsid w:val="009C7505"/>
    <w:pPr>
      <w:numPr>
        <w:numId w:val="16"/>
      </w:numPr>
    </w:pPr>
  </w:style>
  <w:style w:type="paragraph" w:styleId="Listaconnmeros5">
    <w:name w:val="List Number 5"/>
    <w:basedOn w:val="Normal"/>
    <w:semiHidden/>
    <w:rsid w:val="009C7505"/>
    <w:pPr>
      <w:numPr>
        <w:numId w:val="17"/>
      </w:numPr>
    </w:pPr>
  </w:style>
  <w:style w:type="paragraph" w:styleId="Listaconvietas">
    <w:name w:val="List Bullet"/>
    <w:basedOn w:val="Normal"/>
    <w:semiHidden/>
    <w:rsid w:val="009C7505"/>
    <w:pPr>
      <w:numPr>
        <w:numId w:val="8"/>
      </w:numPr>
    </w:pPr>
  </w:style>
  <w:style w:type="paragraph" w:styleId="Listaconvietas2">
    <w:name w:val="List Bullet 2"/>
    <w:basedOn w:val="Normal"/>
    <w:semiHidden/>
    <w:rsid w:val="009C7505"/>
    <w:pPr>
      <w:numPr>
        <w:numId w:val="9"/>
      </w:numPr>
    </w:pPr>
  </w:style>
  <w:style w:type="paragraph" w:styleId="Listaconvietas3">
    <w:name w:val="List Bullet 3"/>
    <w:basedOn w:val="Normal"/>
    <w:semiHidden/>
    <w:rsid w:val="009C7505"/>
    <w:pPr>
      <w:numPr>
        <w:numId w:val="10"/>
      </w:numPr>
    </w:pPr>
  </w:style>
  <w:style w:type="paragraph" w:styleId="Listaconvietas4">
    <w:name w:val="List Bullet 4"/>
    <w:basedOn w:val="Normal"/>
    <w:semiHidden/>
    <w:rsid w:val="009C7505"/>
    <w:pPr>
      <w:numPr>
        <w:numId w:val="11"/>
      </w:numPr>
    </w:pPr>
  </w:style>
  <w:style w:type="paragraph" w:styleId="Listaconvietas5">
    <w:name w:val="List Bullet 5"/>
    <w:basedOn w:val="Normal"/>
    <w:semiHidden/>
    <w:rsid w:val="009C7505"/>
    <w:pPr>
      <w:numPr>
        <w:numId w:val="12"/>
      </w:numPr>
    </w:pPr>
  </w:style>
  <w:style w:type="character" w:styleId="MquinadeescribirHTML">
    <w:name w:val="HTML Typewriter"/>
    <w:semiHidden/>
    <w:rsid w:val="009C7505"/>
    <w:rPr>
      <w:rFonts w:ascii="Courier New" w:hAnsi="Courier New" w:cs="Courier New"/>
      <w:sz w:val="20"/>
      <w:szCs w:val="20"/>
    </w:rPr>
  </w:style>
  <w:style w:type="paragraph" w:styleId="NormalWeb">
    <w:name w:val="Normal (Web)"/>
    <w:basedOn w:val="Normal"/>
    <w:semiHidden/>
    <w:rsid w:val="009C7505"/>
    <w:rPr>
      <w:sz w:val="24"/>
      <w:szCs w:val="24"/>
    </w:rPr>
  </w:style>
  <w:style w:type="character" w:styleId="Nmerodelnea">
    <w:name w:val="line number"/>
    <w:basedOn w:val="Fuentedeprrafopredeter"/>
    <w:semiHidden/>
    <w:rsid w:val="009C7505"/>
  </w:style>
  <w:style w:type="character" w:styleId="Nmerodepgina">
    <w:name w:val="page number"/>
    <w:aliases w:val="7_G"/>
    <w:uiPriority w:val="3"/>
    <w:qFormat/>
    <w:rsid w:val="009C7505"/>
    <w:rPr>
      <w:b/>
      <w:sz w:val="18"/>
    </w:rPr>
  </w:style>
  <w:style w:type="character" w:styleId="Refdenotaalfinal">
    <w:name w:val="endnote reference"/>
    <w:aliases w:val="1_G"/>
    <w:uiPriority w:val="3"/>
    <w:qFormat/>
    <w:rsid w:val="009C7505"/>
    <w:rPr>
      <w:rFonts w:ascii="Times New Roman" w:hAnsi="Times New Roman"/>
      <w:sz w:val="18"/>
      <w:vertAlign w:val="superscript"/>
    </w:rPr>
  </w:style>
  <w:style w:type="paragraph" w:styleId="Remitedesobre">
    <w:name w:val="envelope return"/>
    <w:basedOn w:val="Normal"/>
    <w:semiHidden/>
    <w:rsid w:val="009C7505"/>
    <w:rPr>
      <w:rFonts w:ascii="Arial" w:hAnsi="Arial" w:cs="Arial"/>
    </w:rPr>
  </w:style>
  <w:style w:type="paragraph" w:styleId="Saludo">
    <w:name w:val="Salutation"/>
    <w:basedOn w:val="Normal"/>
    <w:next w:val="Normal"/>
    <w:link w:val="SaludoCar"/>
    <w:semiHidden/>
    <w:rsid w:val="009C7505"/>
  </w:style>
  <w:style w:type="paragraph" w:styleId="Sangra2detindependiente">
    <w:name w:val="Body Text Indent 2"/>
    <w:basedOn w:val="Normal"/>
    <w:link w:val="Sangra2detindependienteCar"/>
    <w:semiHidden/>
    <w:rsid w:val="009C7505"/>
    <w:pPr>
      <w:spacing w:after="120" w:line="480" w:lineRule="auto"/>
      <w:ind w:left="283"/>
    </w:pPr>
  </w:style>
  <w:style w:type="paragraph" w:styleId="Sangra3detindependiente">
    <w:name w:val="Body Text Indent 3"/>
    <w:basedOn w:val="Normal"/>
    <w:link w:val="Sangra3detindependienteCar"/>
    <w:semiHidden/>
    <w:rsid w:val="009C7505"/>
    <w:pPr>
      <w:spacing w:after="120"/>
      <w:ind w:left="283"/>
    </w:pPr>
    <w:rPr>
      <w:sz w:val="16"/>
      <w:szCs w:val="16"/>
    </w:rPr>
  </w:style>
  <w:style w:type="paragraph" w:styleId="Sangradetextonormal">
    <w:name w:val="Body Text Indent"/>
    <w:basedOn w:val="Normal"/>
    <w:link w:val="SangradetextonormalCar"/>
    <w:semiHidden/>
    <w:rsid w:val="009C7505"/>
    <w:pPr>
      <w:spacing w:after="120"/>
      <w:ind w:left="283"/>
    </w:pPr>
  </w:style>
  <w:style w:type="paragraph" w:styleId="Sangranormal">
    <w:name w:val="Normal Indent"/>
    <w:basedOn w:val="Normal"/>
    <w:semiHidden/>
    <w:rsid w:val="009C7505"/>
    <w:pPr>
      <w:ind w:left="567"/>
    </w:pPr>
  </w:style>
  <w:style w:type="paragraph" w:styleId="Subttulo">
    <w:name w:val="Subtitle"/>
    <w:basedOn w:val="Normal"/>
    <w:link w:val="SubttuloCar"/>
    <w:rsid w:val="009C7505"/>
    <w:pPr>
      <w:spacing w:after="60"/>
      <w:jc w:val="center"/>
      <w:outlineLvl w:val="1"/>
    </w:pPr>
    <w:rPr>
      <w:rFonts w:ascii="Arial" w:hAnsi="Arial" w:cs="Arial"/>
      <w:sz w:val="24"/>
      <w:szCs w:val="24"/>
    </w:rPr>
  </w:style>
  <w:style w:type="table" w:styleId="Tablabsica1">
    <w:name w:val="Table Simple 1"/>
    <w:basedOn w:val="Tablanormal"/>
    <w:rsid w:val="009C750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C750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C750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C750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C750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C750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C750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C750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C750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C750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C750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C750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C750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C750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C750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C750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C750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C750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C750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C750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C750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C750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C750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C750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C750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C750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C750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C750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C750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C750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C750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C750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C750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C750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C750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C750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C7505"/>
    <w:rPr>
      <w:rFonts w:ascii="Courier New" w:hAnsi="Courier New" w:cs="Courier New"/>
      <w:sz w:val="20"/>
      <w:szCs w:val="20"/>
    </w:rPr>
  </w:style>
  <w:style w:type="paragraph" w:styleId="Textodebloque">
    <w:name w:val="Block Text"/>
    <w:basedOn w:val="Normal"/>
    <w:semiHidden/>
    <w:rsid w:val="009C7505"/>
    <w:pPr>
      <w:spacing w:after="120"/>
      <w:ind w:left="1440" w:right="1440"/>
    </w:pPr>
  </w:style>
  <w:style w:type="character" w:styleId="Textoennegrita">
    <w:name w:val="Strong"/>
    <w:rsid w:val="009C7505"/>
    <w:rPr>
      <w:b/>
      <w:bCs/>
    </w:rPr>
  </w:style>
  <w:style w:type="paragraph" w:styleId="Textoindependiente">
    <w:name w:val="Body Text"/>
    <w:basedOn w:val="Normal"/>
    <w:link w:val="TextoindependienteCar"/>
    <w:semiHidden/>
    <w:rsid w:val="009C7505"/>
    <w:pPr>
      <w:spacing w:after="120"/>
    </w:pPr>
  </w:style>
  <w:style w:type="paragraph" w:styleId="Textoindependiente2">
    <w:name w:val="Body Text 2"/>
    <w:basedOn w:val="Normal"/>
    <w:link w:val="Textoindependiente2Car"/>
    <w:semiHidden/>
    <w:rsid w:val="009C7505"/>
    <w:pPr>
      <w:spacing w:after="120" w:line="480" w:lineRule="auto"/>
    </w:pPr>
  </w:style>
  <w:style w:type="paragraph" w:styleId="Textoindependiente3">
    <w:name w:val="Body Text 3"/>
    <w:basedOn w:val="Normal"/>
    <w:link w:val="Textoindependiente3Car"/>
    <w:semiHidden/>
    <w:rsid w:val="009C7505"/>
    <w:pPr>
      <w:spacing w:after="120"/>
    </w:pPr>
    <w:rPr>
      <w:sz w:val="16"/>
      <w:szCs w:val="16"/>
    </w:rPr>
  </w:style>
  <w:style w:type="paragraph" w:styleId="Textoindependienteprimerasangra">
    <w:name w:val="Body Text First Indent"/>
    <w:basedOn w:val="Textoindependiente"/>
    <w:link w:val="TextoindependienteprimerasangraCar"/>
    <w:semiHidden/>
    <w:rsid w:val="009C7505"/>
    <w:pPr>
      <w:ind w:firstLine="210"/>
    </w:pPr>
  </w:style>
  <w:style w:type="paragraph" w:styleId="Textoindependienteprimerasangra2">
    <w:name w:val="Body Text First Indent 2"/>
    <w:basedOn w:val="Sangradetextonormal"/>
    <w:link w:val="Textoindependienteprimerasangra2Car"/>
    <w:semiHidden/>
    <w:rsid w:val="009C7505"/>
    <w:pPr>
      <w:ind w:firstLine="210"/>
    </w:pPr>
  </w:style>
  <w:style w:type="paragraph" w:styleId="Textonotaalfinal">
    <w:name w:val="endnote text"/>
    <w:aliases w:val="2_G"/>
    <w:basedOn w:val="Textonotapie"/>
    <w:link w:val="TextonotaalfinalCar"/>
    <w:uiPriority w:val="3"/>
    <w:qFormat/>
    <w:rsid w:val="009C7505"/>
  </w:style>
  <w:style w:type="paragraph" w:styleId="Textosinformato">
    <w:name w:val="Plain Text"/>
    <w:basedOn w:val="Normal"/>
    <w:link w:val="TextosinformatoCar"/>
    <w:semiHidden/>
    <w:rsid w:val="009C7505"/>
    <w:rPr>
      <w:rFonts w:ascii="Courier New" w:hAnsi="Courier New" w:cs="Courier New"/>
    </w:rPr>
  </w:style>
  <w:style w:type="paragraph" w:styleId="Ttulo">
    <w:name w:val="Title"/>
    <w:basedOn w:val="Normal"/>
    <w:link w:val="TtuloCar"/>
    <w:rsid w:val="009C7505"/>
    <w:pPr>
      <w:spacing w:before="240" w:after="60"/>
      <w:jc w:val="center"/>
      <w:outlineLvl w:val="0"/>
    </w:pPr>
    <w:rPr>
      <w:rFonts w:ascii="Arial" w:hAnsi="Arial" w:cs="Arial"/>
      <w:b/>
      <w:bCs/>
      <w:kern w:val="28"/>
      <w:sz w:val="32"/>
      <w:szCs w:val="32"/>
    </w:rPr>
  </w:style>
  <w:style w:type="character" w:styleId="VariableHTML">
    <w:name w:val="HTML Variable"/>
    <w:semiHidden/>
    <w:rsid w:val="009C7505"/>
    <w:rPr>
      <w:i/>
      <w:iCs/>
    </w:rPr>
  </w:style>
  <w:style w:type="paragraph" w:customStyle="1" w:styleId="Bullet1G">
    <w:name w:val="_Bullet 1_G"/>
    <w:basedOn w:val="Normal"/>
    <w:uiPriority w:val="1"/>
    <w:qFormat/>
    <w:rsid w:val="009C7505"/>
    <w:pPr>
      <w:numPr>
        <w:numId w:val="4"/>
      </w:numPr>
      <w:spacing w:after="120"/>
      <w:ind w:right="1134"/>
      <w:jc w:val="both"/>
    </w:pPr>
    <w:rPr>
      <w:lang w:eastAsia="en-US"/>
    </w:rPr>
  </w:style>
  <w:style w:type="paragraph" w:customStyle="1" w:styleId="Bullet2G">
    <w:name w:val="_Bullet 2_G"/>
    <w:basedOn w:val="Normal"/>
    <w:uiPriority w:val="1"/>
    <w:qFormat/>
    <w:rsid w:val="009C7505"/>
    <w:pPr>
      <w:numPr>
        <w:numId w:val="5"/>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unhideWhenUsed/>
    <w:rsid w:val="009C7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C7505"/>
    <w:rPr>
      <w:rFonts w:ascii="Segoe UI" w:hAnsi="Segoe UI" w:cs="Segoe UI"/>
      <w:sz w:val="18"/>
      <w:szCs w:val="18"/>
      <w:lang w:val="es-ES" w:eastAsia="es-ES"/>
    </w:rPr>
  </w:style>
  <w:style w:type="paragraph" w:customStyle="1" w:styleId="ParNoG">
    <w:name w:val="_ParNo_G"/>
    <w:basedOn w:val="Normal"/>
    <w:uiPriority w:val="1"/>
    <w:qFormat/>
    <w:rsid w:val="009C7505"/>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C7505"/>
    <w:rPr>
      <w:lang w:val="es-ES" w:eastAsia="es-ES"/>
    </w:rPr>
  </w:style>
  <w:style w:type="paragraph" w:customStyle="1" w:styleId="1ParNoG">
    <w:name w:val="1 _ParNo_G"/>
    <w:basedOn w:val="Normal"/>
    <w:uiPriority w:val="1"/>
    <w:qFormat/>
    <w:rsid w:val="009C7505"/>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9C7505"/>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C7505"/>
    <w:rPr>
      <w:lang w:val="es-ES" w:eastAsia="es-ES"/>
    </w:rPr>
  </w:style>
  <w:style w:type="character" w:customStyle="1" w:styleId="Textoindependiente2Car">
    <w:name w:val="Texto independiente 2 Car"/>
    <w:basedOn w:val="Fuentedeprrafopredeter"/>
    <w:link w:val="Textoindependiente2"/>
    <w:semiHidden/>
    <w:rsid w:val="009C7505"/>
    <w:rPr>
      <w:lang w:val="es-ES" w:eastAsia="es-ES"/>
    </w:rPr>
  </w:style>
  <w:style w:type="character" w:customStyle="1" w:styleId="Textoindependiente3Car">
    <w:name w:val="Texto independiente 3 Car"/>
    <w:basedOn w:val="Fuentedeprrafopredeter"/>
    <w:link w:val="Textoindependiente3"/>
    <w:semiHidden/>
    <w:rsid w:val="009C750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C7505"/>
    <w:rPr>
      <w:lang w:val="es-ES" w:eastAsia="es-ES"/>
    </w:rPr>
  </w:style>
  <w:style w:type="character" w:customStyle="1" w:styleId="SangradetextonormalCar">
    <w:name w:val="Sangría de texto normal Car"/>
    <w:basedOn w:val="Fuentedeprrafopredeter"/>
    <w:link w:val="Sangradetextonormal"/>
    <w:semiHidden/>
    <w:rsid w:val="009C750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C7505"/>
    <w:rPr>
      <w:lang w:val="es-ES" w:eastAsia="es-ES"/>
    </w:rPr>
  </w:style>
  <w:style w:type="character" w:customStyle="1" w:styleId="Sangra2detindependienteCar">
    <w:name w:val="Sangría 2 de t. independiente Car"/>
    <w:basedOn w:val="Fuentedeprrafopredeter"/>
    <w:link w:val="Sangra2detindependiente"/>
    <w:semiHidden/>
    <w:rsid w:val="009C7505"/>
    <w:rPr>
      <w:lang w:val="es-ES" w:eastAsia="es-ES"/>
    </w:rPr>
  </w:style>
  <w:style w:type="character" w:customStyle="1" w:styleId="Sangra3detindependienteCar">
    <w:name w:val="Sangría 3 de t. independiente Car"/>
    <w:basedOn w:val="Fuentedeprrafopredeter"/>
    <w:link w:val="Sangra3detindependiente"/>
    <w:semiHidden/>
    <w:rsid w:val="009C7505"/>
    <w:rPr>
      <w:sz w:val="16"/>
      <w:szCs w:val="16"/>
      <w:lang w:val="es-ES" w:eastAsia="es-ES"/>
    </w:rPr>
  </w:style>
  <w:style w:type="character" w:customStyle="1" w:styleId="CierreCar">
    <w:name w:val="Cierre Car"/>
    <w:basedOn w:val="Fuentedeprrafopredeter"/>
    <w:link w:val="Cierre"/>
    <w:semiHidden/>
    <w:rsid w:val="009C7505"/>
    <w:rPr>
      <w:lang w:val="es-ES" w:eastAsia="es-ES"/>
    </w:rPr>
  </w:style>
  <w:style w:type="character" w:customStyle="1" w:styleId="FechaCar">
    <w:name w:val="Fecha Car"/>
    <w:basedOn w:val="Fuentedeprrafopredeter"/>
    <w:link w:val="Fecha"/>
    <w:semiHidden/>
    <w:rsid w:val="009C7505"/>
    <w:rPr>
      <w:lang w:val="es-ES" w:eastAsia="es-ES"/>
    </w:rPr>
  </w:style>
  <w:style w:type="character" w:customStyle="1" w:styleId="FirmadecorreoelectrnicoCar">
    <w:name w:val="Firma de correo electrónico Car"/>
    <w:basedOn w:val="Fuentedeprrafopredeter"/>
    <w:link w:val="Firmadecorreoelectrnico"/>
    <w:semiHidden/>
    <w:rsid w:val="009C7505"/>
    <w:rPr>
      <w:lang w:val="es-ES" w:eastAsia="es-ES"/>
    </w:rPr>
  </w:style>
  <w:style w:type="character" w:customStyle="1" w:styleId="TextonotapieCar">
    <w:name w:val="Texto nota pie Car"/>
    <w:aliases w:val="5_G Car"/>
    <w:basedOn w:val="Fuentedeprrafopredeter"/>
    <w:link w:val="Textonotapie"/>
    <w:uiPriority w:val="3"/>
    <w:rsid w:val="009C7505"/>
    <w:rPr>
      <w:sz w:val="18"/>
      <w:lang w:val="es-ES" w:eastAsia="es-ES"/>
    </w:rPr>
  </w:style>
  <w:style w:type="character" w:customStyle="1" w:styleId="TextonotaalfinalCar">
    <w:name w:val="Texto nota al final Car"/>
    <w:aliases w:val="2_G Car"/>
    <w:basedOn w:val="Fuentedeprrafopredeter"/>
    <w:link w:val="Textonotaalfinal"/>
    <w:uiPriority w:val="3"/>
    <w:rsid w:val="009C7505"/>
    <w:rPr>
      <w:sz w:val="18"/>
      <w:lang w:val="es-ES" w:eastAsia="es-ES"/>
    </w:rPr>
  </w:style>
  <w:style w:type="character" w:customStyle="1" w:styleId="PiedepginaCar">
    <w:name w:val="Pie de página Car"/>
    <w:aliases w:val="3_G Car"/>
    <w:basedOn w:val="Fuentedeprrafopredeter"/>
    <w:link w:val="Piedepgina"/>
    <w:uiPriority w:val="3"/>
    <w:rsid w:val="009C7505"/>
    <w:rPr>
      <w:sz w:val="16"/>
      <w:lang w:val="es-ES" w:eastAsia="es-ES"/>
    </w:rPr>
  </w:style>
  <w:style w:type="character" w:customStyle="1" w:styleId="EncabezadoCar">
    <w:name w:val="Encabezado Car"/>
    <w:aliases w:val="6_G Car"/>
    <w:basedOn w:val="Fuentedeprrafopredeter"/>
    <w:link w:val="Encabezado"/>
    <w:uiPriority w:val="3"/>
    <w:rsid w:val="009C7505"/>
    <w:rPr>
      <w:b/>
      <w:sz w:val="18"/>
      <w:lang w:val="es-ES" w:eastAsia="es-ES"/>
    </w:rPr>
  </w:style>
  <w:style w:type="character" w:customStyle="1" w:styleId="Ttulo1Car">
    <w:name w:val="Título 1 Car"/>
    <w:aliases w:val="Cuadro_G Car,Table_G Car"/>
    <w:basedOn w:val="Fuentedeprrafopredeter"/>
    <w:link w:val="Ttulo1"/>
    <w:uiPriority w:val="9"/>
    <w:rsid w:val="009C7505"/>
    <w:rPr>
      <w:lang w:val="fr-CH" w:eastAsia="en-US"/>
    </w:rPr>
  </w:style>
  <w:style w:type="character" w:customStyle="1" w:styleId="DireccinHTMLCar">
    <w:name w:val="Dirección HTML Car"/>
    <w:basedOn w:val="Fuentedeprrafopredeter"/>
    <w:link w:val="DireccinHTML"/>
    <w:semiHidden/>
    <w:rsid w:val="009C7505"/>
    <w:rPr>
      <w:i/>
      <w:iCs/>
      <w:lang w:val="es-ES" w:eastAsia="es-ES"/>
    </w:rPr>
  </w:style>
  <w:style w:type="character" w:customStyle="1" w:styleId="HTMLconformatoprevioCar">
    <w:name w:val="HTML con formato previo Car"/>
    <w:basedOn w:val="Fuentedeprrafopredeter"/>
    <w:link w:val="HTMLconformatoprevio"/>
    <w:semiHidden/>
    <w:rsid w:val="009C7505"/>
    <w:rPr>
      <w:rFonts w:ascii="Courier New" w:hAnsi="Courier New" w:cs="Courier New"/>
      <w:lang w:val="es-ES" w:eastAsia="es-ES"/>
    </w:rPr>
  </w:style>
  <w:style w:type="character" w:styleId="nfasisintenso">
    <w:name w:val="Intense Emphasis"/>
    <w:uiPriority w:val="21"/>
    <w:rsid w:val="009C7505"/>
    <w:rPr>
      <w:b/>
      <w:bCs/>
      <w:i/>
      <w:iCs/>
      <w:color w:val="4F81BD"/>
    </w:rPr>
  </w:style>
  <w:style w:type="paragraph" w:styleId="Citadestacada">
    <w:name w:val="Intense Quote"/>
    <w:basedOn w:val="Normal"/>
    <w:next w:val="Normal"/>
    <w:link w:val="CitadestacadaCar"/>
    <w:uiPriority w:val="30"/>
    <w:rsid w:val="009C75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C7505"/>
    <w:rPr>
      <w:b/>
      <w:bCs/>
      <w:i/>
      <w:iCs/>
      <w:color w:val="4F81BD"/>
      <w:lang w:val="es-ES" w:eastAsia="es-ES"/>
    </w:rPr>
  </w:style>
  <w:style w:type="character" w:customStyle="1" w:styleId="EncabezadodemensajeCar">
    <w:name w:val="Encabezado de mensaje Car"/>
    <w:basedOn w:val="Fuentedeprrafopredeter"/>
    <w:link w:val="Encabezadodemensaje"/>
    <w:semiHidden/>
    <w:rsid w:val="009C750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C7505"/>
    <w:rPr>
      <w:lang w:val="es-ES" w:eastAsia="es-ES"/>
    </w:rPr>
  </w:style>
  <w:style w:type="character" w:customStyle="1" w:styleId="TextosinformatoCar">
    <w:name w:val="Texto sin formato Car"/>
    <w:basedOn w:val="Fuentedeprrafopredeter"/>
    <w:link w:val="Textosinformato"/>
    <w:semiHidden/>
    <w:rsid w:val="009C7505"/>
    <w:rPr>
      <w:rFonts w:ascii="Courier New" w:hAnsi="Courier New" w:cs="Courier New"/>
      <w:lang w:val="es-ES" w:eastAsia="es-ES"/>
    </w:rPr>
  </w:style>
  <w:style w:type="character" w:customStyle="1" w:styleId="SaludoCar">
    <w:name w:val="Saludo Car"/>
    <w:basedOn w:val="Fuentedeprrafopredeter"/>
    <w:link w:val="Saludo"/>
    <w:semiHidden/>
    <w:rsid w:val="009C7505"/>
    <w:rPr>
      <w:lang w:val="es-ES" w:eastAsia="es-ES"/>
    </w:rPr>
  </w:style>
  <w:style w:type="character" w:customStyle="1" w:styleId="FirmaCar">
    <w:name w:val="Firma Car"/>
    <w:basedOn w:val="Fuentedeprrafopredeter"/>
    <w:link w:val="Firma"/>
    <w:semiHidden/>
    <w:rsid w:val="009C7505"/>
    <w:rPr>
      <w:lang w:val="es-ES" w:eastAsia="es-ES"/>
    </w:rPr>
  </w:style>
  <w:style w:type="character" w:customStyle="1" w:styleId="SubttuloCar">
    <w:name w:val="Subtítulo Car"/>
    <w:basedOn w:val="Fuentedeprrafopredeter"/>
    <w:link w:val="Subttulo"/>
    <w:rsid w:val="009C7505"/>
    <w:rPr>
      <w:rFonts w:ascii="Arial" w:hAnsi="Arial" w:cs="Arial"/>
      <w:sz w:val="24"/>
      <w:szCs w:val="24"/>
      <w:lang w:val="es-ES" w:eastAsia="es-ES"/>
    </w:rPr>
  </w:style>
  <w:style w:type="paragraph" w:customStyle="1" w:styleId="Table1G">
    <w:name w:val="Table_1_G"/>
    <w:basedOn w:val="Normal"/>
    <w:next w:val="Normal"/>
    <w:uiPriority w:val="2"/>
    <w:qFormat/>
    <w:rsid w:val="009C750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C7505"/>
    <w:pPr>
      <w:spacing w:after="120"/>
    </w:pPr>
    <w:rPr>
      <w:b/>
    </w:rPr>
  </w:style>
  <w:style w:type="paragraph" w:customStyle="1" w:styleId="Table1Line3G">
    <w:name w:val="Table_1_Line3_G"/>
    <w:basedOn w:val="Table1line2G"/>
    <w:next w:val="Normal"/>
    <w:uiPriority w:val="2"/>
    <w:qFormat/>
    <w:rsid w:val="009C7505"/>
    <w:rPr>
      <w:b w:val="0"/>
      <w:sz w:val="16"/>
    </w:rPr>
  </w:style>
  <w:style w:type="paragraph" w:customStyle="1" w:styleId="TableH23G">
    <w:name w:val="Table_H2/3_G"/>
    <w:basedOn w:val="H23G"/>
    <w:uiPriority w:val="2"/>
    <w:qFormat/>
    <w:rsid w:val="009C750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9C7505"/>
    <w:rPr>
      <w:rFonts w:ascii="Arial" w:hAnsi="Arial" w:cs="Arial"/>
      <w:b/>
      <w:bCs/>
      <w:kern w:val="28"/>
      <w:sz w:val="32"/>
      <w:szCs w:val="32"/>
      <w:lang w:val="es-ES" w:eastAsia="es-ES"/>
    </w:rPr>
  </w:style>
  <w:style w:type="paragraph" w:styleId="TDC1">
    <w:name w:val="toc 1"/>
    <w:basedOn w:val="Normal"/>
    <w:next w:val="Normal"/>
    <w:uiPriority w:val="5"/>
    <w:unhideWhenUsed/>
    <w:rsid w:val="009C750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C7505"/>
    <w:pPr>
      <w:tabs>
        <w:tab w:val="clear" w:pos="851"/>
      </w:tabs>
      <w:ind w:left="1559" w:hanging="425"/>
    </w:pPr>
  </w:style>
  <w:style w:type="paragraph" w:styleId="TDC3">
    <w:name w:val="toc 3"/>
    <w:basedOn w:val="TDC2"/>
    <w:next w:val="Normal"/>
    <w:uiPriority w:val="5"/>
    <w:unhideWhenUsed/>
    <w:rsid w:val="009C7505"/>
    <w:pPr>
      <w:tabs>
        <w:tab w:val="left" w:pos="1985"/>
      </w:tabs>
      <w:ind w:left="1984"/>
    </w:pPr>
  </w:style>
  <w:style w:type="paragraph" w:styleId="TDC4">
    <w:name w:val="toc 4"/>
    <w:basedOn w:val="TDC1"/>
    <w:next w:val="Normal"/>
    <w:uiPriority w:val="5"/>
    <w:unhideWhenUsed/>
    <w:rsid w:val="009C7505"/>
    <w:pPr>
      <w:tabs>
        <w:tab w:val="clear" w:pos="9072"/>
        <w:tab w:val="left" w:leader="dot" w:pos="7938"/>
        <w:tab w:val="right" w:pos="8930"/>
      </w:tabs>
      <w:ind w:right="1701"/>
    </w:pPr>
  </w:style>
  <w:style w:type="paragraph" w:styleId="TDC5">
    <w:name w:val="toc 5"/>
    <w:basedOn w:val="TDC4"/>
    <w:next w:val="Normal"/>
    <w:uiPriority w:val="5"/>
    <w:unhideWhenUsed/>
    <w:rsid w:val="009C7505"/>
    <w:pPr>
      <w:tabs>
        <w:tab w:val="clear" w:pos="851"/>
      </w:tabs>
      <w:ind w:left="1559" w:hanging="425"/>
    </w:pPr>
  </w:style>
  <w:style w:type="paragraph" w:styleId="TDC6">
    <w:name w:val="toc 6"/>
    <w:basedOn w:val="TDC5"/>
    <w:next w:val="Normal"/>
    <w:uiPriority w:val="5"/>
    <w:unhideWhenUsed/>
    <w:rsid w:val="009C7505"/>
    <w:pPr>
      <w:tabs>
        <w:tab w:val="left" w:pos="1985"/>
      </w:tabs>
      <w:ind w:left="1984"/>
    </w:pPr>
  </w:style>
  <w:style w:type="character" w:customStyle="1" w:styleId="Ttulo2Car">
    <w:name w:val="Título 2 Car"/>
    <w:basedOn w:val="Fuentedeprrafopredeter"/>
    <w:link w:val="Ttulo2"/>
    <w:semiHidden/>
    <w:rsid w:val="00930651"/>
    <w:rPr>
      <w:rFonts w:cs="Arial"/>
      <w:bCs/>
      <w:iCs/>
      <w:szCs w:val="28"/>
      <w:lang w:val="es-ES" w:eastAsia="es-ES"/>
    </w:rPr>
  </w:style>
  <w:style w:type="character" w:customStyle="1" w:styleId="Ttulo3Car">
    <w:name w:val="Título 3 Car"/>
    <w:basedOn w:val="Fuentedeprrafopredeter"/>
    <w:link w:val="Ttulo3"/>
    <w:semiHidden/>
    <w:rsid w:val="00930651"/>
    <w:rPr>
      <w:rFonts w:ascii="Arial" w:hAnsi="Arial" w:cs="Arial"/>
      <w:b/>
      <w:bCs/>
      <w:sz w:val="26"/>
      <w:szCs w:val="26"/>
      <w:lang w:val="es-ES" w:eastAsia="es-ES"/>
    </w:rPr>
  </w:style>
  <w:style w:type="character" w:customStyle="1" w:styleId="Ttulo4Car">
    <w:name w:val="Título 4 Car"/>
    <w:basedOn w:val="Fuentedeprrafopredeter"/>
    <w:link w:val="Ttulo4"/>
    <w:semiHidden/>
    <w:rsid w:val="00930651"/>
    <w:rPr>
      <w:b/>
      <w:bCs/>
      <w:sz w:val="28"/>
      <w:szCs w:val="28"/>
      <w:lang w:val="es-ES" w:eastAsia="es-ES"/>
    </w:rPr>
  </w:style>
  <w:style w:type="character" w:customStyle="1" w:styleId="Ttulo5Car">
    <w:name w:val="Título 5 Car"/>
    <w:basedOn w:val="Fuentedeprrafopredeter"/>
    <w:link w:val="Ttulo5"/>
    <w:semiHidden/>
    <w:rsid w:val="00930651"/>
    <w:rPr>
      <w:b/>
      <w:bCs/>
      <w:i/>
      <w:iCs/>
      <w:sz w:val="26"/>
      <w:szCs w:val="26"/>
      <w:lang w:val="es-ES" w:eastAsia="es-ES"/>
    </w:rPr>
  </w:style>
  <w:style w:type="character" w:customStyle="1" w:styleId="Ttulo6Car">
    <w:name w:val="Título 6 Car"/>
    <w:basedOn w:val="Fuentedeprrafopredeter"/>
    <w:link w:val="Ttulo6"/>
    <w:semiHidden/>
    <w:rsid w:val="00930651"/>
    <w:rPr>
      <w:b/>
      <w:bCs/>
      <w:sz w:val="22"/>
      <w:szCs w:val="22"/>
      <w:lang w:val="es-ES" w:eastAsia="es-ES"/>
    </w:rPr>
  </w:style>
  <w:style w:type="character" w:customStyle="1" w:styleId="Ttulo7Car">
    <w:name w:val="Título 7 Car"/>
    <w:basedOn w:val="Fuentedeprrafopredeter"/>
    <w:link w:val="Ttulo7"/>
    <w:semiHidden/>
    <w:rsid w:val="00930651"/>
    <w:rPr>
      <w:sz w:val="24"/>
      <w:szCs w:val="24"/>
      <w:lang w:val="es-ES" w:eastAsia="es-ES"/>
    </w:rPr>
  </w:style>
  <w:style w:type="character" w:customStyle="1" w:styleId="Ttulo8Car">
    <w:name w:val="Título 8 Car"/>
    <w:basedOn w:val="Fuentedeprrafopredeter"/>
    <w:link w:val="Ttulo8"/>
    <w:semiHidden/>
    <w:rsid w:val="00930651"/>
    <w:rPr>
      <w:i/>
      <w:iCs/>
      <w:sz w:val="24"/>
      <w:szCs w:val="24"/>
      <w:lang w:val="es-ES" w:eastAsia="es-ES"/>
    </w:rPr>
  </w:style>
  <w:style w:type="character" w:customStyle="1" w:styleId="Ttulo9Car">
    <w:name w:val="Título 9 Car"/>
    <w:basedOn w:val="Fuentedeprrafopredeter"/>
    <w:link w:val="Ttulo9"/>
    <w:semiHidden/>
    <w:rsid w:val="00930651"/>
    <w:rPr>
      <w:rFonts w:ascii="Arial" w:hAnsi="Arial" w:cs="Arial"/>
      <w:sz w:val="22"/>
      <w:szCs w:val="22"/>
      <w:lang w:val="es-ES" w:eastAsia="es-ES"/>
    </w:rPr>
  </w:style>
  <w:style w:type="table" w:customStyle="1" w:styleId="TableGrid1">
    <w:name w:val="Table Grid1"/>
    <w:basedOn w:val="Tablanormal"/>
    <w:rsid w:val="00930651"/>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comentario">
    <w:name w:val="annotation text"/>
    <w:basedOn w:val="Normal"/>
    <w:link w:val="TextocomentarioCar"/>
    <w:uiPriority w:val="99"/>
    <w:semiHidden/>
    <w:unhideWhenUsed/>
    <w:rsid w:val="00930651"/>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930651"/>
    <w:rPr>
      <w:lang w:val="en-GB" w:eastAsia="en-US"/>
    </w:rPr>
  </w:style>
  <w:style w:type="character" w:styleId="Refdecomentario">
    <w:name w:val="annotation reference"/>
    <w:basedOn w:val="Fuentedeprrafopredeter"/>
    <w:uiPriority w:val="99"/>
    <w:semiHidden/>
    <w:unhideWhenUsed/>
    <w:rsid w:val="00930651"/>
    <w:rPr>
      <w:sz w:val="16"/>
      <w:szCs w:val="16"/>
    </w:rPr>
  </w:style>
  <w:style w:type="paragraph" w:styleId="Asuntodelcomentario">
    <w:name w:val="annotation subject"/>
    <w:basedOn w:val="Textocomentario"/>
    <w:next w:val="Textocomentario"/>
    <w:link w:val="AsuntodelcomentarioCar"/>
    <w:uiPriority w:val="99"/>
    <w:semiHidden/>
    <w:unhideWhenUsed/>
    <w:rsid w:val="00930651"/>
    <w:rPr>
      <w:b/>
      <w:bCs/>
    </w:rPr>
  </w:style>
  <w:style w:type="character" w:customStyle="1" w:styleId="AsuntodelcomentarioCar">
    <w:name w:val="Asunto del comentario Car"/>
    <w:basedOn w:val="TextocomentarioCar"/>
    <w:link w:val="Asuntodelcomentario"/>
    <w:uiPriority w:val="99"/>
    <w:semiHidden/>
    <w:rsid w:val="00930651"/>
    <w:rPr>
      <w:b/>
      <w:bCs/>
      <w:lang w:val="en-GB" w:eastAsia="en-US"/>
    </w:rPr>
  </w:style>
  <w:style w:type="paragraph" w:styleId="Revisin">
    <w:name w:val="Revision"/>
    <w:hidden/>
    <w:uiPriority w:val="99"/>
    <w:semiHidden/>
    <w:rsid w:val="00930651"/>
    <w:rPr>
      <w:lang w:val="en-GB" w:eastAsia="en-US"/>
    </w:rPr>
  </w:style>
  <w:style w:type="character" w:styleId="Mencinsinresolver">
    <w:name w:val="Unresolved Mention"/>
    <w:basedOn w:val="Fuentedeprrafopredeter"/>
    <w:uiPriority w:val="99"/>
    <w:semiHidden/>
    <w:unhideWhenUsed/>
    <w:rsid w:val="0093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21</Pages>
  <Words>12549</Words>
  <Characters>64718</Characters>
  <Application>Microsoft Office Word</Application>
  <DocSecurity>0</DocSecurity>
  <Lines>1013</Lines>
  <Paragraphs>265</Paragraphs>
  <ScaleCrop>false</ScaleCrop>
  <HeadingPairs>
    <vt:vector size="2" baseType="variant">
      <vt:variant>
        <vt:lpstr>Título</vt:lpstr>
      </vt:variant>
      <vt:variant>
        <vt:i4>1</vt:i4>
      </vt:variant>
    </vt:vector>
  </HeadingPairs>
  <TitlesOfParts>
    <vt:vector size="1" baseType="lpstr">
      <vt:lpstr>CRC/C/CAN/RQ/5-6</vt:lpstr>
    </vt:vector>
  </TitlesOfParts>
  <Company/>
  <LinksUpToDate>false</LinksUpToDate>
  <CharactersWithSpaces>77233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CRC/C/CAN/RQ/5-6</dc:title>
  <dc:subject/>
  <dc:creator>Angel ANGEL-MORENO-TORRES</dc:creator>
  <cp:keywords/>
  <cp:lastModifiedBy>Angel Moreno Torres</cp:lastModifiedBy>
  <cp:revision>3</cp:revision>
  <cp:lastPrinted>2022-06-09T12:27:00Z</cp:lastPrinted>
  <dcterms:created xsi:type="dcterms:W3CDTF">2022-06-09T12:27:00Z</dcterms:created>
  <dcterms:modified xsi:type="dcterms:W3CDTF">2022-06-09T12:28:00Z</dcterms:modified>
</cp:coreProperties>
</file>