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F71EA" w:rsidRPr="00DB58B5" w:rsidTr="002B7BC7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6F71EA" w:rsidRPr="00DB58B5" w:rsidRDefault="006F71EA" w:rsidP="009127E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F71EA" w:rsidRPr="00DB58B5" w:rsidRDefault="006F71EA" w:rsidP="002B7BC7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6F71EA" w:rsidRPr="00DB58B5" w:rsidRDefault="009127E3" w:rsidP="009127E3">
            <w:pPr>
              <w:jc w:val="right"/>
            </w:pPr>
            <w:r w:rsidRPr="009127E3">
              <w:rPr>
                <w:sz w:val="40"/>
              </w:rPr>
              <w:t>CCPR</w:t>
            </w:r>
            <w:r>
              <w:t>/C/SWZ/CO/1</w:t>
            </w:r>
          </w:p>
        </w:tc>
      </w:tr>
      <w:tr w:rsidR="006F71EA" w:rsidRPr="00DB58B5" w:rsidTr="002B7BC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Pr="00DB58B5" w:rsidRDefault="006F71EA" w:rsidP="002B7BC7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9130B62" wp14:editId="1AA895D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F71EA" w:rsidRPr="00AB51C8" w:rsidRDefault="006F71EA" w:rsidP="002B7BC7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AB51C8">
              <w:rPr>
                <w:b/>
                <w:sz w:val="34"/>
                <w:szCs w:val="34"/>
              </w:rPr>
              <w:t>Pacte international relatif</w:t>
            </w:r>
            <w:r w:rsidRPr="00AB51C8">
              <w:rPr>
                <w:b/>
                <w:sz w:val="34"/>
                <w:szCs w:val="34"/>
              </w:rPr>
              <w:br/>
              <w:t>aux droits civils et politiques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Default="009127E3" w:rsidP="002B7BC7">
            <w:pPr>
              <w:spacing w:before="240"/>
            </w:pPr>
            <w:r>
              <w:t>Distr. générale</w:t>
            </w:r>
          </w:p>
          <w:p w:rsidR="009127E3" w:rsidRDefault="009127E3" w:rsidP="009127E3">
            <w:pPr>
              <w:spacing w:line="240" w:lineRule="exact"/>
            </w:pPr>
            <w:r>
              <w:t>23 août 2017</w:t>
            </w:r>
          </w:p>
          <w:p w:rsidR="009127E3" w:rsidRDefault="009127E3" w:rsidP="009127E3">
            <w:pPr>
              <w:spacing w:line="240" w:lineRule="exact"/>
            </w:pPr>
            <w:r>
              <w:t>Français</w:t>
            </w:r>
          </w:p>
          <w:p w:rsidR="009127E3" w:rsidRPr="00DB58B5" w:rsidRDefault="009127E3" w:rsidP="009127E3">
            <w:pPr>
              <w:spacing w:line="240" w:lineRule="exact"/>
            </w:pPr>
            <w:r>
              <w:t>Original</w:t>
            </w:r>
            <w:r w:rsidR="00091812">
              <w:t> :</w:t>
            </w:r>
            <w:r>
              <w:t xml:space="preserve"> anglais</w:t>
            </w:r>
          </w:p>
        </w:tc>
      </w:tr>
    </w:tbl>
    <w:p w:rsidR="006F71EA" w:rsidRDefault="006F71EA" w:rsidP="006F71EA">
      <w:pPr>
        <w:spacing w:before="120"/>
        <w:rPr>
          <w:b/>
          <w:sz w:val="24"/>
          <w:szCs w:val="24"/>
        </w:rPr>
      </w:pPr>
      <w:r w:rsidRPr="00DF3BF1">
        <w:rPr>
          <w:b/>
          <w:sz w:val="24"/>
          <w:szCs w:val="24"/>
        </w:rPr>
        <w:t>Comité des droits de l’homme</w:t>
      </w:r>
    </w:p>
    <w:p w:rsidR="004403D6" w:rsidRPr="00052E12" w:rsidRDefault="00F068AB" w:rsidP="00052E12">
      <w:pPr>
        <w:pStyle w:val="HChG"/>
      </w:pPr>
      <w:r w:rsidRPr="00052E12">
        <w:rPr>
          <w:lang w:val="fr-FR"/>
        </w:rPr>
        <w:tab/>
      </w:r>
      <w:r w:rsidRPr="00052E12">
        <w:rPr>
          <w:lang w:val="fr-FR"/>
        </w:rPr>
        <w:tab/>
      </w:r>
      <w:r w:rsidRPr="00052E12">
        <w:rPr>
          <w:lang w:val="fr-FR"/>
        </w:rPr>
        <w:t>Observa</w:t>
      </w:r>
      <w:bookmarkStart w:id="0" w:name="_GoBack"/>
      <w:bookmarkEnd w:id="0"/>
      <w:r w:rsidRPr="00052E12">
        <w:rPr>
          <w:lang w:val="fr-FR"/>
        </w:rPr>
        <w:t xml:space="preserve">tions finales concernant le Swaziland </w:t>
      </w:r>
      <w:r w:rsidR="00052E12">
        <w:rPr>
          <w:lang w:val="fr-FR"/>
        </w:rPr>
        <w:br/>
      </w:r>
      <w:r w:rsidRPr="00052E12">
        <w:rPr>
          <w:lang w:val="fr-FR"/>
        </w:rPr>
        <w:t>en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absence de rapport</w:t>
      </w:r>
      <w:bookmarkStart w:id="1" w:name="_Toc491177783"/>
      <w:bookmarkEnd w:id="1"/>
      <w:r w:rsidR="00091812" w:rsidRPr="00E708B4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4403D6" w:rsidRPr="00052E12" w:rsidRDefault="00F068AB" w:rsidP="00052E12">
      <w:pPr>
        <w:pStyle w:val="SingleTxtG"/>
      </w:pPr>
      <w:r w:rsidRPr="00052E12">
        <w:rPr>
          <w:lang w:val="fr-FR"/>
        </w:rPr>
        <w:t>1.</w:t>
      </w:r>
      <w:r w:rsidRPr="00052E12">
        <w:rPr>
          <w:lang w:val="fr-FR"/>
        </w:rPr>
        <w:tab/>
        <w:t>En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absence de rapport de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État partie, le Comité des droits de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homme a examiné la situation des droits civils et politiques</w:t>
      </w:r>
      <w:r w:rsidRPr="00052E12">
        <w:rPr>
          <w:lang w:val="fr-FR"/>
        </w:rPr>
        <w:t xml:space="preserve"> au Swaziland au regard du Pacte international relatif aux droits civils et politiques à ses 3382</w:t>
      </w:r>
      <w:r w:rsidRPr="00052E12">
        <w:rPr>
          <w:vertAlign w:val="superscript"/>
          <w:lang w:val="fr-FR"/>
        </w:rPr>
        <w:t>e</w:t>
      </w:r>
      <w:r w:rsidRPr="00052E12">
        <w:rPr>
          <w:lang w:val="fr-FR"/>
        </w:rPr>
        <w:t xml:space="preserve"> et 3383</w:t>
      </w:r>
      <w:r w:rsidRPr="00052E12">
        <w:rPr>
          <w:vertAlign w:val="superscript"/>
          <w:lang w:val="fr-FR"/>
        </w:rPr>
        <w:t>e</w:t>
      </w:r>
      <w:r w:rsidR="00091812">
        <w:rPr>
          <w:lang w:val="fr-FR"/>
        </w:rPr>
        <w:t> </w:t>
      </w:r>
      <w:r w:rsidRPr="00052E12">
        <w:rPr>
          <w:lang w:val="fr-FR"/>
        </w:rPr>
        <w:t xml:space="preserve">séances </w:t>
      </w:r>
      <w:r w:rsidRPr="00052E12">
        <w:rPr>
          <w:lang w:val="fr-FR"/>
        </w:rPr>
        <w:t xml:space="preserve">publiques </w:t>
      </w:r>
      <w:r w:rsidRPr="00052E12">
        <w:rPr>
          <w:lang w:val="fr-FR"/>
        </w:rPr>
        <w:t xml:space="preserve">(CCPR/C/SR.3382 et CCPR/C/SR.3383), </w:t>
      </w:r>
      <w:r w:rsidR="00091812">
        <w:rPr>
          <w:lang w:val="fr-FR"/>
        </w:rPr>
        <w:t>les 7 et 10 </w:t>
      </w:r>
      <w:r w:rsidRPr="00052E12">
        <w:rPr>
          <w:lang w:val="fr-FR"/>
        </w:rPr>
        <w:t>juillet 2</w:t>
      </w:r>
      <w:r w:rsidR="00091812">
        <w:rPr>
          <w:lang w:val="fr-FR"/>
        </w:rPr>
        <w:t>017. Conformément au paragraphe </w:t>
      </w:r>
      <w:r w:rsidRPr="00052E12">
        <w:rPr>
          <w:lang w:val="fr-FR"/>
        </w:rPr>
        <w:t>1 de l</w:t>
      </w:r>
      <w:r w:rsidR="00052E12" w:rsidRPr="00052E12">
        <w:rPr>
          <w:lang w:val="fr-FR"/>
        </w:rPr>
        <w:t>’</w:t>
      </w:r>
      <w:r w:rsidR="00091812">
        <w:rPr>
          <w:lang w:val="fr-FR"/>
        </w:rPr>
        <w:t>article </w:t>
      </w:r>
      <w:r w:rsidRPr="00052E12">
        <w:rPr>
          <w:lang w:val="fr-FR"/>
        </w:rPr>
        <w:t xml:space="preserve">70 </w:t>
      </w:r>
      <w:r w:rsidRPr="00052E12">
        <w:rPr>
          <w:lang w:val="fr-FR"/>
        </w:rPr>
        <w:t xml:space="preserve">du </w:t>
      </w:r>
      <w:r w:rsidR="0013251E">
        <w:rPr>
          <w:lang w:val="fr-FR"/>
        </w:rPr>
        <w:t>r</w:t>
      </w:r>
      <w:r w:rsidRPr="00052E12">
        <w:rPr>
          <w:lang w:val="fr-FR"/>
        </w:rPr>
        <w:t>èglement intérieur du Comité, si un État partie n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a pas soumis de rapport en vertu de l</w:t>
      </w:r>
      <w:r w:rsidR="00052E12" w:rsidRPr="00052E12">
        <w:rPr>
          <w:lang w:val="fr-FR"/>
        </w:rPr>
        <w:t>’</w:t>
      </w:r>
      <w:r w:rsidR="00091812">
        <w:rPr>
          <w:lang w:val="fr-FR"/>
        </w:rPr>
        <w:t>article </w:t>
      </w:r>
      <w:r w:rsidRPr="00052E12">
        <w:rPr>
          <w:lang w:val="fr-FR"/>
        </w:rPr>
        <w:t>40 du Pacte, le Comité peut examiner en séance publique les mesures prises par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État partie pour donner effet aux droits reconnus dans le Pacte, et adopte</w:t>
      </w:r>
      <w:r w:rsidRPr="00052E12">
        <w:rPr>
          <w:lang w:val="fr-FR"/>
        </w:rPr>
        <w:t>r des observations finales.</w:t>
      </w:r>
    </w:p>
    <w:p w:rsidR="004403D6" w:rsidRPr="00052E12" w:rsidRDefault="00F068AB" w:rsidP="00052E12">
      <w:pPr>
        <w:pStyle w:val="SingleTxtG"/>
      </w:pPr>
      <w:r w:rsidRPr="00052E12">
        <w:rPr>
          <w:lang w:val="fr-FR"/>
        </w:rPr>
        <w:t>2.</w:t>
      </w:r>
      <w:r w:rsidRPr="00052E12">
        <w:rPr>
          <w:lang w:val="fr-FR"/>
        </w:rPr>
        <w:tab/>
        <w:t>À sa 340</w:t>
      </w:r>
      <w:r w:rsidRPr="00052E12">
        <w:rPr>
          <w:lang w:val="fr-FR"/>
        </w:rPr>
        <w:t>5</w:t>
      </w:r>
      <w:r w:rsidRPr="00052E12">
        <w:rPr>
          <w:vertAlign w:val="superscript"/>
          <w:lang w:val="fr-FR"/>
        </w:rPr>
        <w:t>e</w:t>
      </w:r>
      <w:r w:rsidR="00091812">
        <w:rPr>
          <w:lang w:val="fr-FR"/>
        </w:rPr>
        <w:t> séance, le 25 </w:t>
      </w:r>
      <w:r w:rsidRPr="00052E12">
        <w:rPr>
          <w:lang w:val="fr-FR"/>
        </w:rPr>
        <w:t>juillet 2017, le Comité a ado</w:t>
      </w:r>
      <w:r w:rsidR="0013251E">
        <w:rPr>
          <w:lang w:val="fr-FR"/>
        </w:rPr>
        <w:t>pté les observations finales ci</w:t>
      </w:r>
      <w:r w:rsidR="0013251E">
        <w:rPr>
          <w:lang w:val="fr-FR"/>
        </w:rPr>
        <w:noBreakHyphen/>
      </w:r>
      <w:r w:rsidRPr="00052E12">
        <w:rPr>
          <w:lang w:val="fr-FR"/>
        </w:rPr>
        <w:t>après.</w:t>
      </w:r>
    </w:p>
    <w:p w:rsidR="004403D6" w:rsidRPr="00052E12" w:rsidRDefault="00052E12" w:rsidP="00052E12">
      <w:pPr>
        <w:pStyle w:val="H1G"/>
      </w:pPr>
      <w:r>
        <w:rPr>
          <w:lang w:val="fr-FR"/>
        </w:rPr>
        <w:tab/>
      </w:r>
      <w:r w:rsidR="00F068AB" w:rsidRPr="00052E12">
        <w:rPr>
          <w:lang w:val="fr-FR"/>
        </w:rPr>
        <w:t>A.</w:t>
      </w:r>
      <w:r w:rsidR="00F068AB" w:rsidRPr="00052E12">
        <w:rPr>
          <w:lang w:val="fr-FR"/>
        </w:rPr>
        <w:tab/>
      </w:r>
      <w:r w:rsidR="00F068AB" w:rsidRPr="00052E12">
        <w:rPr>
          <w:lang w:val="fr-FR"/>
        </w:rPr>
        <w:t>Introduction</w:t>
      </w:r>
      <w:bookmarkStart w:id="2" w:name="_Toc491177784"/>
      <w:bookmarkEnd w:id="2"/>
    </w:p>
    <w:p w:rsidR="004403D6" w:rsidRPr="00052E12" w:rsidRDefault="00F068AB" w:rsidP="00052E12">
      <w:pPr>
        <w:pStyle w:val="SingleTxtG"/>
      </w:pPr>
      <w:r w:rsidRPr="00052E12">
        <w:rPr>
          <w:lang w:val="fr-FR"/>
        </w:rPr>
        <w:t>3.</w:t>
      </w:r>
      <w:r w:rsidRPr="00052E12">
        <w:rPr>
          <w:lang w:val="fr-FR"/>
        </w:rPr>
        <w:tab/>
        <w:t xml:space="preserve">Le Pacte est entré en </w:t>
      </w:r>
      <w:r w:rsidR="00091812">
        <w:rPr>
          <w:lang w:val="fr-FR"/>
        </w:rPr>
        <w:t>vigueur pour le Swaziland le 26 </w:t>
      </w:r>
      <w:r w:rsidRPr="00052E12">
        <w:rPr>
          <w:lang w:val="fr-FR"/>
        </w:rPr>
        <w:t>mars 2004.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État partie était tenu de soumettre son ra</w:t>
      </w:r>
      <w:r w:rsidRPr="00052E12">
        <w:rPr>
          <w:lang w:val="fr-FR"/>
        </w:rPr>
        <w:t>pport</w:t>
      </w:r>
      <w:r w:rsidR="00091812">
        <w:rPr>
          <w:lang w:val="fr-FR"/>
        </w:rPr>
        <w:t xml:space="preserve"> initial en vertu du paragraphe 1 </w:t>
      </w:r>
      <w:r w:rsidRPr="00052E12">
        <w:rPr>
          <w:lang w:val="fr-FR"/>
        </w:rPr>
        <w:t>a) de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article</w:t>
      </w:r>
      <w:r w:rsidR="00091812">
        <w:rPr>
          <w:lang w:val="fr-FR"/>
        </w:rPr>
        <w:t> 40 du Pacte au plus tard le 26 </w:t>
      </w:r>
      <w:r w:rsidRPr="00052E12">
        <w:rPr>
          <w:lang w:val="fr-FR"/>
        </w:rPr>
        <w:t>avril 2005. Le Comité regrette que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État partie ait manqué à ses obligations découlant de l</w:t>
      </w:r>
      <w:r w:rsidR="00052E12" w:rsidRPr="00052E12">
        <w:rPr>
          <w:lang w:val="fr-FR"/>
        </w:rPr>
        <w:t>’</w:t>
      </w:r>
      <w:r w:rsidR="00091812">
        <w:rPr>
          <w:lang w:val="fr-FR"/>
        </w:rPr>
        <w:t>article </w:t>
      </w:r>
      <w:r w:rsidRPr="00052E12">
        <w:rPr>
          <w:lang w:val="fr-FR"/>
        </w:rPr>
        <w:t>40 du Pacte et que, malgré de nombreux rappels, il n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ait pas soumis s</w:t>
      </w:r>
      <w:r w:rsidRPr="00052E12">
        <w:rPr>
          <w:lang w:val="fr-FR"/>
        </w:rPr>
        <w:t>on rapport initial.</w:t>
      </w:r>
    </w:p>
    <w:p w:rsidR="004403D6" w:rsidRPr="00052E12" w:rsidRDefault="00F068AB" w:rsidP="00052E12">
      <w:pPr>
        <w:pStyle w:val="SingleTxtG"/>
      </w:pPr>
      <w:r w:rsidRPr="00052E12">
        <w:rPr>
          <w:lang w:val="fr-FR"/>
        </w:rPr>
        <w:t>4.</w:t>
      </w:r>
      <w:r w:rsidRPr="00052E12">
        <w:rPr>
          <w:lang w:val="fr-FR"/>
        </w:rPr>
        <w:tab/>
        <w:t>Le Comité apprécie cependant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occasion qui lui a été offerte d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 xml:space="preserve">engager un dialogue constructif </w:t>
      </w:r>
      <w:r w:rsidRPr="00052E12">
        <w:rPr>
          <w:lang w:val="fr-FR"/>
        </w:rPr>
        <w:t>sur la mise en œuvre du Pacte</w:t>
      </w:r>
      <w:r w:rsidRPr="00052E12">
        <w:rPr>
          <w:lang w:val="fr-FR"/>
        </w:rPr>
        <w:t xml:space="preserve"> avec la délégation de haut niveau de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État partie</w:t>
      </w:r>
      <w:r w:rsidRPr="00052E12">
        <w:rPr>
          <w:lang w:val="fr-FR"/>
        </w:rPr>
        <w:t>.</w:t>
      </w:r>
      <w:r w:rsidRPr="00052E12">
        <w:rPr>
          <w:lang w:val="fr-FR"/>
        </w:rPr>
        <w:t xml:space="preserve"> Il remercie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État partie des réponses écrites (CCPR/C/SWZ/Q/1/Add.1) apportées à la liste de points (CCPR/C/SWZ/Q/1), qui ont été complétées oralement par la délégation.</w:t>
      </w:r>
    </w:p>
    <w:p w:rsidR="004403D6" w:rsidRPr="00052E12" w:rsidRDefault="00F068AB" w:rsidP="00052E12">
      <w:pPr>
        <w:pStyle w:val="SingleTxtG"/>
      </w:pPr>
      <w:r w:rsidRPr="00052E12">
        <w:rPr>
          <w:lang w:val="fr-FR"/>
        </w:rPr>
        <w:t>5.</w:t>
      </w:r>
      <w:r w:rsidRPr="00052E12">
        <w:rPr>
          <w:lang w:val="fr-FR"/>
        </w:rPr>
        <w:tab/>
      </w:r>
      <w:r w:rsidRPr="00052E12">
        <w:rPr>
          <w:lang w:val="fr-FR"/>
        </w:rPr>
        <w:t xml:space="preserve">Compte tenu </w:t>
      </w:r>
      <w:r w:rsidRPr="00052E12">
        <w:rPr>
          <w:lang w:val="fr-FR"/>
        </w:rPr>
        <w:t xml:space="preserve">des réponses </w:t>
      </w:r>
      <w:r w:rsidRPr="00052E12">
        <w:rPr>
          <w:lang w:val="fr-FR"/>
        </w:rPr>
        <w:t xml:space="preserve">écrites </w:t>
      </w:r>
      <w:r w:rsidRPr="00052E12">
        <w:rPr>
          <w:lang w:val="fr-FR"/>
        </w:rPr>
        <w:t xml:space="preserve">détaillées à la liste des points à </w:t>
      </w:r>
      <w:r w:rsidRPr="00052E12">
        <w:rPr>
          <w:lang w:val="fr-FR"/>
        </w:rPr>
        <w:t>traiter (CCPR/C/SWZ/Q/1/Add.1) que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 xml:space="preserve">État partie a fournies </w:t>
      </w:r>
      <w:r w:rsidRPr="00052E12">
        <w:rPr>
          <w:lang w:val="fr-FR"/>
        </w:rPr>
        <w:t>et du dialogue constructif que le Comité a eu avec la délégation de haut niveau de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État partie, le Comité considère les réponses écrites comme le rapport initial de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État partie et de</w:t>
      </w:r>
      <w:r w:rsidRPr="00052E12">
        <w:rPr>
          <w:lang w:val="fr-FR"/>
        </w:rPr>
        <w:t>mande à ce dernier de soumettre un document de base commun</w:t>
      </w:r>
      <w:r w:rsidRPr="00052E12">
        <w:rPr>
          <w:lang w:val="fr-FR"/>
        </w:rPr>
        <w:t xml:space="preserve"> afin de faciliter les discussions à venir. </w:t>
      </w:r>
    </w:p>
    <w:p w:rsidR="004403D6" w:rsidRPr="00052E12" w:rsidRDefault="00052E12" w:rsidP="00052E12">
      <w:pPr>
        <w:pStyle w:val="H1G"/>
      </w:pPr>
      <w:r>
        <w:rPr>
          <w:lang w:val="fr-FR"/>
        </w:rPr>
        <w:tab/>
      </w:r>
      <w:r w:rsidR="00F068AB" w:rsidRPr="00052E12">
        <w:rPr>
          <w:lang w:val="fr-FR"/>
        </w:rPr>
        <w:t>B.</w:t>
      </w:r>
      <w:r w:rsidR="00F068AB" w:rsidRPr="00052E12">
        <w:rPr>
          <w:lang w:val="fr-FR"/>
        </w:rPr>
        <w:tab/>
        <w:t>Aspects positifs</w:t>
      </w:r>
      <w:bookmarkStart w:id="3" w:name="_Toc491177785"/>
      <w:bookmarkEnd w:id="3"/>
    </w:p>
    <w:p w:rsidR="004403D6" w:rsidRPr="00052E12" w:rsidRDefault="00F068AB" w:rsidP="00052E12">
      <w:pPr>
        <w:pStyle w:val="SingleTxtG"/>
      </w:pPr>
      <w:r w:rsidRPr="00052E12">
        <w:rPr>
          <w:lang w:val="fr-FR"/>
        </w:rPr>
        <w:t>6.</w:t>
      </w:r>
      <w:r w:rsidRPr="00052E12">
        <w:rPr>
          <w:lang w:val="fr-FR"/>
        </w:rPr>
        <w:tab/>
        <w:t>Le Comité accueille avec satisfaction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adoption par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État partie des mesures législative</w:t>
      </w:r>
      <w:r w:rsidR="00091812">
        <w:rPr>
          <w:lang w:val="fr-FR"/>
        </w:rPr>
        <w:t>s et institutionnelles ci-après :</w:t>
      </w:r>
    </w:p>
    <w:p w:rsidR="004403D6" w:rsidRPr="00052E12" w:rsidRDefault="00F068AB" w:rsidP="00052E12">
      <w:pPr>
        <w:pStyle w:val="SingleTxtG"/>
      </w:pPr>
      <w:r w:rsidRPr="00052E12">
        <w:rPr>
          <w:lang w:val="fr-FR"/>
        </w:rPr>
        <w:tab/>
        <w:t>a)</w:t>
      </w:r>
      <w:r w:rsidRPr="00052E12">
        <w:rPr>
          <w:lang w:val="fr-FR"/>
        </w:rPr>
        <w:tab/>
        <w:t>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adoption de la Constitution</w:t>
      </w:r>
      <w:r w:rsidRPr="00052E12">
        <w:rPr>
          <w:lang w:val="fr-FR"/>
        </w:rPr>
        <w:t>,</w:t>
      </w:r>
      <w:r w:rsidRPr="00052E12">
        <w:rPr>
          <w:lang w:val="fr-FR"/>
        </w:rPr>
        <w:t xml:space="preserve"> en 2005</w:t>
      </w:r>
      <w:r w:rsidR="00091812">
        <w:rPr>
          <w:lang w:val="fr-FR"/>
        </w:rPr>
        <w:t> ;</w:t>
      </w:r>
    </w:p>
    <w:p w:rsidR="004403D6" w:rsidRPr="00052E12" w:rsidRDefault="00F068AB" w:rsidP="00052E12">
      <w:pPr>
        <w:pStyle w:val="SingleTxtG"/>
      </w:pPr>
      <w:r w:rsidRPr="00052E12">
        <w:rPr>
          <w:lang w:val="fr-FR"/>
        </w:rPr>
        <w:lastRenderedPageBreak/>
        <w:tab/>
        <w:t>b)</w:t>
      </w:r>
      <w:r w:rsidRPr="00052E12">
        <w:rPr>
          <w:lang w:val="fr-FR"/>
        </w:rPr>
        <w:tab/>
        <w:t>La création de la Commission des droits de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homme et de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administration publique</w:t>
      </w:r>
      <w:r w:rsidRPr="00052E12">
        <w:rPr>
          <w:lang w:val="fr-FR"/>
        </w:rPr>
        <w:t>,</w:t>
      </w:r>
      <w:r w:rsidRPr="00052E12">
        <w:rPr>
          <w:lang w:val="fr-FR"/>
        </w:rPr>
        <w:t xml:space="preserve"> en 2009</w:t>
      </w:r>
      <w:r w:rsidR="00091812">
        <w:rPr>
          <w:lang w:val="fr-FR"/>
        </w:rPr>
        <w:t> ;</w:t>
      </w:r>
    </w:p>
    <w:p w:rsidR="004403D6" w:rsidRPr="00052E12" w:rsidRDefault="00F068AB" w:rsidP="00052E12">
      <w:pPr>
        <w:pStyle w:val="SingleTxtG"/>
      </w:pPr>
      <w:r w:rsidRPr="00052E12">
        <w:rPr>
          <w:lang w:val="fr-FR"/>
        </w:rPr>
        <w:tab/>
        <w:t>c)</w:t>
      </w:r>
      <w:r w:rsidRPr="00052E12">
        <w:rPr>
          <w:lang w:val="fr-FR"/>
        </w:rPr>
        <w:tab/>
        <w:t>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adoption de la loi relative à la protection et au bien-être des enfants</w:t>
      </w:r>
      <w:r w:rsidRPr="00052E12">
        <w:rPr>
          <w:lang w:val="fr-FR"/>
        </w:rPr>
        <w:t>,</w:t>
      </w:r>
      <w:r w:rsidRPr="00052E12">
        <w:rPr>
          <w:lang w:val="fr-FR"/>
        </w:rPr>
        <w:t xml:space="preserve"> </w:t>
      </w:r>
      <w:r w:rsidRPr="00052E12">
        <w:rPr>
          <w:lang w:val="fr-FR"/>
        </w:rPr>
        <w:t>en 2012</w:t>
      </w:r>
      <w:r w:rsidR="00091812">
        <w:rPr>
          <w:lang w:val="fr-FR"/>
        </w:rPr>
        <w:t> ;</w:t>
      </w:r>
    </w:p>
    <w:p w:rsidR="004403D6" w:rsidRPr="00052E12" w:rsidRDefault="00F068AB" w:rsidP="00052E12">
      <w:pPr>
        <w:pStyle w:val="SingleTxtG"/>
      </w:pPr>
      <w:r w:rsidRPr="00052E12">
        <w:rPr>
          <w:lang w:val="fr-FR"/>
        </w:rPr>
        <w:tab/>
        <w:t>d)</w:t>
      </w:r>
      <w:r w:rsidRPr="00052E12">
        <w:rPr>
          <w:lang w:val="fr-FR"/>
        </w:rPr>
        <w:tab/>
        <w:t>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adoption</w:t>
      </w:r>
      <w:r w:rsidRPr="00052E12">
        <w:rPr>
          <w:lang w:val="fr-FR"/>
        </w:rPr>
        <w:t xml:space="preserve"> de la loi interdisant la traite des personnes et le trafic des êtres humains</w:t>
      </w:r>
      <w:r w:rsidRPr="00052E12">
        <w:rPr>
          <w:lang w:val="fr-FR"/>
        </w:rPr>
        <w:t>,</w:t>
      </w:r>
      <w:r w:rsidRPr="00052E12">
        <w:rPr>
          <w:lang w:val="fr-FR"/>
        </w:rPr>
        <w:t xml:space="preserve"> en 2009</w:t>
      </w:r>
      <w:r w:rsidR="00091812">
        <w:rPr>
          <w:lang w:val="fr-FR"/>
        </w:rPr>
        <w:t> ;</w:t>
      </w:r>
      <w:r w:rsidRPr="00052E12">
        <w:rPr>
          <w:lang w:val="fr-FR"/>
        </w:rPr>
        <w:t xml:space="preserve"> </w:t>
      </w:r>
    </w:p>
    <w:p w:rsidR="004403D6" w:rsidRPr="00052E12" w:rsidRDefault="00B350F8" w:rsidP="00052E12">
      <w:pPr>
        <w:pStyle w:val="SingleTxtG"/>
      </w:pPr>
      <w:r>
        <w:rPr>
          <w:lang w:val="fr-FR"/>
        </w:rPr>
        <w:tab/>
      </w:r>
      <w:r w:rsidR="00F068AB" w:rsidRPr="00052E12">
        <w:rPr>
          <w:lang w:val="fr-FR"/>
        </w:rPr>
        <w:t>e)</w:t>
      </w:r>
      <w:r w:rsidR="00F068AB" w:rsidRPr="00052E12">
        <w:rPr>
          <w:lang w:val="fr-FR"/>
        </w:rPr>
        <w:tab/>
        <w:t>La modification de la loi relative à l</w:t>
      </w:r>
      <w:r w:rsidR="00052E12" w:rsidRPr="00052E12">
        <w:rPr>
          <w:lang w:val="fr-FR"/>
        </w:rPr>
        <w:t>’</w:t>
      </w:r>
      <w:r w:rsidR="00F068AB" w:rsidRPr="00052E12">
        <w:rPr>
          <w:lang w:val="fr-FR"/>
        </w:rPr>
        <w:t>enregistrement des actes notariés</w:t>
      </w:r>
      <w:r w:rsidR="00F068AB" w:rsidRPr="00052E12">
        <w:rPr>
          <w:lang w:val="fr-FR"/>
        </w:rPr>
        <w:t>,</w:t>
      </w:r>
      <w:r w:rsidR="00F068AB" w:rsidRPr="00052E12">
        <w:rPr>
          <w:lang w:val="fr-FR"/>
        </w:rPr>
        <w:t xml:space="preserve"> en 2012</w:t>
      </w:r>
      <w:r w:rsidR="00091812">
        <w:rPr>
          <w:lang w:val="fr-FR"/>
        </w:rPr>
        <w:t> ;</w:t>
      </w:r>
    </w:p>
    <w:p w:rsidR="004403D6" w:rsidRPr="00052E12" w:rsidRDefault="00F068AB" w:rsidP="00052E12">
      <w:pPr>
        <w:pStyle w:val="SingleTxtG"/>
      </w:pPr>
      <w:r w:rsidRPr="00052E12">
        <w:rPr>
          <w:lang w:val="fr-FR"/>
        </w:rPr>
        <w:tab/>
        <w:t>f)</w:t>
      </w:r>
      <w:r w:rsidRPr="00052E12">
        <w:rPr>
          <w:lang w:val="fr-FR"/>
        </w:rPr>
        <w:tab/>
        <w:t>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adoption de la loi relative à la prévention de la corruption</w:t>
      </w:r>
      <w:r w:rsidRPr="00052E12">
        <w:rPr>
          <w:lang w:val="fr-FR"/>
        </w:rPr>
        <w:t>,</w:t>
      </w:r>
      <w:r w:rsidRPr="00052E12">
        <w:rPr>
          <w:lang w:val="fr-FR"/>
        </w:rPr>
        <w:t xml:space="preserve"> </w:t>
      </w:r>
      <w:r w:rsidRPr="00052E12">
        <w:rPr>
          <w:lang w:val="fr-FR"/>
        </w:rPr>
        <w:t>en 2006.</w:t>
      </w:r>
    </w:p>
    <w:p w:rsidR="004403D6" w:rsidRPr="00052E12" w:rsidRDefault="00F068AB" w:rsidP="00052E12">
      <w:pPr>
        <w:pStyle w:val="SingleTxtG"/>
      </w:pPr>
      <w:r w:rsidRPr="00052E12">
        <w:rPr>
          <w:lang w:val="fr-FR"/>
        </w:rPr>
        <w:t>7.</w:t>
      </w:r>
      <w:r w:rsidRPr="00052E12">
        <w:rPr>
          <w:lang w:val="fr-FR"/>
        </w:rPr>
        <w:tab/>
        <w:t>Le Comité note en outre avec satisfaction que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État partie a ratifié les instruments internationaux ci-après ou y a adhéré</w:t>
      </w:r>
      <w:r w:rsidR="00091812">
        <w:rPr>
          <w:lang w:val="fr-FR"/>
        </w:rPr>
        <w:t> :</w:t>
      </w:r>
    </w:p>
    <w:p w:rsidR="004403D6" w:rsidRPr="00052E12" w:rsidRDefault="00F068AB" w:rsidP="00052E12">
      <w:pPr>
        <w:pStyle w:val="SingleTxtG"/>
      </w:pPr>
      <w:r w:rsidRPr="00052E12">
        <w:rPr>
          <w:lang w:val="fr-FR"/>
        </w:rPr>
        <w:tab/>
        <w:t>a)</w:t>
      </w:r>
      <w:r w:rsidRPr="00052E12">
        <w:rPr>
          <w:lang w:val="fr-FR"/>
        </w:rPr>
        <w:tab/>
        <w:t>La Convention relative aux droits des personnes handicapées</w:t>
      </w:r>
      <w:r w:rsidRPr="00052E12">
        <w:rPr>
          <w:lang w:val="fr-FR"/>
        </w:rPr>
        <w:t xml:space="preserve"> et le Protocole facultatif s</w:t>
      </w:r>
      <w:r w:rsidR="00052E12" w:rsidRPr="00052E12">
        <w:rPr>
          <w:lang w:val="fr-FR"/>
        </w:rPr>
        <w:t>’</w:t>
      </w:r>
      <w:r w:rsidR="00B350F8">
        <w:rPr>
          <w:lang w:val="fr-FR"/>
        </w:rPr>
        <w:t>y rapportant, le 24 </w:t>
      </w:r>
      <w:r w:rsidRPr="00052E12">
        <w:rPr>
          <w:lang w:val="fr-FR"/>
        </w:rPr>
        <w:t>septembre 2012</w:t>
      </w:r>
      <w:r w:rsidR="00091812">
        <w:rPr>
          <w:lang w:val="fr-FR"/>
        </w:rPr>
        <w:t> ;</w:t>
      </w:r>
      <w:r w:rsidRPr="00052E12">
        <w:rPr>
          <w:lang w:val="fr-FR"/>
        </w:rPr>
        <w:t xml:space="preserve"> </w:t>
      </w:r>
    </w:p>
    <w:p w:rsidR="004403D6" w:rsidRPr="00052E12" w:rsidRDefault="00F068AB" w:rsidP="00052E12">
      <w:pPr>
        <w:pStyle w:val="SingleTxtG"/>
      </w:pPr>
      <w:r w:rsidRPr="00052E12">
        <w:rPr>
          <w:lang w:val="fr-FR"/>
        </w:rPr>
        <w:tab/>
        <w:t>b)</w:t>
      </w:r>
      <w:r w:rsidRPr="00052E12">
        <w:rPr>
          <w:lang w:val="fr-FR"/>
        </w:rPr>
        <w:tab/>
        <w:t>Le Protocole facultatif à la Convention relative aux droits de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enfant, concernant la vente d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enfants, la prostitution des enfants et la pornographie mettant en scène des enfants</w:t>
      </w:r>
      <w:r w:rsidRPr="00052E12">
        <w:rPr>
          <w:lang w:val="fr-FR"/>
        </w:rPr>
        <w:t>,</w:t>
      </w:r>
      <w:r w:rsidRPr="00052E12">
        <w:rPr>
          <w:lang w:val="fr-FR"/>
        </w:rPr>
        <w:t xml:space="preserve"> et le Protocole facultatif à </w:t>
      </w:r>
      <w:r w:rsidRPr="00052E12">
        <w:rPr>
          <w:lang w:val="fr-FR"/>
        </w:rPr>
        <w:t>la Convention relative aux droits de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enfant, concernant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implication d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enfants dans les conflits armés</w:t>
      </w:r>
      <w:r w:rsidR="00B350F8">
        <w:rPr>
          <w:lang w:val="fr-FR"/>
        </w:rPr>
        <w:t>, le 24 </w:t>
      </w:r>
      <w:r w:rsidRPr="00052E12">
        <w:rPr>
          <w:lang w:val="fr-FR"/>
        </w:rPr>
        <w:t>septembre 2012</w:t>
      </w:r>
      <w:r w:rsidR="0013251E">
        <w:rPr>
          <w:lang w:val="fr-FR"/>
        </w:rPr>
        <w:t>.</w:t>
      </w:r>
    </w:p>
    <w:p w:rsidR="004403D6" w:rsidRPr="00052E12" w:rsidRDefault="00052E12" w:rsidP="00052E12">
      <w:pPr>
        <w:pStyle w:val="H1G"/>
      </w:pPr>
      <w:r>
        <w:rPr>
          <w:lang w:val="fr-FR"/>
        </w:rPr>
        <w:tab/>
      </w:r>
      <w:r w:rsidR="00F068AB" w:rsidRPr="00052E12">
        <w:rPr>
          <w:lang w:val="fr-FR"/>
        </w:rPr>
        <w:t>C.</w:t>
      </w:r>
      <w:r w:rsidR="00F068AB" w:rsidRPr="00052E12">
        <w:rPr>
          <w:lang w:val="fr-FR"/>
        </w:rPr>
        <w:tab/>
        <w:t>Principaux sujets de préoccupation et recommandations</w:t>
      </w:r>
      <w:bookmarkStart w:id="4" w:name="_Toc491177786"/>
      <w:bookmarkEnd w:id="4"/>
    </w:p>
    <w:p w:rsidR="004403D6" w:rsidRPr="00052E12" w:rsidRDefault="00F068AB" w:rsidP="00052E12">
      <w:pPr>
        <w:pStyle w:val="H23G"/>
      </w:pPr>
      <w:r w:rsidRPr="00052E12">
        <w:rPr>
          <w:lang w:val="fr-FR"/>
        </w:rPr>
        <w:tab/>
      </w:r>
      <w:r w:rsidRPr="00052E12">
        <w:rPr>
          <w:lang w:val="fr-FR"/>
        </w:rPr>
        <w:tab/>
        <w:t>Statut du Pacte au regard du droit interne</w:t>
      </w:r>
      <w:bookmarkStart w:id="5" w:name="_Toc491177787"/>
      <w:bookmarkEnd w:id="5"/>
    </w:p>
    <w:p w:rsidR="004403D6" w:rsidRPr="00052E12" w:rsidRDefault="00F068AB" w:rsidP="00052E12">
      <w:pPr>
        <w:pStyle w:val="SingleTxtG"/>
      </w:pPr>
      <w:r w:rsidRPr="00052E12">
        <w:rPr>
          <w:lang w:val="fr-FR"/>
        </w:rPr>
        <w:t>8.</w:t>
      </w:r>
      <w:r w:rsidRPr="00052E12">
        <w:rPr>
          <w:lang w:val="fr-FR"/>
        </w:rPr>
        <w:tab/>
        <w:t xml:space="preserve">Notant que </w:t>
      </w:r>
      <w:r w:rsidRPr="00052E12">
        <w:rPr>
          <w:lang w:val="fr-FR"/>
        </w:rPr>
        <w:t>les traités n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ont pas automatiquement force de loi dans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 xml:space="preserve">État </w:t>
      </w:r>
      <w:r w:rsidR="0013251E">
        <w:rPr>
          <w:lang w:val="fr-FR"/>
        </w:rPr>
        <w:t>p</w:t>
      </w:r>
      <w:r w:rsidRPr="00052E12">
        <w:rPr>
          <w:lang w:val="fr-FR"/>
        </w:rPr>
        <w:t>artie, le Comité regrette que le Pacte n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ait pas encore été incorporé au droit interne et qu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il ne puisse don</w:t>
      </w:r>
      <w:r w:rsidRPr="00052E12">
        <w:rPr>
          <w:lang w:val="fr-FR"/>
        </w:rPr>
        <w:t>c</w:t>
      </w:r>
      <w:r w:rsidRPr="00052E12">
        <w:rPr>
          <w:lang w:val="fr-FR"/>
        </w:rPr>
        <w:t xml:space="preserve"> pas être directement invoqué devant les juridictions nationales. Il est en outre</w:t>
      </w:r>
      <w:r w:rsidRPr="00052E12">
        <w:rPr>
          <w:lang w:val="fr-FR"/>
        </w:rPr>
        <w:t xml:space="preserve"> préoccupé de ce que les parties prenantes concernées ne connaissent pas suffisamment le Pacte. Bien qu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 xml:space="preserve">il </w:t>
      </w:r>
      <w:r w:rsidRPr="00052E12">
        <w:rPr>
          <w:lang w:val="fr-FR"/>
        </w:rPr>
        <w:t>se félicite de</w:t>
      </w:r>
      <w:r w:rsidRPr="00052E12">
        <w:rPr>
          <w:lang w:val="fr-FR"/>
        </w:rPr>
        <w:t xml:space="preserve">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 xml:space="preserve">intention </w:t>
      </w:r>
      <w:r w:rsidRPr="00052E12">
        <w:rPr>
          <w:lang w:val="fr-FR"/>
        </w:rPr>
        <w:t>exprimée par</w:t>
      </w:r>
      <w:r w:rsidRPr="00052E12">
        <w:rPr>
          <w:lang w:val="fr-FR"/>
        </w:rPr>
        <w:t xml:space="preserve">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 xml:space="preserve">État partie de ratifier le Protocole facultatif, le Comité regrette </w:t>
      </w:r>
      <w:r w:rsidRPr="00052E12">
        <w:rPr>
          <w:lang w:val="fr-FR"/>
        </w:rPr>
        <w:t>qu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il</w:t>
      </w:r>
      <w:r w:rsidRPr="00052E12">
        <w:rPr>
          <w:lang w:val="fr-FR"/>
        </w:rPr>
        <w:t xml:space="preserve"> n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 xml:space="preserve">ait pas pu </w:t>
      </w:r>
      <w:r w:rsidRPr="00052E12">
        <w:rPr>
          <w:lang w:val="fr-FR"/>
        </w:rPr>
        <w:t xml:space="preserve">donner </w:t>
      </w:r>
      <w:r w:rsidRPr="00052E12">
        <w:rPr>
          <w:lang w:val="fr-FR"/>
        </w:rPr>
        <w:t>de</w:t>
      </w:r>
      <w:r w:rsidRPr="00052E12">
        <w:rPr>
          <w:lang w:val="fr-FR"/>
        </w:rPr>
        <w:t xml:space="preserve"> calendrier </w:t>
      </w:r>
      <w:r w:rsidRPr="00052E12">
        <w:rPr>
          <w:lang w:val="fr-FR"/>
        </w:rPr>
        <w:t>à cet effet</w:t>
      </w:r>
      <w:r w:rsidR="00B350F8">
        <w:rPr>
          <w:lang w:val="fr-FR"/>
        </w:rPr>
        <w:t xml:space="preserve"> (art. </w:t>
      </w:r>
      <w:r w:rsidRPr="00052E12">
        <w:rPr>
          <w:lang w:val="fr-FR"/>
        </w:rPr>
        <w:t>2)</w:t>
      </w:r>
      <w:r w:rsidRPr="00052E12">
        <w:rPr>
          <w:lang w:val="fr-FR"/>
        </w:rPr>
        <w:t>.</w:t>
      </w:r>
    </w:p>
    <w:p w:rsidR="004403D6" w:rsidRPr="00052E12" w:rsidRDefault="00F068AB" w:rsidP="00052E12">
      <w:pPr>
        <w:pStyle w:val="SingleTxtG"/>
        <w:rPr>
          <w:b/>
        </w:rPr>
      </w:pPr>
      <w:r w:rsidRPr="00052E12">
        <w:rPr>
          <w:lang w:val="fr-FR"/>
        </w:rPr>
        <w:t>9.</w:t>
      </w:r>
      <w:r w:rsidRPr="00052E12">
        <w:rPr>
          <w:lang w:val="fr-FR"/>
        </w:rPr>
        <w:tab/>
      </w:r>
      <w:r w:rsidRPr="00052E12">
        <w:rPr>
          <w:b/>
          <w:lang w:val="fr-FR"/>
        </w:rPr>
        <w:t>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État partie devrait veiller à donner pleinement effet, dans son droit interne, à toutes les dispositions du Pacte et redoubler d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 xml:space="preserve">efforts pour </w:t>
      </w:r>
      <w:r w:rsidRPr="00052E12">
        <w:rPr>
          <w:b/>
          <w:lang w:val="fr-FR"/>
        </w:rPr>
        <w:t xml:space="preserve">mieux </w:t>
      </w:r>
      <w:r w:rsidRPr="00052E12">
        <w:rPr>
          <w:b/>
          <w:lang w:val="fr-FR"/>
        </w:rPr>
        <w:t xml:space="preserve">faire connaître le </w:t>
      </w:r>
      <w:r w:rsidRPr="00052E12">
        <w:rPr>
          <w:b/>
          <w:lang w:val="fr-FR"/>
        </w:rPr>
        <w:t>P</w:t>
      </w:r>
      <w:r w:rsidRPr="00052E12">
        <w:rPr>
          <w:b/>
          <w:lang w:val="fr-FR"/>
        </w:rPr>
        <w:t>acte</w:t>
      </w:r>
      <w:r w:rsidRPr="00052E12">
        <w:rPr>
          <w:b/>
          <w:lang w:val="fr-FR"/>
        </w:rPr>
        <w:t xml:space="preserve"> aux juges, aux avocats, aux procureurs et au public en général. Le Comité invite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État partie à ratifier le Protocole facultatif dans les meilleurs délais.</w:t>
      </w:r>
    </w:p>
    <w:p w:rsidR="004403D6" w:rsidRPr="00052E12" w:rsidRDefault="00F068AB" w:rsidP="00052E12">
      <w:pPr>
        <w:pStyle w:val="H23G"/>
      </w:pPr>
      <w:r w:rsidRPr="00052E12">
        <w:rPr>
          <w:lang w:val="fr-FR"/>
        </w:rPr>
        <w:tab/>
      </w:r>
      <w:r w:rsidRPr="00052E12">
        <w:rPr>
          <w:lang w:val="fr-FR"/>
        </w:rPr>
        <w:tab/>
        <w:t>Harmonisation de la législation nationale</w:t>
      </w:r>
      <w:bookmarkStart w:id="6" w:name="_Toc491177788"/>
      <w:bookmarkEnd w:id="6"/>
    </w:p>
    <w:p w:rsidR="004403D6" w:rsidRPr="00052E12" w:rsidRDefault="00F068AB" w:rsidP="00052E12">
      <w:pPr>
        <w:pStyle w:val="SingleTxtG"/>
      </w:pPr>
      <w:r w:rsidRPr="00052E12">
        <w:rPr>
          <w:lang w:val="fr-FR"/>
        </w:rPr>
        <w:t>10.</w:t>
      </w:r>
      <w:r w:rsidRPr="00052E12">
        <w:rPr>
          <w:lang w:val="fr-FR"/>
        </w:rPr>
        <w:tab/>
        <w:t xml:space="preserve">Tout en prenant </w:t>
      </w:r>
      <w:r w:rsidRPr="00052E12">
        <w:rPr>
          <w:lang w:val="fr-FR"/>
        </w:rPr>
        <w:t xml:space="preserve">note </w:t>
      </w:r>
      <w:r w:rsidRPr="00052E12">
        <w:rPr>
          <w:lang w:val="fr-FR"/>
        </w:rPr>
        <w:t xml:space="preserve">des explications fournies par la délégation selon lesquelles tant le droit coutumier que la </w:t>
      </w:r>
      <w:r w:rsidR="00B350F8" w:rsidRPr="00B350F8">
        <w:rPr>
          <w:i/>
          <w:lang w:val="fr-FR"/>
        </w:rPr>
        <w:t>common law</w:t>
      </w:r>
      <w:r w:rsidRPr="00052E12">
        <w:rPr>
          <w:lang w:val="fr-FR"/>
        </w:rPr>
        <w:t xml:space="preserve"> sont soumis à </w:t>
      </w:r>
      <w:r w:rsidRPr="00052E12">
        <w:rPr>
          <w:lang w:val="fr-FR"/>
        </w:rPr>
        <w:t>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 xml:space="preserve">autorité de </w:t>
      </w:r>
      <w:r w:rsidRPr="00052E12">
        <w:rPr>
          <w:lang w:val="fr-FR"/>
        </w:rPr>
        <w:t xml:space="preserve">la Constitution et </w:t>
      </w:r>
      <w:r w:rsidRPr="00052E12">
        <w:rPr>
          <w:lang w:val="fr-FR"/>
        </w:rPr>
        <w:t>les tribunaux appliquent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ensemble de lois permettant le mieux de donner effet aux droit</w:t>
      </w:r>
      <w:r w:rsidRPr="00052E12">
        <w:rPr>
          <w:lang w:val="fr-FR"/>
        </w:rPr>
        <w:t xml:space="preserve">s énoncés dans la Constitution, le Comité demeure préoccupé par </w:t>
      </w:r>
      <w:r w:rsidRPr="00052E12">
        <w:rPr>
          <w:lang w:val="fr-FR"/>
        </w:rPr>
        <w:t xml:space="preserve">le fait que </w:t>
      </w:r>
      <w:r w:rsidRPr="00052E12">
        <w:rPr>
          <w:lang w:val="fr-FR"/>
        </w:rPr>
        <w:t>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existence</w:t>
      </w:r>
      <w:r w:rsidRPr="00052E12">
        <w:rPr>
          <w:lang w:val="fr-FR"/>
        </w:rPr>
        <w:t xml:space="preserve"> </w:t>
      </w:r>
      <w:r w:rsidRPr="00052E12">
        <w:rPr>
          <w:lang w:val="fr-FR"/>
        </w:rPr>
        <w:t xml:space="preserve">de </w:t>
      </w:r>
      <w:r w:rsidRPr="00052E12">
        <w:rPr>
          <w:lang w:val="fr-FR"/>
        </w:rPr>
        <w:t>plusieurs ensembles de lois contradictoires</w:t>
      </w:r>
      <w:r w:rsidRPr="00052E12">
        <w:rPr>
          <w:lang w:val="fr-FR"/>
        </w:rPr>
        <w:t xml:space="preserve"> </w:t>
      </w:r>
      <w:r w:rsidRPr="00052E12">
        <w:rPr>
          <w:lang w:val="fr-FR"/>
        </w:rPr>
        <w:t>empêche</w:t>
      </w:r>
      <w:r w:rsidRPr="00052E12">
        <w:rPr>
          <w:lang w:val="fr-FR"/>
        </w:rPr>
        <w:t xml:space="preserve"> la mise en œuvre efficace des dispositions de la Constitution. Il est également préoccupé</w:t>
      </w:r>
      <w:r w:rsidRPr="00052E12">
        <w:rPr>
          <w:lang w:val="fr-FR"/>
        </w:rPr>
        <w:t xml:space="preserve"> par</w:t>
      </w:r>
      <w:r w:rsidRPr="00052E12">
        <w:rPr>
          <w:lang w:val="fr-FR"/>
        </w:rPr>
        <w:t xml:space="preserve"> </w:t>
      </w:r>
      <w:r w:rsidRPr="00052E12">
        <w:rPr>
          <w:lang w:val="fr-FR"/>
        </w:rPr>
        <w:t>les informations indiquant qu</w:t>
      </w:r>
      <w:r w:rsidRPr="00052E12">
        <w:rPr>
          <w:lang w:val="fr-FR"/>
        </w:rPr>
        <w:t xml:space="preserve">e dans la </w:t>
      </w:r>
      <w:r w:rsidRPr="00052E12">
        <w:rPr>
          <w:lang w:val="fr-FR"/>
        </w:rPr>
        <w:t>pratique</w:t>
      </w:r>
      <w:r w:rsidRPr="00052E12">
        <w:rPr>
          <w:lang w:val="fr-FR"/>
        </w:rPr>
        <w:t>,</w:t>
      </w:r>
      <w:r w:rsidRPr="00052E12">
        <w:rPr>
          <w:lang w:val="fr-FR"/>
        </w:rPr>
        <w:t xml:space="preserve"> </w:t>
      </w:r>
      <w:r w:rsidRPr="00052E12">
        <w:rPr>
          <w:lang w:val="fr-FR"/>
        </w:rPr>
        <w:t>la primauté de la Constitution sur le droit coutumier n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 xml:space="preserve">est pas appliquée par </w:t>
      </w:r>
      <w:r w:rsidR="00FC5235">
        <w:rPr>
          <w:lang w:val="fr-FR"/>
        </w:rPr>
        <w:t>les tribunaux (art. </w:t>
      </w:r>
      <w:r w:rsidRPr="00052E12">
        <w:rPr>
          <w:lang w:val="fr-FR"/>
        </w:rPr>
        <w:t>2).</w:t>
      </w:r>
    </w:p>
    <w:p w:rsidR="004403D6" w:rsidRPr="00052E12" w:rsidRDefault="00F068AB" w:rsidP="00052E12">
      <w:pPr>
        <w:pStyle w:val="SingleTxtG"/>
        <w:rPr>
          <w:b/>
        </w:rPr>
      </w:pPr>
      <w:r w:rsidRPr="00052E12">
        <w:rPr>
          <w:lang w:val="fr-FR"/>
        </w:rPr>
        <w:t>11.</w:t>
      </w:r>
      <w:r w:rsidRPr="00052E12">
        <w:rPr>
          <w:lang w:val="fr-FR"/>
        </w:rPr>
        <w:tab/>
      </w:r>
      <w:r w:rsidRPr="00052E12">
        <w:rPr>
          <w:b/>
          <w:lang w:val="fr-FR"/>
        </w:rPr>
        <w:t>Rappelant son observation générale n</w:t>
      </w:r>
      <w:r w:rsidRPr="00052E12">
        <w:rPr>
          <w:b/>
          <w:vertAlign w:val="superscript"/>
          <w:lang w:val="fr-FR"/>
        </w:rPr>
        <w:t>o</w:t>
      </w:r>
      <w:r w:rsidR="00FC5235">
        <w:rPr>
          <w:b/>
          <w:lang w:val="fr-FR"/>
        </w:rPr>
        <w:t> </w:t>
      </w:r>
      <w:r w:rsidRPr="00052E12">
        <w:rPr>
          <w:b/>
          <w:lang w:val="fr-FR"/>
        </w:rPr>
        <w:t>31 (2004) sur la nature de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 xml:space="preserve">obligation </w:t>
      </w:r>
      <w:r w:rsidRPr="00052E12">
        <w:rPr>
          <w:b/>
          <w:lang w:val="fr-FR"/>
        </w:rPr>
        <w:t>juridique générale imposée aux États parties au Pacte, le Comité rappelle à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État partie qu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il e</w:t>
      </w:r>
      <w:r w:rsidR="00FC5235">
        <w:rPr>
          <w:b/>
          <w:lang w:val="fr-FR"/>
        </w:rPr>
        <w:t>st tenu, en vertu du paragraphe </w:t>
      </w:r>
      <w:r w:rsidRPr="00052E12">
        <w:rPr>
          <w:b/>
          <w:lang w:val="fr-FR"/>
        </w:rPr>
        <w:t>2 de l</w:t>
      </w:r>
      <w:r w:rsidR="00052E12" w:rsidRPr="00052E12">
        <w:rPr>
          <w:b/>
          <w:lang w:val="fr-FR"/>
        </w:rPr>
        <w:t>’</w:t>
      </w:r>
      <w:r w:rsidR="00FC5235">
        <w:rPr>
          <w:b/>
          <w:lang w:val="fr-FR"/>
        </w:rPr>
        <w:t>article </w:t>
      </w:r>
      <w:r w:rsidRPr="00052E12">
        <w:rPr>
          <w:b/>
          <w:lang w:val="fr-FR"/>
        </w:rPr>
        <w:t>2 du Pacte, de veiller à ce que la législation nationale, et en particulier les lois organiques, soient compatib</w:t>
      </w:r>
      <w:r w:rsidRPr="00052E12">
        <w:rPr>
          <w:b/>
          <w:lang w:val="fr-FR"/>
        </w:rPr>
        <w:t>les avec les dispositions du Pacte.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 xml:space="preserve">État partie devrait prendre des mesures, </w:t>
      </w:r>
      <w:r w:rsidRPr="00052E12">
        <w:rPr>
          <w:b/>
          <w:lang w:val="fr-FR"/>
        </w:rPr>
        <w:t>en mettant en place une commission de réforme législative ou en recourant à d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 xml:space="preserve">autres moyens, </w:t>
      </w:r>
      <w:r w:rsidRPr="00052E12">
        <w:rPr>
          <w:b/>
          <w:lang w:val="fr-FR"/>
        </w:rPr>
        <w:t>en vue</w:t>
      </w:r>
      <w:r w:rsidRPr="00052E12">
        <w:rPr>
          <w:b/>
          <w:lang w:val="fr-FR"/>
        </w:rPr>
        <w:t xml:space="preserve"> </w:t>
      </w:r>
      <w:r w:rsidRPr="00052E12">
        <w:rPr>
          <w:b/>
          <w:lang w:val="fr-FR"/>
        </w:rPr>
        <w:t>d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harmoniser de manière systématique le droit coutumier et l</w:t>
      </w:r>
      <w:r w:rsidRPr="00052E12">
        <w:rPr>
          <w:b/>
          <w:lang w:val="fr-FR"/>
        </w:rPr>
        <w:t xml:space="preserve">a </w:t>
      </w:r>
      <w:r w:rsidR="00B350F8" w:rsidRPr="00B350F8">
        <w:rPr>
          <w:b/>
          <w:i/>
          <w:lang w:val="fr-FR"/>
        </w:rPr>
        <w:t>common law</w:t>
      </w:r>
      <w:r w:rsidRPr="00052E12">
        <w:rPr>
          <w:b/>
          <w:lang w:val="fr-FR"/>
        </w:rPr>
        <w:t xml:space="preserve"> avec la Constitution et de garantir leur compatibilité avec les dispositions du Pacte. Il devrait également veiller à ce que les juges, les procureurs et les avocats dans tout le pays, y compris ceux qui officient dans des juridictions traditi</w:t>
      </w:r>
      <w:r w:rsidRPr="00052E12">
        <w:rPr>
          <w:b/>
          <w:lang w:val="fr-FR"/>
        </w:rPr>
        <w:t xml:space="preserve">onnelles, reçoivent une formation </w:t>
      </w:r>
      <w:r w:rsidRPr="00052E12">
        <w:rPr>
          <w:b/>
          <w:lang w:val="fr-FR"/>
        </w:rPr>
        <w:t>sur</w:t>
      </w:r>
      <w:r w:rsidRPr="00052E12">
        <w:rPr>
          <w:b/>
          <w:lang w:val="fr-FR"/>
        </w:rPr>
        <w:t xml:space="preserve"> la primauté de la Constitution.</w:t>
      </w:r>
    </w:p>
    <w:p w:rsidR="004403D6" w:rsidRPr="00052E12" w:rsidRDefault="00F068AB" w:rsidP="00052E12">
      <w:pPr>
        <w:pStyle w:val="H23G"/>
      </w:pPr>
      <w:r w:rsidRPr="00052E12">
        <w:rPr>
          <w:lang w:val="fr-FR"/>
        </w:rPr>
        <w:lastRenderedPageBreak/>
        <w:tab/>
      </w:r>
      <w:r w:rsidRPr="00052E12">
        <w:rPr>
          <w:lang w:val="fr-FR"/>
        </w:rPr>
        <w:tab/>
        <w:t xml:space="preserve">Accès à des voies de recours </w:t>
      </w:r>
      <w:bookmarkStart w:id="7" w:name="_Toc491177789"/>
      <w:bookmarkEnd w:id="7"/>
    </w:p>
    <w:p w:rsidR="004403D6" w:rsidRPr="00052E12" w:rsidRDefault="00F068AB" w:rsidP="00052E12">
      <w:pPr>
        <w:pStyle w:val="SingleTxtG"/>
      </w:pPr>
      <w:r w:rsidRPr="00052E12">
        <w:rPr>
          <w:lang w:val="fr-FR"/>
        </w:rPr>
        <w:t>12.</w:t>
      </w:r>
      <w:r w:rsidRPr="00052E12">
        <w:rPr>
          <w:lang w:val="fr-FR"/>
        </w:rPr>
        <w:tab/>
        <w:t>Le Comité s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 xml:space="preserve">inquiète de ce que </w:t>
      </w:r>
      <w:r w:rsidRPr="00052E12">
        <w:rPr>
          <w:lang w:val="fr-FR"/>
        </w:rPr>
        <w:t>la monarchie et les chefferies</w:t>
      </w:r>
      <w:r w:rsidRPr="00052E12">
        <w:rPr>
          <w:lang w:val="fr-FR"/>
        </w:rPr>
        <w:t>,</w:t>
      </w:r>
      <w:r w:rsidRPr="00052E12">
        <w:rPr>
          <w:lang w:val="fr-FR"/>
        </w:rPr>
        <w:t xml:space="preserve"> notamment,</w:t>
      </w:r>
      <w:r w:rsidRPr="00052E12">
        <w:rPr>
          <w:lang w:val="fr-FR"/>
        </w:rPr>
        <w:t xml:space="preserve"> ne soient pas soumis à la </w:t>
      </w:r>
      <w:r w:rsidRPr="00052E12">
        <w:rPr>
          <w:lang w:val="fr-FR"/>
        </w:rPr>
        <w:t>Constitution</w:t>
      </w:r>
      <w:r w:rsidRPr="00052E12">
        <w:rPr>
          <w:lang w:val="fr-FR"/>
        </w:rPr>
        <w:t xml:space="preserve">, ni au contrôle </w:t>
      </w:r>
      <w:r w:rsidRPr="00052E12">
        <w:rPr>
          <w:lang w:val="fr-FR"/>
        </w:rPr>
        <w:t>juridictionnel</w:t>
      </w:r>
      <w:r w:rsidRPr="00052E12">
        <w:rPr>
          <w:lang w:val="fr-FR"/>
        </w:rPr>
        <w:t>. Il est également préoccupé par les</w:t>
      </w:r>
      <w:r w:rsidRPr="00052E12">
        <w:rPr>
          <w:lang w:val="fr-FR"/>
        </w:rPr>
        <w:t xml:space="preserve"> informations selon lesquelles d</w:t>
      </w:r>
      <w:r w:rsidRPr="00052E12">
        <w:rPr>
          <w:lang w:val="fr-FR"/>
        </w:rPr>
        <w:t>es personnes qui ont été expulsées de force, en particulier de terres confiées en fiducie au nom de la nation swazie</w:t>
      </w:r>
      <w:r w:rsidRPr="00052E12">
        <w:rPr>
          <w:lang w:val="fr-FR"/>
        </w:rPr>
        <w:t xml:space="preserve">, </w:t>
      </w:r>
      <w:r w:rsidRPr="00052E12">
        <w:rPr>
          <w:lang w:val="fr-FR"/>
        </w:rPr>
        <w:t>n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 xml:space="preserve">ont </w:t>
      </w:r>
      <w:r w:rsidRPr="00052E12">
        <w:rPr>
          <w:lang w:val="fr-FR"/>
        </w:rPr>
        <w:t>pas pu obtenir une inde</w:t>
      </w:r>
      <w:r w:rsidRPr="00052E12">
        <w:rPr>
          <w:lang w:val="fr-FR"/>
        </w:rPr>
        <w:t>mnisation rapide et appropriée, malgré les garanties constitutionnelles existantes.</w:t>
      </w:r>
    </w:p>
    <w:p w:rsidR="004403D6" w:rsidRPr="00052E12" w:rsidRDefault="00F068AB" w:rsidP="00052E12">
      <w:pPr>
        <w:pStyle w:val="SingleTxtG"/>
        <w:rPr>
          <w:b/>
        </w:rPr>
      </w:pPr>
      <w:r w:rsidRPr="00052E12">
        <w:rPr>
          <w:lang w:val="fr-FR"/>
        </w:rPr>
        <w:t>13.</w:t>
      </w:r>
      <w:r w:rsidRPr="00052E12">
        <w:rPr>
          <w:lang w:val="fr-FR"/>
        </w:rPr>
        <w:tab/>
      </w:r>
      <w:r w:rsidRPr="00052E12">
        <w:rPr>
          <w:b/>
          <w:lang w:val="fr-FR"/>
        </w:rPr>
        <w:t>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État partie devrait veiller à ce que la Constitution soit appli</w:t>
      </w:r>
      <w:r w:rsidRPr="00052E12">
        <w:rPr>
          <w:b/>
          <w:lang w:val="fr-FR"/>
        </w:rPr>
        <w:t>cable</w:t>
      </w:r>
      <w:r w:rsidRPr="00052E12">
        <w:rPr>
          <w:b/>
          <w:lang w:val="fr-FR"/>
        </w:rPr>
        <w:t xml:space="preserve"> </w:t>
      </w:r>
      <w:r w:rsidRPr="00052E12">
        <w:rPr>
          <w:b/>
          <w:lang w:val="fr-FR"/>
        </w:rPr>
        <w:t>à toutes les personnes relevant de sa juridiction</w:t>
      </w:r>
      <w:r w:rsidRPr="00052E12">
        <w:rPr>
          <w:b/>
          <w:lang w:val="fr-FR"/>
        </w:rPr>
        <w:t>,</w:t>
      </w:r>
      <w:r w:rsidRPr="00052E12">
        <w:rPr>
          <w:b/>
          <w:lang w:val="fr-FR"/>
        </w:rPr>
        <w:t xml:space="preserve"> </w:t>
      </w:r>
      <w:r w:rsidRPr="00052E12">
        <w:rPr>
          <w:b/>
          <w:lang w:val="fr-FR"/>
        </w:rPr>
        <w:t>et</w:t>
      </w:r>
      <w:r w:rsidRPr="00052E12">
        <w:rPr>
          <w:b/>
          <w:lang w:val="fr-FR"/>
        </w:rPr>
        <w:t xml:space="preserve"> à ce que ces personnes disposent</w:t>
      </w:r>
      <w:r w:rsidRPr="00052E12">
        <w:rPr>
          <w:b/>
          <w:lang w:val="fr-FR"/>
        </w:rPr>
        <w:t xml:space="preserve"> </w:t>
      </w:r>
      <w:r w:rsidRPr="00052E12">
        <w:rPr>
          <w:b/>
          <w:lang w:val="fr-FR"/>
        </w:rPr>
        <w:t>de recours utiles</w:t>
      </w:r>
      <w:r w:rsidRPr="00052E12">
        <w:rPr>
          <w:b/>
          <w:lang w:val="fr-FR"/>
        </w:rPr>
        <w:t>. Il devrait également garantir que les personnes expulsées de terres non enregistrées ou de terres confiées en fiducie au nom de la nation s</w:t>
      </w:r>
      <w:r w:rsidRPr="00052E12">
        <w:rPr>
          <w:b/>
          <w:lang w:val="fr-FR"/>
        </w:rPr>
        <w:t>wazie</w:t>
      </w:r>
      <w:r w:rsidRPr="00052E12">
        <w:rPr>
          <w:b/>
          <w:lang w:val="fr-FR"/>
        </w:rPr>
        <w:t xml:space="preserve"> puissent accéder à d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autres terres ou reçoivent une indemnisation rapide et appropriée.</w:t>
      </w:r>
    </w:p>
    <w:p w:rsidR="004403D6" w:rsidRPr="00052E12" w:rsidRDefault="00F068AB" w:rsidP="00052E12">
      <w:pPr>
        <w:pStyle w:val="H23G"/>
      </w:pPr>
      <w:r w:rsidRPr="00052E12">
        <w:rPr>
          <w:lang w:val="fr-FR"/>
        </w:rPr>
        <w:tab/>
      </w:r>
      <w:r w:rsidRPr="00052E12">
        <w:rPr>
          <w:lang w:val="fr-FR"/>
        </w:rPr>
        <w:tab/>
        <w:t>Commission des droits de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homme et de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 xml:space="preserve">administration publique </w:t>
      </w:r>
      <w:bookmarkStart w:id="8" w:name="_Toc491177790"/>
      <w:bookmarkEnd w:id="8"/>
    </w:p>
    <w:p w:rsidR="004403D6" w:rsidRPr="00052E12" w:rsidRDefault="00F068AB" w:rsidP="00052E12">
      <w:pPr>
        <w:pStyle w:val="SingleTxtG"/>
      </w:pPr>
      <w:r w:rsidRPr="00052E12">
        <w:rPr>
          <w:lang w:val="fr-FR"/>
        </w:rPr>
        <w:t>14.</w:t>
      </w:r>
      <w:r w:rsidRPr="00052E12">
        <w:rPr>
          <w:lang w:val="fr-FR"/>
        </w:rPr>
        <w:tab/>
      </w:r>
      <w:r w:rsidRPr="00052E12">
        <w:rPr>
          <w:lang w:val="fr-FR"/>
        </w:rPr>
        <w:t>Le Comité pre</w:t>
      </w:r>
      <w:r w:rsidRPr="00052E12">
        <w:rPr>
          <w:lang w:val="fr-FR"/>
        </w:rPr>
        <w:t>nd</w:t>
      </w:r>
      <w:r w:rsidRPr="00052E12">
        <w:rPr>
          <w:lang w:val="fr-FR"/>
        </w:rPr>
        <w:t xml:space="preserve"> </w:t>
      </w:r>
      <w:r w:rsidRPr="00052E12">
        <w:rPr>
          <w:lang w:val="fr-FR"/>
        </w:rPr>
        <w:t xml:space="preserve">note des renseignements fournis par la délégation </w:t>
      </w:r>
      <w:r w:rsidRPr="00052E12">
        <w:rPr>
          <w:lang w:val="fr-FR"/>
        </w:rPr>
        <w:t xml:space="preserve">indiquant </w:t>
      </w:r>
      <w:r w:rsidRPr="00052E12">
        <w:rPr>
          <w:lang w:val="fr-FR"/>
        </w:rPr>
        <w:t>qu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un secréta</w:t>
      </w:r>
      <w:r w:rsidRPr="00052E12">
        <w:rPr>
          <w:lang w:val="fr-FR"/>
        </w:rPr>
        <w:t xml:space="preserve">riat a été mis en place pour rendre opérationnelle </w:t>
      </w:r>
      <w:r w:rsidRPr="00052E12">
        <w:rPr>
          <w:lang w:val="fr-FR"/>
        </w:rPr>
        <w:t>la Commission des droits de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homme et de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administration publique</w:t>
      </w:r>
      <w:r w:rsidRPr="00052E12">
        <w:rPr>
          <w:lang w:val="fr-FR"/>
        </w:rPr>
        <w:t xml:space="preserve"> et </w:t>
      </w:r>
      <w:r w:rsidRPr="00052E12">
        <w:rPr>
          <w:lang w:val="fr-FR"/>
        </w:rPr>
        <w:t xml:space="preserve">que </w:t>
      </w:r>
      <w:r w:rsidRPr="00052E12">
        <w:rPr>
          <w:lang w:val="fr-FR"/>
        </w:rPr>
        <w:t>des cas ont déjà été signalé</w:t>
      </w:r>
      <w:r w:rsidRPr="00052E12">
        <w:rPr>
          <w:lang w:val="fr-FR"/>
        </w:rPr>
        <w:t>s</w:t>
      </w:r>
      <w:r w:rsidRPr="00052E12">
        <w:rPr>
          <w:lang w:val="fr-FR"/>
        </w:rPr>
        <w:t xml:space="preserve"> à cette dernière, </w:t>
      </w:r>
      <w:r w:rsidRPr="00052E12">
        <w:rPr>
          <w:lang w:val="fr-FR"/>
        </w:rPr>
        <w:t>mais il</w:t>
      </w:r>
      <w:r w:rsidRPr="00052E12">
        <w:rPr>
          <w:lang w:val="fr-FR"/>
        </w:rPr>
        <w:t xml:space="preserve"> regret</w:t>
      </w:r>
      <w:r w:rsidRPr="00052E12">
        <w:rPr>
          <w:lang w:val="fr-FR"/>
        </w:rPr>
        <w:t>te qu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aucune législation d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habilitation</w:t>
      </w:r>
      <w:r w:rsidRPr="00052E12">
        <w:rPr>
          <w:lang w:val="fr-FR"/>
        </w:rPr>
        <w:t xml:space="preserve"> </w:t>
      </w:r>
      <w:r w:rsidRPr="00052E12">
        <w:rPr>
          <w:lang w:val="fr-FR"/>
        </w:rPr>
        <w:t>n</w:t>
      </w:r>
      <w:r w:rsidR="00052E12" w:rsidRPr="00052E12">
        <w:rPr>
          <w:lang w:val="fr-FR"/>
        </w:rPr>
        <w:t>’</w:t>
      </w:r>
      <w:r w:rsidR="00052E12">
        <w:rPr>
          <w:lang w:val="fr-FR"/>
        </w:rPr>
        <w:t>ait encore été adoptée (art. </w:t>
      </w:r>
      <w:r w:rsidRPr="00052E12">
        <w:rPr>
          <w:lang w:val="fr-FR"/>
        </w:rPr>
        <w:t>2).</w:t>
      </w:r>
    </w:p>
    <w:p w:rsidR="004403D6" w:rsidRPr="00052E12" w:rsidRDefault="00F068AB" w:rsidP="00052E12">
      <w:pPr>
        <w:pStyle w:val="SingleTxtG"/>
        <w:rPr>
          <w:b/>
        </w:rPr>
      </w:pPr>
      <w:r w:rsidRPr="00052E12">
        <w:rPr>
          <w:lang w:val="fr-FR"/>
        </w:rPr>
        <w:t>15.</w:t>
      </w:r>
      <w:r w:rsidRPr="00052E12">
        <w:rPr>
          <w:lang w:val="fr-FR"/>
        </w:rPr>
        <w:tab/>
      </w:r>
      <w:r w:rsidRPr="00052E12">
        <w:rPr>
          <w:b/>
          <w:lang w:val="fr-FR"/>
        </w:rPr>
        <w:t>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État partie devrait adopter une loi habilitant officiellement la Commission des droits de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homme et de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administration publique à agir en tant qu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 xml:space="preserve">institution nationale des </w:t>
      </w:r>
      <w:r w:rsidRPr="00052E12">
        <w:rPr>
          <w:b/>
          <w:lang w:val="fr-FR"/>
        </w:rPr>
        <w:t>droits de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homme, conformément aux Principes concernant le statut des institutions nationales pour la promotion et la protection des droits de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homme (Principes de Paris)</w:t>
      </w:r>
      <w:r w:rsidRPr="00052E12">
        <w:rPr>
          <w:b/>
          <w:lang w:val="fr-FR"/>
        </w:rPr>
        <w:t xml:space="preserve">. </w:t>
      </w:r>
      <w:r w:rsidRPr="00052E12">
        <w:rPr>
          <w:b/>
          <w:lang w:val="fr-FR"/>
        </w:rPr>
        <w:t>Il</w:t>
      </w:r>
      <w:r w:rsidRPr="00052E12">
        <w:rPr>
          <w:b/>
          <w:lang w:val="fr-FR"/>
        </w:rPr>
        <w:t xml:space="preserve"> devrait veiller à ce que la Commission soit suffisamment ind</w:t>
      </w:r>
      <w:r w:rsidRPr="00052E12">
        <w:rPr>
          <w:b/>
          <w:lang w:val="fr-FR"/>
        </w:rPr>
        <w:t xml:space="preserve">épendante et bénéficie des ressources humaines et financières </w:t>
      </w:r>
      <w:r w:rsidRPr="00052E12">
        <w:rPr>
          <w:b/>
          <w:lang w:val="fr-FR"/>
        </w:rPr>
        <w:t>nécessaires</w:t>
      </w:r>
      <w:r w:rsidRPr="00052E12">
        <w:rPr>
          <w:b/>
          <w:lang w:val="fr-FR"/>
        </w:rPr>
        <w:t xml:space="preserve"> </w:t>
      </w:r>
      <w:r w:rsidRPr="00052E12">
        <w:rPr>
          <w:b/>
          <w:lang w:val="fr-FR"/>
        </w:rPr>
        <w:t>pour s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acquitter de son mandat, à ce qu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un mécanisme de plaintes efficace soit mis en place et à ce que les cas signalés fassent rapidement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objet d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une enquête de la Comm</w:t>
      </w:r>
      <w:r w:rsidRPr="00052E12">
        <w:rPr>
          <w:b/>
          <w:lang w:val="fr-FR"/>
        </w:rPr>
        <w:t>ission afin qu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ils puissent être résolus et que les victimes puissent recevoir une réparation intégrale.</w:t>
      </w:r>
    </w:p>
    <w:p w:rsidR="004403D6" w:rsidRPr="00052E12" w:rsidRDefault="00F068AB" w:rsidP="002F1F54">
      <w:pPr>
        <w:pStyle w:val="H23G"/>
      </w:pPr>
      <w:r w:rsidRPr="00052E12">
        <w:rPr>
          <w:lang w:val="fr-FR"/>
        </w:rPr>
        <w:tab/>
      </w:r>
      <w:r w:rsidRPr="00052E12">
        <w:rPr>
          <w:lang w:val="fr-FR"/>
        </w:rPr>
        <w:tab/>
        <w:t>Dangers publics exceptionnels</w:t>
      </w:r>
      <w:r w:rsidRPr="00052E12">
        <w:rPr>
          <w:lang w:val="fr-FR"/>
        </w:rPr>
        <w:t xml:space="preserve"> et Proclamation royale de 1973</w:t>
      </w:r>
      <w:bookmarkStart w:id="9" w:name="_Toc491177791"/>
      <w:bookmarkEnd w:id="9"/>
    </w:p>
    <w:p w:rsidR="004403D6" w:rsidRPr="00052E12" w:rsidRDefault="00F068AB" w:rsidP="00052E12">
      <w:pPr>
        <w:pStyle w:val="SingleTxtG"/>
      </w:pPr>
      <w:r w:rsidRPr="00052E12">
        <w:rPr>
          <w:lang w:val="fr-FR"/>
        </w:rPr>
        <w:t>16.</w:t>
      </w:r>
      <w:r w:rsidRPr="00052E12">
        <w:rPr>
          <w:lang w:val="fr-FR"/>
        </w:rPr>
        <w:tab/>
        <w:t xml:space="preserve">Le Comité est préoccupé </w:t>
      </w:r>
      <w:r w:rsidRPr="00052E12">
        <w:rPr>
          <w:lang w:val="fr-FR"/>
        </w:rPr>
        <w:t>par le fait</w:t>
      </w:r>
      <w:r w:rsidRPr="00052E12">
        <w:rPr>
          <w:lang w:val="fr-FR"/>
        </w:rPr>
        <w:t xml:space="preserve"> que certains des motifs qui peuvent être invoqués pour proclamer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état d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urgence en application de l</w:t>
      </w:r>
      <w:r w:rsidR="00052E12" w:rsidRPr="00052E12">
        <w:rPr>
          <w:lang w:val="fr-FR"/>
        </w:rPr>
        <w:t>’</w:t>
      </w:r>
      <w:r w:rsidR="00FC5235">
        <w:rPr>
          <w:lang w:val="fr-FR"/>
        </w:rPr>
        <w:t>article </w:t>
      </w:r>
      <w:r w:rsidRPr="00052E12">
        <w:rPr>
          <w:lang w:val="fr-FR"/>
        </w:rPr>
        <w:t>36 de la Constitution ne sont pas compatibles avec l</w:t>
      </w:r>
      <w:r w:rsidR="00052E12" w:rsidRPr="00052E12">
        <w:rPr>
          <w:lang w:val="fr-FR"/>
        </w:rPr>
        <w:t>’</w:t>
      </w:r>
      <w:r w:rsidR="00FC5235">
        <w:rPr>
          <w:lang w:val="fr-FR"/>
        </w:rPr>
        <w:t>article </w:t>
      </w:r>
      <w:r w:rsidRPr="00052E12">
        <w:rPr>
          <w:lang w:val="fr-FR"/>
        </w:rPr>
        <w:t>4 du Pacte</w:t>
      </w:r>
      <w:r w:rsidRPr="00052E12">
        <w:rPr>
          <w:lang w:val="fr-FR"/>
        </w:rPr>
        <w:t>,</w:t>
      </w:r>
      <w:r w:rsidRPr="00052E12">
        <w:rPr>
          <w:lang w:val="fr-FR"/>
        </w:rPr>
        <w:t xml:space="preserve"> en ce sens qu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ils ne sont pas forcément conformes au principe qui veut q</w:t>
      </w:r>
      <w:r w:rsidRPr="00052E12">
        <w:rPr>
          <w:lang w:val="fr-FR"/>
        </w:rPr>
        <w:t>ue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 xml:space="preserve">existence de la nation soit menacée. Il est également préoccupé </w:t>
      </w:r>
      <w:r w:rsidRPr="00052E12">
        <w:rPr>
          <w:lang w:val="fr-FR"/>
        </w:rPr>
        <w:t>par le fait</w:t>
      </w:r>
      <w:r w:rsidRPr="00052E12">
        <w:rPr>
          <w:lang w:val="fr-FR"/>
        </w:rPr>
        <w:t xml:space="preserve"> que les droits énoncés dans la Constitution </w:t>
      </w:r>
      <w:r w:rsidRPr="00052E12">
        <w:rPr>
          <w:lang w:val="fr-FR"/>
        </w:rPr>
        <w:t xml:space="preserve">qui sont indiqués </w:t>
      </w:r>
      <w:r w:rsidRPr="00052E12">
        <w:rPr>
          <w:lang w:val="fr-FR"/>
        </w:rPr>
        <w:t>comme non susceptibles de dérogation n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incluent pas tous le</w:t>
      </w:r>
      <w:r w:rsidR="00FC5235">
        <w:rPr>
          <w:lang w:val="fr-FR"/>
        </w:rPr>
        <w:t>s droits énumérés au paragraphe </w:t>
      </w:r>
      <w:r w:rsidRPr="00052E12">
        <w:rPr>
          <w:lang w:val="fr-FR"/>
        </w:rPr>
        <w:t xml:space="preserve">2 </w:t>
      </w:r>
      <w:r w:rsidRPr="00052E12">
        <w:rPr>
          <w:lang w:val="fr-FR"/>
        </w:rPr>
        <w:t>de l</w:t>
      </w:r>
      <w:r w:rsidR="00052E12" w:rsidRPr="00052E12">
        <w:rPr>
          <w:lang w:val="fr-FR"/>
        </w:rPr>
        <w:t>’</w:t>
      </w:r>
      <w:r w:rsidR="00FC5235">
        <w:rPr>
          <w:lang w:val="fr-FR"/>
        </w:rPr>
        <w:t>article </w:t>
      </w:r>
      <w:r w:rsidRPr="00052E12">
        <w:rPr>
          <w:lang w:val="fr-FR"/>
        </w:rPr>
        <w:t>4 du Pacte. Bien que prenant note de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explication fournie par la délégation du Swaziland selon laquelle la Constitution de 2005 a remplacé la Proclamation royale de 1973, qui n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est donc plus en vigueur, le Comité relève qu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 xml:space="preserve">il existe </w:t>
      </w:r>
      <w:r w:rsidRPr="00052E12">
        <w:rPr>
          <w:lang w:val="fr-FR"/>
        </w:rPr>
        <w:t>une certa</w:t>
      </w:r>
      <w:r w:rsidRPr="00052E12">
        <w:rPr>
          <w:lang w:val="fr-FR"/>
        </w:rPr>
        <w:t>ine confusion quant à la préséance que pourrait continuer à avoir la Proclamation dans la mesure où elle n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a pas été officiellement abrogée. Le Comité est en outre préoccupé par les informations selon lesquelles des agents des forces de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ordre se prévaudr</w:t>
      </w:r>
      <w:r w:rsidRPr="00052E12">
        <w:rPr>
          <w:lang w:val="fr-FR"/>
        </w:rPr>
        <w:t xml:space="preserve">aient de la Proclamation royale </w:t>
      </w:r>
      <w:r w:rsidRPr="00052E12">
        <w:rPr>
          <w:lang w:val="fr-FR"/>
        </w:rPr>
        <w:t xml:space="preserve">de 1973 </w:t>
      </w:r>
      <w:r w:rsidRPr="00052E12">
        <w:rPr>
          <w:lang w:val="fr-FR"/>
        </w:rPr>
        <w:t>pour réduire les opposa</w:t>
      </w:r>
      <w:r w:rsidR="00FC5235">
        <w:rPr>
          <w:lang w:val="fr-FR"/>
        </w:rPr>
        <w:t>nts politiques au silence (art. </w:t>
      </w:r>
      <w:r w:rsidRPr="00052E12">
        <w:rPr>
          <w:lang w:val="fr-FR"/>
        </w:rPr>
        <w:t xml:space="preserve">4). </w:t>
      </w:r>
    </w:p>
    <w:p w:rsidR="004403D6" w:rsidRPr="00052E12" w:rsidRDefault="00F068AB" w:rsidP="00052E12">
      <w:pPr>
        <w:pStyle w:val="SingleTxtG"/>
        <w:rPr>
          <w:b/>
        </w:rPr>
      </w:pPr>
      <w:r w:rsidRPr="00052E12">
        <w:rPr>
          <w:lang w:val="fr-FR"/>
        </w:rPr>
        <w:t>17.</w:t>
      </w:r>
      <w:r w:rsidRPr="00052E12">
        <w:rPr>
          <w:lang w:val="fr-FR"/>
        </w:rPr>
        <w:tab/>
      </w:r>
      <w:r w:rsidRPr="00052E12">
        <w:rPr>
          <w:b/>
          <w:lang w:val="fr-FR"/>
        </w:rPr>
        <w:t>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État partie devrait veiller en droit et en fait à ce qu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il ne puisse être dérogé d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 xml:space="preserve">aucune manière aux droits énoncés dans le Pacte, hormis dans les </w:t>
      </w:r>
      <w:r w:rsidRPr="00052E12">
        <w:rPr>
          <w:b/>
          <w:lang w:val="fr-FR"/>
        </w:rPr>
        <w:t>circonstances strictement prévues à l</w:t>
      </w:r>
      <w:r w:rsidR="00052E12" w:rsidRPr="00052E12">
        <w:rPr>
          <w:b/>
          <w:lang w:val="fr-FR"/>
        </w:rPr>
        <w:t>’</w:t>
      </w:r>
      <w:r w:rsidR="00FC5235">
        <w:rPr>
          <w:b/>
          <w:lang w:val="fr-FR"/>
        </w:rPr>
        <w:t>article </w:t>
      </w:r>
      <w:r w:rsidRPr="00052E12">
        <w:rPr>
          <w:b/>
          <w:lang w:val="fr-FR"/>
        </w:rPr>
        <w:t xml:space="preserve">4 </w:t>
      </w:r>
      <w:r w:rsidRPr="00052E12">
        <w:rPr>
          <w:b/>
          <w:lang w:val="fr-FR"/>
        </w:rPr>
        <w:t>de ce dernier,</w:t>
      </w:r>
      <w:r w:rsidRPr="00052E12">
        <w:rPr>
          <w:b/>
          <w:lang w:val="fr-FR"/>
        </w:rPr>
        <w:t xml:space="preserve"> et à ce que la Constitution reconnaisse tous les droits auxquels il ne saurait être dérogé.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État partie devrait officiellement abroger la Proclamation royale de 1973 et veiller à ce qu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elle n</w:t>
      </w:r>
      <w:r w:rsidRPr="00052E12">
        <w:rPr>
          <w:b/>
          <w:lang w:val="fr-FR"/>
        </w:rPr>
        <w:t>e soit pas utilisée pour réduire les opposants politiques au silence.</w:t>
      </w:r>
    </w:p>
    <w:p w:rsidR="004403D6" w:rsidRPr="00052E12" w:rsidRDefault="00F068AB" w:rsidP="002F1F54">
      <w:pPr>
        <w:pStyle w:val="H23G"/>
      </w:pPr>
      <w:r w:rsidRPr="00052E12">
        <w:rPr>
          <w:lang w:val="fr-FR"/>
        </w:rPr>
        <w:tab/>
      </w:r>
      <w:r w:rsidRPr="00052E12">
        <w:rPr>
          <w:lang w:val="fr-FR"/>
        </w:rPr>
        <w:tab/>
        <w:t>Discrimination et violence fondées sur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orientation sexuelle</w:t>
      </w:r>
      <w:r w:rsidRPr="00052E12">
        <w:rPr>
          <w:lang w:val="fr-FR"/>
        </w:rPr>
        <w:t xml:space="preserve"> et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identité de genre</w:t>
      </w:r>
      <w:bookmarkStart w:id="10" w:name="_Toc491177792"/>
      <w:bookmarkEnd w:id="10"/>
    </w:p>
    <w:p w:rsidR="004403D6" w:rsidRPr="00052E12" w:rsidRDefault="00F068AB" w:rsidP="00052E12">
      <w:pPr>
        <w:pStyle w:val="SingleTxtG"/>
      </w:pPr>
      <w:r w:rsidRPr="00052E12">
        <w:rPr>
          <w:lang w:val="fr-FR"/>
        </w:rPr>
        <w:t>18.</w:t>
      </w:r>
      <w:r w:rsidRPr="00052E12">
        <w:rPr>
          <w:lang w:val="fr-FR"/>
        </w:rPr>
        <w:tab/>
        <w:t>Le Comité note avec préoccupation que la discrimination fondée sur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orientation sexuelle</w:t>
      </w:r>
      <w:r w:rsidRPr="00052E12">
        <w:rPr>
          <w:lang w:val="fr-FR"/>
        </w:rPr>
        <w:t xml:space="preserve"> et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identité de genre n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est pas formellement interdite par la Constitution ou par les lois de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 xml:space="preserve">État partie. Il prend également note avec </w:t>
      </w:r>
      <w:r w:rsidRPr="00052E12">
        <w:rPr>
          <w:lang w:val="fr-FR"/>
        </w:rPr>
        <w:t>inquiétude</w:t>
      </w:r>
      <w:r w:rsidRPr="00052E12">
        <w:rPr>
          <w:lang w:val="fr-FR"/>
        </w:rPr>
        <w:t xml:space="preserve"> des informations selon lesquelles les lesbiennes, gays, bisexuels, transgenres et intersexués (LGBTI) </w:t>
      </w:r>
      <w:r w:rsidRPr="00052E12">
        <w:rPr>
          <w:lang w:val="fr-FR"/>
        </w:rPr>
        <w:t>sont souvent confrontés à la discrimination, en particulier en matière de logement et d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 xml:space="preserve">emploi. Il est en </w:t>
      </w:r>
      <w:r w:rsidRPr="00052E12">
        <w:rPr>
          <w:lang w:val="fr-FR"/>
        </w:rPr>
        <w:lastRenderedPageBreak/>
        <w:t>outre préoccupé par les informations faisant état d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actes de violence à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égard de LGBTI, notamment de deux meurtres qui seraient directement liés à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orientation sexuelle des victimes et du viol d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un homosexuel en détention. S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il prend note de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affirmation de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État partie selon laquelle, dans la pratique,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 xml:space="preserve">incrimination des relations homosexuelles entre hommes (sodomie) par la </w:t>
      </w:r>
      <w:r w:rsidR="00B350F8" w:rsidRPr="00B350F8">
        <w:rPr>
          <w:i/>
          <w:lang w:val="fr-FR"/>
        </w:rPr>
        <w:t>common law</w:t>
      </w:r>
      <w:r w:rsidRPr="00052E12">
        <w:rPr>
          <w:lang w:val="fr-FR"/>
        </w:rPr>
        <w:t xml:space="preserve"> n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est pas a</w:t>
      </w:r>
      <w:r w:rsidRPr="00052E12">
        <w:rPr>
          <w:lang w:val="fr-FR"/>
        </w:rPr>
        <w:t>ppliquée, le Comité est préoccupé par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intention déclarée de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État partie de ne pas abroger la loi en cause et par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effet discriminatoire que celle-ci continue d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avoir pour les LGBTI (art. </w:t>
      </w:r>
      <w:r w:rsidRPr="00052E12">
        <w:rPr>
          <w:lang w:val="fr-FR"/>
        </w:rPr>
        <w:t>2, 6, 7, 17 et 26).</w:t>
      </w:r>
    </w:p>
    <w:p w:rsidR="004403D6" w:rsidRPr="00052E12" w:rsidRDefault="00F068AB" w:rsidP="00052E12">
      <w:pPr>
        <w:pStyle w:val="SingleTxtG"/>
        <w:rPr>
          <w:b/>
        </w:rPr>
      </w:pPr>
      <w:r w:rsidRPr="00052E12">
        <w:rPr>
          <w:lang w:val="fr-FR"/>
        </w:rPr>
        <w:t>19.</w:t>
      </w:r>
      <w:r w:rsidRPr="00052E12">
        <w:rPr>
          <w:lang w:val="fr-FR"/>
        </w:rPr>
        <w:tab/>
      </w:r>
      <w:r w:rsidRPr="00052E12">
        <w:rPr>
          <w:b/>
          <w:lang w:val="fr-FR"/>
        </w:rPr>
        <w:t>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État partie devrait revoir ses lois de</w:t>
      </w:r>
      <w:r w:rsidRPr="00052E12">
        <w:rPr>
          <w:b/>
          <w:lang w:val="fr-FR"/>
        </w:rPr>
        <w:t xml:space="preserve"> manière à interdire formellement la discrimination fondée sur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orientation sexuelle et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identité de genre en toutes circonstances</w:t>
      </w:r>
      <w:r w:rsidRPr="00052E12">
        <w:rPr>
          <w:b/>
          <w:lang w:val="fr-FR"/>
        </w:rPr>
        <w:t>,</w:t>
      </w:r>
      <w:r w:rsidRPr="00052E12">
        <w:rPr>
          <w:b/>
          <w:lang w:val="fr-FR"/>
        </w:rPr>
        <w:t xml:space="preserve"> et prendre les mesures nécessaires pour que les personnes concernées puissent jouir pleinement de tous les droits fondamen</w:t>
      </w:r>
      <w:r w:rsidRPr="00052E12">
        <w:rPr>
          <w:b/>
          <w:lang w:val="fr-FR"/>
        </w:rPr>
        <w:t>taux consacrés par</w:t>
      </w:r>
      <w:r w:rsidR="002F1F54">
        <w:rPr>
          <w:b/>
          <w:lang w:val="fr-FR"/>
        </w:rPr>
        <w:t xml:space="preserve"> le Pacte. Il devrait également</w:t>
      </w:r>
      <w:r w:rsidR="00091812">
        <w:rPr>
          <w:b/>
          <w:lang w:val="fr-FR"/>
        </w:rPr>
        <w:t> :</w:t>
      </w:r>
    </w:p>
    <w:p w:rsidR="004403D6" w:rsidRPr="00052E12" w:rsidRDefault="00F068AB" w:rsidP="00052E12">
      <w:pPr>
        <w:pStyle w:val="SingleTxtG"/>
        <w:rPr>
          <w:b/>
        </w:rPr>
      </w:pPr>
      <w:r w:rsidRPr="002F1F54">
        <w:rPr>
          <w:b/>
          <w:lang w:val="fr-FR"/>
        </w:rPr>
        <w:tab/>
        <w:t>a)</w:t>
      </w:r>
      <w:r w:rsidRPr="002F1F54">
        <w:rPr>
          <w:b/>
          <w:lang w:val="fr-FR"/>
        </w:rPr>
        <w:tab/>
      </w:r>
      <w:r w:rsidRPr="00052E12">
        <w:rPr>
          <w:b/>
          <w:lang w:val="fr-FR"/>
        </w:rPr>
        <w:t>Combattre énergiquement les stéréotypes et les attitudes négatives fondés sur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orientation sexuelle et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identité de genre d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autrui</w:t>
      </w:r>
      <w:r w:rsidR="00091812">
        <w:rPr>
          <w:b/>
          <w:lang w:val="fr-FR"/>
        </w:rPr>
        <w:t> ;</w:t>
      </w:r>
      <w:r w:rsidRPr="00052E12">
        <w:rPr>
          <w:lang w:val="fr-FR"/>
        </w:rPr>
        <w:t xml:space="preserve"> </w:t>
      </w:r>
    </w:p>
    <w:p w:rsidR="004403D6" w:rsidRPr="00052E12" w:rsidRDefault="00F068AB" w:rsidP="00052E12">
      <w:pPr>
        <w:pStyle w:val="SingleTxtG"/>
        <w:rPr>
          <w:b/>
        </w:rPr>
      </w:pPr>
      <w:r w:rsidRPr="002F1F54">
        <w:rPr>
          <w:b/>
          <w:lang w:val="fr-FR"/>
        </w:rPr>
        <w:tab/>
        <w:t>b)</w:t>
      </w:r>
      <w:r w:rsidRPr="002F1F54">
        <w:rPr>
          <w:b/>
          <w:lang w:val="fr-FR"/>
        </w:rPr>
        <w:tab/>
      </w:r>
      <w:r w:rsidRPr="00052E12">
        <w:rPr>
          <w:b/>
          <w:lang w:val="fr-FR"/>
        </w:rPr>
        <w:t xml:space="preserve">Former et sensibiliser les agents de police, les </w:t>
      </w:r>
      <w:r w:rsidRPr="00052E12">
        <w:rPr>
          <w:b/>
          <w:lang w:val="fr-FR"/>
        </w:rPr>
        <w:t>procureurs</w:t>
      </w:r>
      <w:r w:rsidRPr="00052E12">
        <w:rPr>
          <w:b/>
          <w:lang w:val="fr-FR"/>
        </w:rPr>
        <w:t xml:space="preserve"> </w:t>
      </w:r>
      <w:r w:rsidRPr="00052E12">
        <w:rPr>
          <w:b/>
          <w:lang w:val="fr-FR"/>
        </w:rPr>
        <w:t>et le personnel de justice afin qu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ils soient à même de repérer la discrimination et les actes de violence visant les LGBTI</w:t>
      </w:r>
      <w:r w:rsidR="00091812">
        <w:rPr>
          <w:b/>
          <w:lang w:val="fr-FR"/>
        </w:rPr>
        <w:t> ;</w:t>
      </w:r>
      <w:r w:rsidRPr="00052E12">
        <w:rPr>
          <w:lang w:val="fr-FR"/>
        </w:rPr>
        <w:t xml:space="preserve"> </w:t>
      </w:r>
    </w:p>
    <w:p w:rsidR="004403D6" w:rsidRPr="00052E12" w:rsidRDefault="00F068AB" w:rsidP="00052E12">
      <w:pPr>
        <w:pStyle w:val="SingleTxtG"/>
        <w:rPr>
          <w:b/>
        </w:rPr>
      </w:pPr>
      <w:r w:rsidRPr="002F1F54">
        <w:rPr>
          <w:b/>
          <w:lang w:val="fr-FR"/>
        </w:rPr>
        <w:tab/>
        <w:t>c)</w:t>
      </w:r>
      <w:r w:rsidRPr="002F1F54">
        <w:rPr>
          <w:b/>
          <w:lang w:val="fr-FR"/>
        </w:rPr>
        <w:tab/>
      </w:r>
      <w:r w:rsidRPr="00052E12">
        <w:rPr>
          <w:b/>
          <w:lang w:val="fr-FR"/>
        </w:rPr>
        <w:t>Adopter une législation interdisant explicitement les infractions motivées par la haine</w:t>
      </w:r>
      <w:r w:rsidRPr="00052E12">
        <w:rPr>
          <w:b/>
          <w:lang w:val="fr-FR"/>
        </w:rPr>
        <w:t xml:space="preserve"> visant des LGBTI</w:t>
      </w:r>
      <w:r w:rsidR="00091812">
        <w:rPr>
          <w:b/>
          <w:lang w:val="fr-FR"/>
        </w:rPr>
        <w:t> ;</w:t>
      </w:r>
      <w:r w:rsidRPr="00052E12">
        <w:rPr>
          <w:lang w:val="fr-FR"/>
        </w:rPr>
        <w:t xml:space="preserve"> </w:t>
      </w:r>
    </w:p>
    <w:p w:rsidR="004403D6" w:rsidRPr="00052E12" w:rsidRDefault="00F068AB" w:rsidP="00052E12">
      <w:pPr>
        <w:pStyle w:val="SingleTxtG"/>
        <w:rPr>
          <w:b/>
        </w:rPr>
      </w:pPr>
      <w:r w:rsidRPr="002F1F54">
        <w:rPr>
          <w:b/>
          <w:lang w:val="fr-FR"/>
        </w:rPr>
        <w:tab/>
        <w:t>d)</w:t>
      </w:r>
      <w:r w:rsidRPr="002F1F54">
        <w:rPr>
          <w:b/>
          <w:lang w:val="fr-FR"/>
        </w:rPr>
        <w:tab/>
      </w:r>
      <w:r w:rsidRPr="00052E12">
        <w:rPr>
          <w:b/>
          <w:lang w:val="fr-FR"/>
        </w:rPr>
        <w:t>Prendre de</w:t>
      </w:r>
      <w:r w:rsidRPr="00052E12">
        <w:rPr>
          <w:b/>
          <w:lang w:val="fr-FR"/>
        </w:rPr>
        <w:t xml:space="preserve">s mesures énergiques pour </w:t>
      </w:r>
      <w:r w:rsidRPr="00052E12">
        <w:rPr>
          <w:b/>
          <w:lang w:val="fr-FR"/>
        </w:rPr>
        <w:t xml:space="preserve">réellement </w:t>
      </w:r>
      <w:r w:rsidRPr="00052E12">
        <w:rPr>
          <w:b/>
          <w:lang w:val="fr-FR"/>
        </w:rPr>
        <w:t>prévenir les actes de discrimination et de violence à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 xml:space="preserve">égard de ces personnes, et </w:t>
      </w:r>
      <w:r w:rsidRPr="00052E12">
        <w:rPr>
          <w:b/>
          <w:lang w:val="fr-FR"/>
        </w:rPr>
        <w:t>faire en sorte</w:t>
      </w:r>
      <w:r w:rsidRPr="00052E12">
        <w:rPr>
          <w:b/>
          <w:lang w:val="fr-FR"/>
        </w:rPr>
        <w:t xml:space="preserve"> que tous les actes de violence les visant fassent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objet d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 xml:space="preserve">une enquête efficace, </w:t>
      </w:r>
      <w:r w:rsidRPr="00052E12">
        <w:rPr>
          <w:b/>
          <w:lang w:val="fr-FR"/>
        </w:rPr>
        <w:t xml:space="preserve">que leurs auteurs soient traduits en justice et dûment sanctionnés, et </w:t>
      </w:r>
      <w:r w:rsidRPr="00052E12">
        <w:rPr>
          <w:b/>
          <w:lang w:val="fr-FR"/>
        </w:rPr>
        <w:t>que les victimes soient indemnisées.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 xml:space="preserve">État partie devrait également collecter des données </w:t>
      </w:r>
      <w:r w:rsidRPr="00052E12">
        <w:rPr>
          <w:b/>
          <w:lang w:val="fr-FR"/>
        </w:rPr>
        <w:t>complètes</w:t>
      </w:r>
      <w:r w:rsidRPr="00052E12">
        <w:rPr>
          <w:b/>
          <w:lang w:val="fr-FR"/>
        </w:rPr>
        <w:t xml:space="preserve"> </w:t>
      </w:r>
      <w:r w:rsidRPr="00052E12">
        <w:rPr>
          <w:b/>
          <w:lang w:val="fr-FR"/>
        </w:rPr>
        <w:t>sur les cas de violence motivée par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orientation sexuelle ou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ide</w:t>
      </w:r>
      <w:r w:rsidRPr="00052E12">
        <w:rPr>
          <w:b/>
          <w:lang w:val="fr-FR"/>
        </w:rPr>
        <w:t>ntité de genre des victimes</w:t>
      </w:r>
      <w:r w:rsidR="00091812">
        <w:rPr>
          <w:b/>
          <w:lang w:val="fr-FR"/>
        </w:rPr>
        <w:t> ;</w:t>
      </w:r>
    </w:p>
    <w:p w:rsidR="004403D6" w:rsidRPr="00052E12" w:rsidRDefault="002F1F54" w:rsidP="00052E12">
      <w:pPr>
        <w:pStyle w:val="SingleTxtG"/>
        <w:rPr>
          <w:b/>
        </w:rPr>
      </w:pPr>
      <w:r>
        <w:tab/>
      </w:r>
      <w:r w:rsidR="00F068AB" w:rsidRPr="002F1F54">
        <w:rPr>
          <w:b/>
          <w:lang w:val="fr-FR"/>
        </w:rPr>
        <w:t>e)</w:t>
      </w:r>
      <w:r w:rsidR="00F068AB" w:rsidRPr="002F1F54">
        <w:rPr>
          <w:b/>
          <w:lang w:val="fr-FR"/>
        </w:rPr>
        <w:tab/>
      </w:r>
      <w:r w:rsidR="00F068AB" w:rsidRPr="00052E12">
        <w:rPr>
          <w:b/>
          <w:lang w:val="fr-FR"/>
        </w:rPr>
        <w:t>Ériger en infraction les viols commis sur des hommes et supprimer l</w:t>
      </w:r>
      <w:r w:rsidR="00052E12" w:rsidRPr="00052E12">
        <w:rPr>
          <w:b/>
          <w:lang w:val="fr-FR"/>
        </w:rPr>
        <w:t>’</w:t>
      </w:r>
      <w:r w:rsidR="00F068AB" w:rsidRPr="00052E12">
        <w:rPr>
          <w:b/>
          <w:lang w:val="fr-FR"/>
        </w:rPr>
        <w:t xml:space="preserve">infraction de sodomie prévue par la </w:t>
      </w:r>
      <w:r w:rsidR="00B350F8" w:rsidRPr="00B350F8">
        <w:rPr>
          <w:b/>
          <w:i/>
          <w:lang w:val="fr-FR"/>
        </w:rPr>
        <w:t>common law</w:t>
      </w:r>
      <w:r w:rsidR="00F068AB" w:rsidRPr="00052E12">
        <w:rPr>
          <w:b/>
          <w:lang w:val="fr-FR"/>
        </w:rPr>
        <w:t>.</w:t>
      </w:r>
      <w:r w:rsidR="00F068AB" w:rsidRPr="00052E12">
        <w:rPr>
          <w:lang w:val="fr-FR"/>
        </w:rPr>
        <w:t xml:space="preserve"> </w:t>
      </w:r>
    </w:p>
    <w:p w:rsidR="004403D6" w:rsidRPr="00052E12" w:rsidRDefault="00F068AB" w:rsidP="008E1C0D">
      <w:pPr>
        <w:pStyle w:val="H23G"/>
      </w:pPr>
      <w:r w:rsidRPr="00052E12">
        <w:rPr>
          <w:lang w:val="fr-FR"/>
        </w:rPr>
        <w:tab/>
      </w:r>
      <w:r w:rsidRPr="00052E12">
        <w:rPr>
          <w:lang w:val="fr-FR"/>
        </w:rPr>
        <w:tab/>
        <w:t>Discrimination à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égard des personnes vivant avec le VIH/sida</w:t>
      </w:r>
      <w:bookmarkStart w:id="11" w:name="_Toc491177793"/>
      <w:bookmarkEnd w:id="11"/>
    </w:p>
    <w:p w:rsidR="004403D6" w:rsidRPr="00052E12" w:rsidRDefault="00F068AB" w:rsidP="00052E12">
      <w:pPr>
        <w:pStyle w:val="SingleTxtG"/>
      </w:pPr>
      <w:r w:rsidRPr="00052E12">
        <w:rPr>
          <w:lang w:val="fr-FR"/>
        </w:rPr>
        <w:t>20.</w:t>
      </w:r>
      <w:r w:rsidRPr="00052E12">
        <w:rPr>
          <w:lang w:val="fr-FR"/>
        </w:rPr>
        <w:tab/>
        <w:t>Bien que conscient des efforts cons</w:t>
      </w:r>
      <w:r w:rsidRPr="00052E12">
        <w:rPr>
          <w:lang w:val="fr-FR"/>
        </w:rPr>
        <w:t>idérables réalisés par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État partie pour promouvoir et protéger la santé et la vie des personnes vivant avec le VIH/sida, le Comité demeure préoccupé par le nombre de personnes infectées, qui reste élevé dans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 xml:space="preserve">État partie, et par la stigmatisation et la </w:t>
      </w:r>
      <w:r w:rsidRPr="00052E12">
        <w:rPr>
          <w:lang w:val="fr-FR"/>
        </w:rPr>
        <w:t>discrimination que ces personnes continuent à subir. Le Comité est également préoccupé de ce qu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 xml:space="preserve">il </w:t>
      </w:r>
      <w:r w:rsidRPr="00052E12">
        <w:rPr>
          <w:lang w:val="fr-FR"/>
        </w:rPr>
        <w:t>n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existe</w:t>
      </w:r>
      <w:r w:rsidRPr="00052E12">
        <w:rPr>
          <w:lang w:val="fr-FR"/>
        </w:rPr>
        <w:t xml:space="preserve"> pas de loi interdisant la discriminati</w:t>
      </w:r>
      <w:r w:rsidR="00FC5235">
        <w:rPr>
          <w:lang w:val="fr-FR"/>
        </w:rPr>
        <w:t>on fondée sur le VIH/sida (art. </w:t>
      </w:r>
      <w:r w:rsidRPr="00052E12">
        <w:rPr>
          <w:lang w:val="fr-FR"/>
        </w:rPr>
        <w:t>2, 6 et 26).</w:t>
      </w:r>
    </w:p>
    <w:p w:rsidR="004403D6" w:rsidRPr="00052E12" w:rsidRDefault="00F068AB" w:rsidP="00052E12">
      <w:pPr>
        <w:pStyle w:val="SingleTxtG"/>
        <w:rPr>
          <w:b/>
        </w:rPr>
      </w:pPr>
      <w:r w:rsidRPr="00052E12">
        <w:rPr>
          <w:lang w:val="fr-FR"/>
        </w:rPr>
        <w:t>21.</w:t>
      </w:r>
      <w:r w:rsidRPr="00052E12">
        <w:rPr>
          <w:lang w:val="fr-FR"/>
        </w:rPr>
        <w:tab/>
      </w:r>
      <w:r w:rsidRPr="00052E12">
        <w:rPr>
          <w:b/>
          <w:lang w:val="fr-FR"/>
        </w:rPr>
        <w:t>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État partie devrait</w:t>
      </w:r>
      <w:r w:rsidR="00091812">
        <w:rPr>
          <w:b/>
          <w:lang w:val="fr-FR"/>
        </w:rPr>
        <w:t> :</w:t>
      </w:r>
    </w:p>
    <w:p w:rsidR="004403D6" w:rsidRPr="00052E12" w:rsidRDefault="00F068AB" w:rsidP="00052E12">
      <w:pPr>
        <w:pStyle w:val="SingleTxtG"/>
        <w:rPr>
          <w:b/>
        </w:rPr>
      </w:pPr>
      <w:r w:rsidRPr="008E1C0D">
        <w:rPr>
          <w:b/>
          <w:lang w:val="fr-FR"/>
        </w:rPr>
        <w:tab/>
        <w:t>a)</w:t>
      </w:r>
      <w:r w:rsidRPr="008E1C0D">
        <w:rPr>
          <w:b/>
          <w:lang w:val="fr-FR"/>
        </w:rPr>
        <w:tab/>
      </w:r>
      <w:r w:rsidRPr="00052E12">
        <w:rPr>
          <w:b/>
          <w:lang w:val="fr-FR"/>
        </w:rPr>
        <w:t xml:space="preserve">Poursuivre et intensifier </w:t>
      </w:r>
      <w:r w:rsidRPr="00052E12">
        <w:rPr>
          <w:b/>
          <w:lang w:val="fr-FR"/>
        </w:rPr>
        <w:t>ses interventions pour répondre aux besoins des populations les plus touchées, notamment les femmes, les jeunes, les travailleurs du sexe</w:t>
      </w:r>
      <w:r w:rsidRPr="00052E12">
        <w:rPr>
          <w:b/>
          <w:lang w:val="fr-FR"/>
        </w:rPr>
        <w:t xml:space="preserve"> et les LGBTI, y compris en milieu rural</w:t>
      </w:r>
      <w:r w:rsidR="00091812">
        <w:rPr>
          <w:b/>
          <w:lang w:val="fr-FR"/>
        </w:rPr>
        <w:t> ;</w:t>
      </w:r>
      <w:r w:rsidRPr="00052E12">
        <w:rPr>
          <w:lang w:val="fr-FR"/>
        </w:rPr>
        <w:t xml:space="preserve"> </w:t>
      </w:r>
    </w:p>
    <w:p w:rsidR="004403D6" w:rsidRPr="00052E12" w:rsidRDefault="00F068AB" w:rsidP="00052E12">
      <w:pPr>
        <w:pStyle w:val="SingleTxtG"/>
        <w:rPr>
          <w:lang w:val="fr-FR"/>
        </w:rPr>
      </w:pPr>
      <w:r w:rsidRPr="008E1C0D">
        <w:rPr>
          <w:b/>
          <w:lang w:val="fr-FR"/>
        </w:rPr>
        <w:tab/>
        <w:t>b)</w:t>
      </w:r>
      <w:r w:rsidRPr="008E1C0D">
        <w:rPr>
          <w:b/>
          <w:lang w:val="fr-FR"/>
        </w:rPr>
        <w:tab/>
      </w:r>
      <w:r w:rsidRPr="00052E12">
        <w:rPr>
          <w:b/>
          <w:lang w:val="fr-FR"/>
        </w:rPr>
        <w:t>Redoubler d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 xml:space="preserve">efforts </w:t>
      </w:r>
      <w:r w:rsidRPr="00052E12">
        <w:rPr>
          <w:b/>
          <w:lang w:val="fr-FR"/>
        </w:rPr>
        <w:t>pour lutter contre la stigmatisation et la discr</w:t>
      </w:r>
      <w:r w:rsidRPr="00052E12">
        <w:rPr>
          <w:b/>
          <w:lang w:val="fr-FR"/>
        </w:rPr>
        <w:t>imination liées au VIH/sida, qui sont très répandues parmi la population en général</w:t>
      </w:r>
      <w:r w:rsidR="00091812">
        <w:rPr>
          <w:b/>
          <w:lang w:val="fr-FR"/>
        </w:rPr>
        <w:t> ;</w:t>
      </w:r>
    </w:p>
    <w:p w:rsidR="004403D6" w:rsidRPr="00052E12" w:rsidRDefault="00F068AB" w:rsidP="00052E12">
      <w:pPr>
        <w:pStyle w:val="SingleTxtG"/>
        <w:rPr>
          <w:b/>
        </w:rPr>
      </w:pPr>
      <w:r w:rsidRPr="008E1C0D">
        <w:rPr>
          <w:b/>
          <w:lang w:val="fr-FR"/>
        </w:rPr>
        <w:tab/>
        <w:t>c)</w:t>
      </w:r>
      <w:r w:rsidRPr="008E1C0D">
        <w:rPr>
          <w:b/>
          <w:lang w:val="fr-FR"/>
        </w:rPr>
        <w:tab/>
      </w:r>
      <w:r w:rsidRPr="00052E12">
        <w:rPr>
          <w:b/>
          <w:lang w:val="fr-FR"/>
        </w:rPr>
        <w:t>Veiller à ce que la loi interdise en toutes circonstances la discrimination à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égard des personnes vivant avec le VIH/sida et à ce que les dispositions pertinentes s</w:t>
      </w:r>
      <w:r w:rsidRPr="00052E12">
        <w:rPr>
          <w:b/>
          <w:lang w:val="fr-FR"/>
        </w:rPr>
        <w:t>oient effectivement appliquées.</w:t>
      </w:r>
    </w:p>
    <w:p w:rsidR="004403D6" w:rsidRPr="00052E12" w:rsidRDefault="00F068AB" w:rsidP="008E1C0D">
      <w:pPr>
        <w:pStyle w:val="H23G"/>
      </w:pPr>
      <w:r w:rsidRPr="00052E12">
        <w:rPr>
          <w:lang w:val="fr-FR"/>
        </w:rPr>
        <w:tab/>
      </w:r>
      <w:r w:rsidRPr="00052E12">
        <w:rPr>
          <w:lang w:val="fr-FR"/>
        </w:rPr>
        <w:tab/>
        <w:t>Discrimination à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égard des personnes atteintes d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albinisme</w:t>
      </w:r>
      <w:bookmarkStart w:id="12" w:name="_Toc491177794"/>
      <w:bookmarkEnd w:id="12"/>
    </w:p>
    <w:p w:rsidR="004403D6" w:rsidRPr="00052E12" w:rsidRDefault="00F068AB" w:rsidP="00052E12">
      <w:pPr>
        <w:pStyle w:val="SingleTxtG"/>
      </w:pPr>
      <w:r w:rsidRPr="00052E12">
        <w:rPr>
          <w:lang w:val="fr-FR"/>
        </w:rPr>
        <w:t>22.</w:t>
      </w:r>
      <w:r w:rsidRPr="00052E12">
        <w:rPr>
          <w:lang w:val="fr-FR"/>
        </w:rPr>
        <w:tab/>
        <w:t xml:space="preserve">Le Comité est préoccupé par les informations </w:t>
      </w:r>
      <w:r w:rsidRPr="00052E12">
        <w:rPr>
          <w:lang w:val="fr-FR"/>
        </w:rPr>
        <w:t>faisant état de</w:t>
      </w:r>
      <w:r w:rsidRPr="00052E12">
        <w:rPr>
          <w:lang w:val="fr-FR"/>
        </w:rPr>
        <w:t xml:space="preserve"> discrimination et </w:t>
      </w:r>
      <w:r w:rsidRPr="00052E12">
        <w:rPr>
          <w:lang w:val="fr-FR"/>
        </w:rPr>
        <w:t xml:space="preserve">de </w:t>
      </w:r>
      <w:r w:rsidRPr="00052E12">
        <w:rPr>
          <w:lang w:val="fr-FR"/>
        </w:rPr>
        <w:t>violence</w:t>
      </w:r>
      <w:r w:rsidRPr="00052E12">
        <w:rPr>
          <w:lang w:val="fr-FR"/>
        </w:rPr>
        <w:t>s</w:t>
      </w:r>
      <w:r w:rsidRPr="00052E12">
        <w:rPr>
          <w:lang w:val="fr-FR"/>
        </w:rPr>
        <w:t xml:space="preserve"> </w:t>
      </w:r>
      <w:r w:rsidRPr="00052E12">
        <w:rPr>
          <w:lang w:val="fr-FR"/>
        </w:rPr>
        <w:t>à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égard d</w:t>
      </w:r>
      <w:r w:rsidRPr="00052E12">
        <w:rPr>
          <w:lang w:val="fr-FR"/>
        </w:rPr>
        <w:t>es</w:t>
      </w:r>
      <w:r w:rsidRPr="00052E12">
        <w:rPr>
          <w:lang w:val="fr-FR"/>
        </w:rPr>
        <w:t xml:space="preserve"> personnes atteintes d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 xml:space="preserve">albinisme. Il </w:t>
      </w:r>
      <w:r w:rsidRPr="00052E12">
        <w:rPr>
          <w:lang w:val="fr-FR"/>
        </w:rPr>
        <w:t xml:space="preserve">constate </w:t>
      </w:r>
      <w:r w:rsidRPr="00052E12">
        <w:rPr>
          <w:lang w:val="fr-FR"/>
        </w:rPr>
        <w:t xml:space="preserve">également </w:t>
      </w:r>
      <w:r w:rsidRPr="00052E12">
        <w:rPr>
          <w:lang w:val="fr-FR"/>
        </w:rPr>
        <w:t xml:space="preserve">avec préoccupation </w:t>
      </w:r>
      <w:r w:rsidRPr="00052E12">
        <w:rPr>
          <w:lang w:val="fr-FR"/>
        </w:rPr>
        <w:t>que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État partie n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a pas encore adopté de stratégies efficaces visant à garantir que les personnes atteintes d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 xml:space="preserve">albinisme bénéficient </w:t>
      </w:r>
      <w:r w:rsidRPr="00052E12">
        <w:rPr>
          <w:lang w:val="fr-FR"/>
        </w:rPr>
        <w:t>de la même</w:t>
      </w:r>
      <w:r w:rsidRPr="00052E12">
        <w:rPr>
          <w:lang w:val="fr-FR"/>
        </w:rPr>
        <w:t xml:space="preserve"> protection </w:t>
      </w:r>
      <w:r w:rsidRPr="00052E12">
        <w:rPr>
          <w:lang w:val="fr-FR"/>
        </w:rPr>
        <w:t>que l</w:t>
      </w:r>
      <w:r w:rsidRPr="00052E12">
        <w:rPr>
          <w:lang w:val="fr-FR"/>
        </w:rPr>
        <w:t>es autres</w:t>
      </w:r>
      <w:r w:rsidR="00FC5235">
        <w:rPr>
          <w:lang w:val="fr-FR"/>
        </w:rPr>
        <w:t xml:space="preserve"> en droit et en fait (art. </w:t>
      </w:r>
      <w:r w:rsidRPr="00052E12">
        <w:rPr>
          <w:lang w:val="fr-FR"/>
        </w:rPr>
        <w:t xml:space="preserve">2, 6 et 26). </w:t>
      </w:r>
    </w:p>
    <w:p w:rsidR="004403D6" w:rsidRPr="00052E12" w:rsidRDefault="00F068AB" w:rsidP="00052E12">
      <w:pPr>
        <w:pStyle w:val="SingleTxtG"/>
        <w:rPr>
          <w:b/>
        </w:rPr>
      </w:pPr>
      <w:r w:rsidRPr="00052E12">
        <w:rPr>
          <w:lang w:val="fr-FR"/>
        </w:rPr>
        <w:lastRenderedPageBreak/>
        <w:t>23.</w:t>
      </w:r>
      <w:r w:rsidRPr="00052E12">
        <w:rPr>
          <w:lang w:val="fr-FR"/>
        </w:rPr>
        <w:tab/>
      </w:r>
      <w:r w:rsidRPr="00052E12">
        <w:rPr>
          <w:b/>
          <w:lang w:val="fr-FR"/>
        </w:rPr>
        <w:t>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 xml:space="preserve">État partie devrait prendre des mesures pour </w:t>
      </w:r>
      <w:r w:rsidRPr="00052E12">
        <w:rPr>
          <w:b/>
          <w:lang w:val="fr-FR"/>
        </w:rPr>
        <w:t>veiller à ce</w:t>
      </w:r>
      <w:r w:rsidRPr="00052E12">
        <w:rPr>
          <w:b/>
          <w:lang w:val="fr-FR"/>
        </w:rPr>
        <w:t xml:space="preserve"> que les personnes atteintes d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 xml:space="preserve">albinisme soient protégées, en droit et en fait, contre toutes les formes de violence et de </w:t>
      </w:r>
      <w:r w:rsidRPr="00052E12">
        <w:rPr>
          <w:b/>
          <w:lang w:val="fr-FR"/>
        </w:rPr>
        <w:t>discrimination.</w:t>
      </w:r>
      <w:r w:rsidRPr="00052E12">
        <w:rPr>
          <w:lang w:val="fr-FR"/>
        </w:rPr>
        <w:t xml:space="preserve"> </w:t>
      </w:r>
    </w:p>
    <w:p w:rsidR="004403D6" w:rsidRPr="00052E12" w:rsidRDefault="00F068AB" w:rsidP="008E1C0D">
      <w:pPr>
        <w:pStyle w:val="H23G"/>
      </w:pPr>
      <w:r w:rsidRPr="00052E12">
        <w:rPr>
          <w:lang w:val="fr-FR"/>
        </w:rPr>
        <w:tab/>
      </w:r>
      <w:r w:rsidRPr="00052E12">
        <w:rPr>
          <w:lang w:val="fr-FR"/>
        </w:rPr>
        <w:tab/>
        <w:t xml:space="preserve">Égalité entre hommes et femmes </w:t>
      </w:r>
      <w:bookmarkStart w:id="13" w:name="_Toc491177795"/>
      <w:bookmarkEnd w:id="13"/>
    </w:p>
    <w:p w:rsidR="004403D6" w:rsidRPr="00052E12" w:rsidRDefault="00F068AB" w:rsidP="00052E12">
      <w:pPr>
        <w:pStyle w:val="SingleTxtG"/>
      </w:pPr>
      <w:r w:rsidRPr="00052E12">
        <w:rPr>
          <w:lang w:val="fr-FR"/>
        </w:rPr>
        <w:t>24.</w:t>
      </w:r>
      <w:r w:rsidRPr="00052E12">
        <w:rPr>
          <w:lang w:val="fr-FR"/>
        </w:rPr>
        <w:tab/>
        <w:t xml:space="preserve">Le Comité </w:t>
      </w:r>
      <w:r w:rsidRPr="00052E12">
        <w:rPr>
          <w:lang w:val="fr-FR"/>
        </w:rPr>
        <w:t>constate avec préoccupation</w:t>
      </w:r>
      <w:r w:rsidRPr="00052E12">
        <w:rPr>
          <w:lang w:val="fr-FR"/>
        </w:rPr>
        <w:t xml:space="preserve"> que malgré les dispositions de la Constitution </w:t>
      </w:r>
      <w:r w:rsidRPr="00052E12">
        <w:rPr>
          <w:lang w:val="fr-FR"/>
        </w:rPr>
        <w:t>prévoyant</w:t>
      </w:r>
      <w:r w:rsidRPr="00052E12">
        <w:rPr>
          <w:lang w:val="fr-FR"/>
        </w:rPr>
        <w:t xml:space="preserve">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égalité de traitement pour les hommes et les femmes, plusieurs lois nati</w:t>
      </w:r>
      <w:r w:rsidRPr="00052E12">
        <w:rPr>
          <w:lang w:val="fr-FR"/>
        </w:rPr>
        <w:t xml:space="preserve">onales </w:t>
      </w:r>
      <w:r w:rsidRPr="00052E12">
        <w:rPr>
          <w:lang w:val="fr-FR"/>
        </w:rPr>
        <w:t>comprennent</w:t>
      </w:r>
      <w:r w:rsidRPr="00052E12">
        <w:rPr>
          <w:lang w:val="fr-FR"/>
        </w:rPr>
        <w:t xml:space="preserve"> des dispositions discriminatoires à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égard des femmes, notamment la loi sur le mariage, qui défavorise la femme par rapport à son mari, et le chapitre</w:t>
      </w:r>
      <w:r w:rsidR="008E1C0D">
        <w:rPr>
          <w:lang w:val="fr-FR"/>
        </w:rPr>
        <w:t> </w:t>
      </w:r>
      <w:r w:rsidRPr="00052E12">
        <w:rPr>
          <w:lang w:val="fr-FR"/>
        </w:rPr>
        <w:t xml:space="preserve">4 de la Constitution, qui fait une différence entre les hommes et les femmes pour ce </w:t>
      </w:r>
      <w:r w:rsidRPr="00052E12">
        <w:rPr>
          <w:lang w:val="fr-FR"/>
        </w:rPr>
        <w:t>qui est de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acquisition et de la transmission de la nationalité swazie</w:t>
      </w:r>
      <w:r w:rsidRPr="00052E12">
        <w:rPr>
          <w:lang w:val="fr-FR"/>
        </w:rPr>
        <w:t>. Le Comité note également avec préoccupation que le droit coutumier et la pratique perpétuent les inégalités entre les hommes et les femmes, en particulier en ce qui concerne le dro</w:t>
      </w:r>
      <w:r w:rsidRPr="00052E12">
        <w:rPr>
          <w:lang w:val="fr-FR"/>
        </w:rPr>
        <w:t>it d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hériter et le droit à la propriété, et que des pratiques culturelles, telles que la polygamie</w:t>
      </w:r>
      <w:r w:rsidRPr="00052E12">
        <w:rPr>
          <w:lang w:val="fr-FR"/>
        </w:rPr>
        <w:t>, le mariage forcé</w:t>
      </w:r>
      <w:r w:rsidRPr="00052E12">
        <w:rPr>
          <w:lang w:val="fr-FR"/>
        </w:rPr>
        <w:t xml:space="preserve"> et le lévirat, ont toujours cours. Le Comité prend note de la di</w:t>
      </w:r>
      <w:r w:rsidR="00FC5235">
        <w:rPr>
          <w:lang w:val="fr-FR"/>
        </w:rPr>
        <w:t>sposition énoncée au paragraphe </w:t>
      </w:r>
      <w:r w:rsidRPr="00052E12">
        <w:rPr>
          <w:lang w:val="fr-FR"/>
        </w:rPr>
        <w:t>3 de l</w:t>
      </w:r>
      <w:r w:rsidR="00052E12" w:rsidRPr="00052E12">
        <w:rPr>
          <w:lang w:val="fr-FR"/>
        </w:rPr>
        <w:t>’</w:t>
      </w:r>
      <w:r w:rsidR="00FC5235">
        <w:rPr>
          <w:lang w:val="fr-FR"/>
        </w:rPr>
        <w:t>article </w:t>
      </w:r>
      <w:r w:rsidRPr="00052E12">
        <w:rPr>
          <w:lang w:val="fr-FR"/>
        </w:rPr>
        <w:t>28 de la Constitution,</w:t>
      </w:r>
      <w:r w:rsidRPr="00052E12">
        <w:rPr>
          <w:lang w:val="fr-FR"/>
        </w:rPr>
        <w:t xml:space="preserve"> mais constate avec préoccupation qu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elle ne protège pas suffisamment les droits des femmes prévus par le Pacte en ce qu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elle fait peser une charge excessive sur la femme, et relève qu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elle n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est pas appliquée dans la pratique, notamment en ce qui concerne</w:t>
      </w:r>
      <w:r w:rsidRPr="00052E12">
        <w:rPr>
          <w:lang w:val="fr-FR"/>
        </w:rPr>
        <w:t xml:space="preserve"> les voies de recours. Il s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inquiète également de la représentation inégale des femmes dans les secteurs public et privé, en particulier aux postes de décision, et de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 xml:space="preserve">absence de renseignements </w:t>
      </w:r>
      <w:r w:rsidRPr="00052E12">
        <w:rPr>
          <w:lang w:val="fr-FR"/>
        </w:rPr>
        <w:t xml:space="preserve">précis </w:t>
      </w:r>
      <w:r w:rsidRPr="00052E12">
        <w:rPr>
          <w:lang w:val="fr-FR"/>
        </w:rPr>
        <w:t>concernant la représentation des femmes dans le secteu</w:t>
      </w:r>
      <w:r w:rsidRPr="00052E12">
        <w:rPr>
          <w:lang w:val="fr-FR"/>
        </w:rPr>
        <w:t>r privé (art.</w:t>
      </w:r>
      <w:r w:rsidR="00FC5235">
        <w:rPr>
          <w:lang w:val="fr-FR"/>
        </w:rPr>
        <w:t> </w:t>
      </w:r>
      <w:r w:rsidRPr="00052E12">
        <w:rPr>
          <w:lang w:val="fr-FR"/>
        </w:rPr>
        <w:t xml:space="preserve">2, 3, 7 et 26). </w:t>
      </w:r>
    </w:p>
    <w:p w:rsidR="004403D6" w:rsidRPr="00052E12" w:rsidRDefault="00F068AB" w:rsidP="00052E12">
      <w:pPr>
        <w:pStyle w:val="SingleTxtG"/>
        <w:rPr>
          <w:b/>
        </w:rPr>
      </w:pPr>
      <w:r w:rsidRPr="00052E12">
        <w:rPr>
          <w:lang w:val="fr-FR"/>
        </w:rPr>
        <w:t>25.</w:t>
      </w:r>
      <w:r w:rsidRPr="00052E12">
        <w:rPr>
          <w:lang w:val="fr-FR"/>
        </w:rPr>
        <w:tab/>
      </w:r>
      <w:r w:rsidRPr="00052E12">
        <w:rPr>
          <w:b/>
          <w:lang w:val="fr-FR"/>
        </w:rPr>
        <w:t>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État partie devrait d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urgence</w:t>
      </w:r>
      <w:r w:rsidR="00091812">
        <w:rPr>
          <w:b/>
          <w:lang w:val="fr-FR"/>
        </w:rPr>
        <w:t> :</w:t>
      </w:r>
      <w:r w:rsidRPr="00052E12">
        <w:rPr>
          <w:lang w:val="fr-FR"/>
        </w:rPr>
        <w:t xml:space="preserve"> </w:t>
      </w:r>
    </w:p>
    <w:p w:rsidR="004403D6" w:rsidRPr="00052E12" w:rsidRDefault="00F068AB" w:rsidP="00052E12">
      <w:pPr>
        <w:pStyle w:val="SingleTxtG"/>
        <w:rPr>
          <w:b/>
        </w:rPr>
      </w:pPr>
      <w:r w:rsidRPr="008E1C0D">
        <w:rPr>
          <w:b/>
          <w:lang w:val="fr-FR"/>
        </w:rPr>
        <w:tab/>
        <w:t>a)</w:t>
      </w:r>
      <w:r w:rsidRPr="008E1C0D">
        <w:rPr>
          <w:b/>
          <w:lang w:val="fr-FR"/>
        </w:rPr>
        <w:tab/>
      </w:r>
      <w:r w:rsidRPr="00052E12">
        <w:rPr>
          <w:b/>
          <w:lang w:val="fr-FR"/>
        </w:rPr>
        <w:t>Réviser la Constitution et les lois nationales</w:t>
      </w:r>
      <w:r w:rsidRPr="00052E12">
        <w:rPr>
          <w:b/>
          <w:lang w:val="fr-FR"/>
        </w:rPr>
        <w:t>, y compris les lois coutumières</w:t>
      </w:r>
      <w:r w:rsidRPr="00052E12">
        <w:rPr>
          <w:b/>
          <w:lang w:val="fr-FR"/>
        </w:rPr>
        <w:t>,</w:t>
      </w:r>
      <w:r w:rsidRPr="00052E12">
        <w:rPr>
          <w:b/>
          <w:lang w:val="fr-FR"/>
        </w:rPr>
        <w:t xml:space="preserve"> pour ce qui est de la condition </w:t>
      </w:r>
      <w:r w:rsidRPr="00052E12">
        <w:rPr>
          <w:b/>
          <w:lang w:val="fr-FR"/>
        </w:rPr>
        <w:t>de la femme</w:t>
      </w:r>
      <w:r w:rsidRPr="00052E12">
        <w:rPr>
          <w:b/>
          <w:lang w:val="fr-FR"/>
        </w:rPr>
        <w:t xml:space="preserve">, et abroger ou modifier </w:t>
      </w:r>
      <w:r w:rsidRPr="00052E12">
        <w:rPr>
          <w:b/>
          <w:lang w:val="fr-FR"/>
        </w:rPr>
        <w:t>toutes les dispositions qui sont incompatibles avec le Pacte, notamment celles relatives au mariage, à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héritage, à la propriété, ainsi qu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à la transmission de la nationalité</w:t>
      </w:r>
      <w:r w:rsidR="00091812">
        <w:rPr>
          <w:b/>
          <w:lang w:val="fr-FR"/>
        </w:rPr>
        <w:t> ;</w:t>
      </w:r>
    </w:p>
    <w:p w:rsidR="004403D6" w:rsidRPr="00052E12" w:rsidRDefault="00F068AB" w:rsidP="00052E12">
      <w:pPr>
        <w:pStyle w:val="SingleTxtG"/>
      </w:pPr>
      <w:r w:rsidRPr="008E1C0D">
        <w:rPr>
          <w:b/>
          <w:lang w:val="fr-FR"/>
        </w:rPr>
        <w:tab/>
        <w:t>b)</w:t>
      </w:r>
      <w:r w:rsidRPr="008E1C0D">
        <w:rPr>
          <w:b/>
          <w:lang w:val="fr-FR"/>
        </w:rPr>
        <w:tab/>
      </w:r>
      <w:r w:rsidRPr="00052E12">
        <w:rPr>
          <w:b/>
          <w:lang w:val="fr-FR"/>
        </w:rPr>
        <w:t xml:space="preserve">Intensifier son action contre les pratiques coutumières discriminatoires, </w:t>
      </w:r>
      <w:r w:rsidRPr="00052E12">
        <w:rPr>
          <w:b/>
          <w:lang w:val="fr-FR"/>
        </w:rPr>
        <w:t xml:space="preserve">ce qui consiste entre autres à veiller à la bonne administration des successions et à prendre </w:t>
      </w:r>
      <w:r w:rsidRPr="00052E12">
        <w:rPr>
          <w:b/>
          <w:lang w:val="fr-FR"/>
        </w:rPr>
        <w:t xml:space="preserve">davantage </w:t>
      </w:r>
      <w:r w:rsidRPr="00052E12">
        <w:rPr>
          <w:b/>
          <w:lang w:val="fr-FR"/>
        </w:rPr>
        <w:t>de</w:t>
      </w:r>
      <w:r w:rsidRPr="00052E12">
        <w:rPr>
          <w:b/>
          <w:lang w:val="fr-FR"/>
        </w:rPr>
        <w:t xml:space="preserve"> mesures de sensibilisation dans les zones rurales, ciblant notamment les hommes et les chefs traditionnels</w:t>
      </w:r>
      <w:r w:rsidR="00091812">
        <w:rPr>
          <w:b/>
          <w:lang w:val="fr-FR"/>
        </w:rPr>
        <w:t> ;</w:t>
      </w:r>
      <w:r w:rsidRPr="00052E12">
        <w:rPr>
          <w:lang w:val="fr-FR"/>
        </w:rPr>
        <w:t xml:space="preserve"> </w:t>
      </w:r>
    </w:p>
    <w:p w:rsidR="004403D6" w:rsidRPr="00052E12" w:rsidRDefault="00F068AB" w:rsidP="00052E12">
      <w:pPr>
        <w:pStyle w:val="SingleTxtG"/>
        <w:rPr>
          <w:b/>
        </w:rPr>
      </w:pPr>
      <w:r w:rsidRPr="008E1C0D">
        <w:rPr>
          <w:b/>
          <w:lang w:val="fr-FR"/>
        </w:rPr>
        <w:tab/>
        <w:t>c)</w:t>
      </w:r>
      <w:r w:rsidRPr="008E1C0D">
        <w:rPr>
          <w:b/>
          <w:lang w:val="fr-FR"/>
        </w:rPr>
        <w:tab/>
      </w:r>
      <w:r w:rsidRPr="00052E12">
        <w:rPr>
          <w:b/>
          <w:lang w:val="fr-FR"/>
        </w:rPr>
        <w:t xml:space="preserve">Lutter contre la polygamie, </w:t>
      </w:r>
      <w:r w:rsidRPr="00052E12">
        <w:rPr>
          <w:b/>
          <w:lang w:val="fr-FR"/>
        </w:rPr>
        <w:t>le mar</w:t>
      </w:r>
      <w:r w:rsidRPr="00052E12">
        <w:rPr>
          <w:b/>
          <w:lang w:val="fr-FR"/>
        </w:rPr>
        <w:t>iage forcé</w:t>
      </w:r>
      <w:r w:rsidRPr="00052E12">
        <w:rPr>
          <w:b/>
          <w:lang w:val="fr-FR"/>
        </w:rPr>
        <w:t xml:space="preserve"> et le lévirat dans le but de faire disparaître ces pratiques</w:t>
      </w:r>
      <w:r w:rsidR="00091812">
        <w:rPr>
          <w:b/>
          <w:lang w:val="fr-FR"/>
        </w:rPr>
        <w:t> ;</w:t>
      </w:r>
      <w:r w:rsidRPr="00052E12">
        <w:rPr>
          <w:lang w:val="fr-FR"/>
        </w:rPr>
        <w:t xml:space="preserve"> </w:t>
      </w:r>
    </w:p>
    <w:p w:rsidR="004403D6" w:rsidRPr="00052E12" w:rsidRDefault="00F068AB" w:rsidP="00052E12">
      <w:pPr>
        <w:pStyle w:val="SingleTxtG"/>
        <w:rPr>
          <w:b/>
        </w:rPr>
      </w:pPr>
      <w:r w:rsidRPr="008E1C0D">
        <w:rPr>
          <w:b/>
          <w:lang w:val="fr-FR"/>
        </w:rPr>
        <w:tab/>
        <w:t>d)</w:t>
      </w:r>
      <w:r w:rsidRPr="008E1C0D">
        <w:rPr>
          <w:b/>
          <w:lang w:val="fr-FR"/>
        </w:rPr>
        <w:tab/>
      </w:r>
      <w:r w:rsidRPr="00052E12">
        <w:rPr>
          <w:b/>
          <w:lang w:val="fr-FR"/>
        </w:rPr>
        <w:t>Prendre toutes les mesures nécessaires pour promouvoir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égale représentation des femmes aux postes de décision dans les secteurs public et privé, notamment en adoptant au besoi</w:t>
      </w:r>
      <w:r w:rsidRPr="00052E12">
        <w:rPr>
          <w:b/>
          <w:lang w:val="fr-FR"/>
        </w:rPr>
        <w:t>n des mesures temporaires spéciales et en collectant des données complètes sur la représentation des femmes dans les secteurs public et privé.</w:t>
      </w:r>
    </w:p>
    <w:p w:rsidR="004403D6" w:rsidRPr="00052E12" w:rsidRDefault="00F068AB" w:rsidP="008E1C0D">
      <w:pPr>
        <w:pStyle w:val="H23G"/>
      </w:pPr>
      <w:r w:rsidRPr="00052E12">
        <w:rPr>
          <w:lang w:val="fr-FR"/>
        </w:rPr>
        <w:tab/>
      </w:r>
      <w:r w:rsidRPr="00052E12">
        <w:rPr>
          <w:lang w:val="fr-FR"/>
        </w:rPr>
        <w:tab/>
        <w:t>Violence à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égard des femmes</w:t>
      </w:r>
      <w:bookmarkStart w:id="14" w:name="_Toc491177796"/>
      <w:bookmarkEnd w:id="14"/>
    </w:p>
    <w:p w:rsidR="004403D6" w:rsidRPr="00052E12" w:rsidRDefault="00F068AB" w:rsidP="00052E12">
      <w:pPr>
        <w:pStyle w:val="SingleTxtG"/>
      </w:pPr>
      <w:r w:rsidRPr="00052E12">
        <w:rPr>
          <w:lang w:val="fr-FR"/>
        </w:rPr>
        <w:t>26.</w:t>
      </w:r>
      <w:r w:rsidRPr="00052E12">
        <w:rPr>
          <w:lang w:val="fr-FR"/>
        </w:rPr>
        <w:tab/>
        <w:t>Le Comité est préoccupé par les informations selon lesquelles la violence à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 xml:space="preserve">égard des femmes et des enfants serait une pratique répandue, en particulier la violence sexuelle, y compris le viol et le viol conjugal, et </w:t>
      </w:r>
      <w:r w:rsidRPr="00052E12">
        <w:rPr>
          <w:lang w:val="fr-FR"/>
        </w:rPr>
        <w:t>selon lesquelles</w:t>
      </w:r>
      <w:r w:rsidRPr="00052E12">
        <w:rPr>
          <w:lang w:val="fr-FR"/>
        </w:rPr>
        <w:t xml:space="preserve"> les acteurs concernés ne bénéficieraient pas d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une formation spéci</w:t>
      </w:r>
      <w:r w:rsidRPr="00052E12">
        <w:rPr>
          <w:lang w:val="fr-FR"/>
        </w:rPr>
        <w:t>fiqu</w:t>
      </w:r>
      <w:r w:rsidRPr="00052E12">
        <w:rPr>
          <w:lang w:val="fr-FR"/>
        </w:rPr>
        <w:t xml:space="preserve">e sur la violence sexiste. </w:t>
      </w:r>
      <w:r w:rsidRPr="00052E12">
        <w:rPr>
          <w:lang w:val="fr-FR"/>
        </w:rPr>
        <w:t>Il est également préoccupé de ce qu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il n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existe</w:t>
      </w:r>
      <w:r w:rsidRPr="00052E12">
        <w:rPr>
          <w:lang w:val="fr-FR"/>
        </w:rPr>
        <w:t xml:space="preserve"> pas de législation adéquate pour protéger les femmes de la violence et note à cet égard le retard pris dans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adoption du projet de loi relatif aux infractions sexuelles et à la violence familiale</w:t>
      </w:r>
      <w:r w:rsidRPr="00052E12">
        <w:rPr>
          <w:lang w:val="fr-FR"/>
        </w:rPr>
        <w:t>. Le C</w:t>
      </w:r>
      <w:r w:rsidRPr="00052E12">
        <w:rPr>
          <w:lang w:val="fr-FR"/>
        </w:rPr>
        <w:t>omité note en outre avec préoccupation que la stratégie et le plan d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action nationaux 2013-2018 visant à mettre fin à la violence</w:t>
      </w:r>
      <w:r w:rsidRPr="00052E12">
        <w:rPr>
          <w:lang w:val="fr-FR"/>
        </w:rPr>
        <w:t xml:space="preserve"> n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ont touj</w:t>
      </w:r>
      <w:r w:rsidR="00FC5235">
        <w:rPr>
          <w:lang w:val="fr-FR"/>
        </w:rPr>
        <w:t>ours pas été mis en œuvre (art. </w:t>
      </w:r>
      <w:r w:rsidRPr="00052E12">
        <w:rPr>
          <w:lang w:val="fr-FR"/>
        </w:rPr>
        <w:t>3, 6, 7 et 24).</w:t>
      </w:r>
    </w:p>
    <w:p w:rsidR="004403D6" w:rsidRPr="00052E12" w:rsidRDefault="00F068AB" w:rsidP="00052E12">
      <w:pPr>
        <w:pStyle w:val="SingleTxtG"/>
        <w:rPr>
          <w:b/>
        </w:rPr>
      </w:pPr>
      <w:r w:rsidRPr="00052E12">
        <w:rPr>
          <w:lang w:val="fr-FR"/>
        </w:rPr>
        <w:t>27.</w:t>
      </w:r>
      <w:r w:rsidRPr="00052E12">
        <w:rPr>
          <w:lang w:val="fr-FR"/>
        </w:rPr>
        <w:tab/>
      </w:r>
      <w:r w:rsidRPr="00052E12">
        <w:rPr>
          <w:b/>
          <w:lang w:val="fr-FR"/>
        </w:rPr>
        <w:t>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État partie devrait</w:t>
      </w:r>
      <w:r w:rsidR="00091812">
        <w:rPr>
          <w:b/>
          <w:lang w:val="fr-FR"/>
        </w:rPr>
        <w:t> :</w:t>
      </w:r>
      <w:r w:rsidRPr="00052E12">
        <w:rPr>
          <w:lang w:val="fr-FR"/>
        </w:rPr>
        <w:t xml:space="preserve"> </w:t>
      </w:r>
    </w:p>
    <w:p w:rsidR="004403D6" w:rsidRPr="00052E12" w:rsidRDefault="00F068AB" w:rsidP="00052E12">
      <w:pPr>
        <w:pStyle w:val="SingleTxtG"/>
        <w:rPr>
          <w:b/>
          <w:lang w:val="fr-FR"/>
        </w:rPr>
      </w:pPr>
      <w:r w:rsidRPr="008E1C0D">
        <w:rPr>
          <w:b/>
          <w:lang w:val="fr-FR"/>
        </w:rPr>
        <w:tab/>
        <w:t>a)</w:t>
      </w:r>
      <w:r w:rsidRPr="008E1C0D">
        <w:rPr>
          <w:b/>
          <w:lang w:val="fr-FR"/>
        </w:rPr>
        <w:tab/>
      </w:r>
      <w:r w:rsidRPr="00052E12">
        <w:rPr>
          <w:b/>
          <w:lang w:val="fr-FR"/>
        </w:rPr>
        <w:t>Se doter rapidement d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une législ</w:t>
      </w:r>
      <w:r w:rsidRPr="00052E12">
        <w:rPr>
          <w:b/>
          <w:lang w:val="fr-FR"/>
        </w:rPr>
        <w:t>ation incrimina</w:t>
      </w:r>
      <w:r w:rsidRPr="00052E12">
        <w:rPr>
          <w:b/>
          <w:lang w:val="fr-FR"/>
        </w:rPr>
        <w:t>nt effectivement la</w:t>
      </w:r>
      <w:r w:rsidRPr="00052E12">
        <w:rPr>
          <w:b/>
          <w:lang w:val="fr-FR"/>
        </w:rPr>
        <w:t xml:space="preserve"> violence sexuelle et la violence familiale et permettant de lutter contre ces pratiques de manière efficace</w:t>
      </w:r>
      <w:r w:rsidR="00091812">
        <w:rPr>
          <w:b/>
          <w:lang w:val="fr-FR"/>
        </w:rPr>
        <w:t> ;</w:t>
      </w:r>
    </w:p>
    <w:p w:rsidR="004403D6" w:rsidRPr="00052E12" w:rsidRDefault="00F068AB" w:rsidP="00052E12">
      <w:pPr>
        <w:pStyle w:val="SingleTxtG"/>
        <w:rPr>
          <w:b/>
        </w:rPr>
      </w:pPr>
      <w:r w:rsidRPr="008E1C0D">
        <w:rPr>
          <w:b/>
          <w:lang w:val="fr-FR"/>
        </w:rPr>
        <w:lastRenderedPageBreak/>
        <w:tab/>
        <w:t>b)</w:t>
      </w:r>
      <w:r w:rsidRPr="008E1C0D">
        <w:rPr>
          <w:b/>
          <w:lang w:val="fr-FR"/>
        </w:rPr>
        <w:tab/>
      </w:r>
      <w:r w:rsidRPr="00052E12">
        <w:rPr>
          <w:b/>
          <w:lang w:val="fr-FR"/>
        </w:rPr>
        <w:t>Dispenser aux acteurs compétent</w:t>
      </w:r>
      <w:r w:rsidRPr="00052E12">
        <w:rPr>
          <w:b/>
          <w:lang w:val="fr-FR"/>
        </w:rPr>
        <w:t>s des services de police, du ministère public et de la justice une formation</w:t>
      </w:r>
      <w:r w:rsidRPr="00052E12">
        <w:rPr>
          <w:b/>
          <w:lang w:val="fr-FR"/>
        </w:rPr>
        <w:t xml:space="preserve"> sur la violence sexuelle et sexiste</w:t>
      </w:r>
      <w:r w:rsidRPr="00052E12">
        <w:rPr>
          <w:b/>
          <w:lang w:val="fr-FR"/>
        </w:rPr>
        <w:t xml:space="preserve"> et sur la collecte d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éléments de preuve dans ce genre de cas</w:t>
      </w:r>
      <w:r w:rsidR="00091812">
        <w:rPr>
          <w:b/>
          <w:lang w:val="fr-FR"/>
        </w:rPr>
        <w:t> ;</w:t>
      </w:r>
    </w:p>
    <w:p w:rsidR="004403D6" w:rsidRPr="00052E12" w:rsidRDefault="00F068AB" w:rsidP="00052E12">
      <w:pPr>
        <w:pStyle w:val="SingleTxtG"/>
        <w:rPr>
          <w:b/>
        </w:rPr>
      </w:pPr>
      <w:r w:rsidRPr="008E1C0D">
        <w:rPr>
          <w:b/>
          <w:lang w:val="fr-FR"/>
        </w:rPr>
        <w:tab/>
        <w:t>c)</w:t>
      </w:r>
      <w:r w:rsidRPr="008E1C0D">
        <w:rPr>
          <w:b/>
          <w:lang w:val="fr-FR"/>
        </w:rPr>
        <w:tab/>
      </w:r>
      <w:r w:rsidRPr="00052E12">
        <w:rPr>
          <w:b/>
          <w:lang w:val="fr-FR"/>
        </w:rPr>
        <w:t xml:space="preserve">Intensifier ses efforts visant à sensibiliser le grand public aux effets préjudiciables de la violence sexuelle et sexiste et encourager les gens à </w:t>
      </w:r>
      <w:r w:rsidRPr="00052E12">
        <w:rPr>
          <w:b/>
          <w:lang w:val="fr-FR"/>
        </w:rPr>
        <w:t>signaler de tels faits, notamment en informant systématiquement les femmes et les enfants de leurs droits et des moyens légaux dont ils disposent pour bénéficier d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une protection</w:t>
      </w:r>
      <w:r w:rsidR="00091812">
        <w:rPr>
          <w:b/>
          <w:lang w:val="fr-FR"/>
        </w:rPr>
        <w:t> ;</w:t>
      </w:r>
      <w:r w:rsidRPr="00052E12">
        <w:rPr>
          <w:lang w:val="fr-FR"/>
        </w:rPr>
        <w:t xml:space="preserve"> </w:t>
      </w:r>
    </w:p>
    <w:p w:rsidR="004403D6" w:rsidRPr="00052E12" w:rsidRDefault="00F068AB" w:rsidP="00052E12">
      <w:pPr>
        <w:pStyle w:val="SingleTxtG"/>
        <w:rPr>
          <w:b/>
        </w:rPr>
      </w:pPr>
      <w:r w:rsidRPr="008E1C0D">
        <w:rPr>
          <w:b/>
          <w:lang w:val="fr-FR"/>
        </w:rPr>
        <w:tab/>
        <w:t>d)</w:t>
      </w:r>
      <w:r w:rsidRPr="008E1C0D">
        <w:rPr>
          <w:b/>
          <w:lang w:val="fr-FR"/>
        </w:rPr>
        <w:tab/>
      </w:r>
      <w:r w:rsidRPr="00052E12">
        <w:rPr>
          <w:b/>
          <w:lang w:val="fr-FR"/>
        </w:rPr>
        <w:t>Faire en sorte</w:t>
      </w:r>
      <w:r w:rsidRPr="00052E12">
        <w:rPr>
          <w:b/>
          <w:lang w:val="fr-FR"/>
        </w:rPr>
        <w:t xml:space="preserve"> que tous les cas de violence sexuelle et se</w:t>
      </w:r>
      <w:r w:rsidRPr="00052E12">
        <w:rPr>
          <w:b/>
          <w:lang w:val="fr-FR"/>
        </w:rPr>
        <w:t>xiste fassent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objet d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 xml:space="preserve">enquêtes approfondies, </w:t>
      </w:r>
      <w:r w:rsidRPr="00052E12">
        <w:rPr>
          <w:b/>
          <w:lang w:val="fr-FR"/>
        </w:rPr>
        <w:t>que les auteurs de tels actes soient poursuivis et, s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 xml:space="preserve">ils sont reconnus coupables, </w:t>
      </w:r>
      <w:r w:rsidRPr="00052E12">
        <w:rPr>
          <w:b/>
          <w:lang w:val="fr-FR"/>
        </w:rPr>
        <w:t xml:space="preserve">soient dûment sanctionnés, et </w:t>
      </w:r>
      <w:r w:rsidRPr="00052E12">
        <w:rPr>
          <w:b/>
          <w:lang w:val="fr-FR"/>
        </w:rPr>
        <w:t>que les victimes reçoivent pleine réparation</w:t>
      </w:r>
      <w:r w:rsidR="00091812">
        <w:rPr>
          <w:b/>
          <w:lang w:val="fr-FR"/>
        </w:rPr>
        <w:t> ;</w:t>
      </w:r>
    </w:p>
    <w:p w:rsidR="004403D6" w:rsidRPr="00052E12" w:rsidRDefault="008E1C0D" w:rsidP="00052E12">
      <w:pPr>
        <w:pStyle w:val="SingleTxtG"/>
        <w:rPr>
          <w:b/>
        </w:rPr>
      </w:pPr>
      <w:r>
        <w:rPr>
          <w:b/>
          <w:lang w:val="fr-FR"/>
        </w:rPr>
        <w:tab/>
      </w:r>
      <w:r w:rsidR="00F068AB" w:rsidRPr="008E1C0D">
        <w:rPr>
          <w:b/>
          <w:lang w:val="fr-FR"/>
        </w:rPr>
        <w:t>e)</w:t>
      </w:r>
      <w:r w:rsidR="00F068AB" w:rsidRPr="008E1C0D">
        <w:rPr>
          <w:b/>
          <w:lang w:val="fr-FR"/>
        </w:rPr>
        <w:tab/>
      </w:r>
      <w:r w:rsidR="00F068AB" w:rsidRPr="00052E12">
        <w:rPr>
          <w:b/>
          <w:lang w:val="fr-FR"/>
        </w:rPr>
        <w:t>Veiller à ce</w:t>
      </w:r>
      <w:r w:rsidR="00F068AB" w:rsidRPr="00052E12">
        <w:rPr>
          <w:b/>
          <w:lang w:val="fr-FR"/>
        </w:rPr>
        <w:t xml:space="preserve"> </w:t>
      </w:r>
      <w:r w:rsidR="00F068AB" w:rsidRPr="00052E12">
        <w:rPr>
          <w:b/>
          <w:lang w:val="fr-FR"/>
        </w:rPr>
        <w:t xml:space="preserve">que les victimes aient accès à des recours utiles et à des moyens de protection efficaces, notamment à des centres pédagogiques et psychologiques en nombre suffisant, et </w:t>
      </w:r>
      <w:r w:rsidR="00F068AB" w:rsidRPr="00052E12">
        <w:rPr>
          <w:b/>
          <w:lang w:val="fr-FR"/>
        </w:rPr>
        <w:t xml:space="preserve">à ce </w:t>
      </w:r>
      <w:r w:rsidR="00F068AB" w:rsidRPr="00052E12">
        <w:rPr>
          <w:b/>
          <w:lang w:val="fr-FR"/>
        </w:rPr>
        <w:t>que d</w:t>
      </w:r>
      <w:r w:rsidR="00052E12" w:rsidRPr="00052E12">
        <w:rPr>
          <w:b/>
          <w:lang w:val="fr-FR"/>
        </w:rPr>
        <w:t>’</w:t>
      </w:r>
      <w:r w:rsidR="00F068AB" w:rsidRPr="00052E12">
        <w:rPr>
          <w:b/>
          <w:lang w:val="fr-FR"/>
        </w:rPr>
        <w:t>autres services de soutien, comme des structures d</w:t>
      </w:r>
      <w:r w:rsidR="00052E12" w:rsidRPr="00052E12">
        <w:rPr>
          <w:b/>
          <w:lang w:val="fr-FR"/>
        </w:rPr>
        <w:t>’</w:t>
      </w:r>
      <w:r w:rsidR="00F068AB" w:rsidRPr="00052E12">
        <w:rPr>
          <w:b/>
          <w:lang w:val="fr-FR"/>
        </w:rPr>
        <w:t>hébergement ou des foyer</w:t>
      </w:r>
      <w:r w:rsidR="00F068AB" w:rsidRPr="00052E12">
        <w:rPr>
          <w:b/>
          <w:lang w:val="fr-FR"/>
        </w:rPr>
        <w:t>s, soient disponibles sur l</w:t>
      </w:r>
      <w:r w:rsidR="00052E12" w:rsidRPr="00052E12">
        <w:rPr>
          <w:b/>
          <w:lang w:val="fr-FR"/>
        </w:rPr>
        <w:t>’</w:t>
      </w:r>
      <w:r w:rsidR="00F068AB" w:rsidRPr="00052E12">
        <w:rPr>
          <w:b/>
          <w:lang w:val="fr-FR"/>
        </w:rPr>
        <w:t>ensemble du territoire.</w:t>
      </w:r>
    </w:p>
    <w:p w:rsidR="004403D6" w:rsidRPr="00052E12" w:rsidRDefault="00F068AB" w:rsidP="008E1C0D">
      <w:pPr>
        <w:pStyle w:val="H23G"/>
      </w:pPr>
      <w:r w:rsidRPr="00052E12">
        <w:rPr>
          <w:lang w:val="fr-FR"/>
        </w:rPr>
        <w:tab/>
      </w:r>
      <w:r w:rsidRPr="00052E12">
        <w:rPr>
          <w:lang w:val="fr-FR"/>
        </w:rPr>
        <w:tab/>
        <w:t xml:space="preserve">Interruption volontaire de grossesse, mortalité maternelle </w:t>
      </w:r>
      <w:r w:rsidR="000B65E8">
        <w:rPr>
          <w:lang w:val="fr-FR"/>
        </w:rPr>
        <w:br/>
      </w:r>
      <w:r w:rsidRPr="00052E12">
        <w:rPr>
          <w:lang w:val="fr-FR"/>
        </w:rPr>
        <w:t xml:space="preserve">et droits liés </w:t>
      </w:r>
      <w:r w:rsidRPr="00052E12">
        <w:rPr>
          <w:lang w:val="fr-FR"/>
        </w:rPr>
        <w:t>à la procréation</w:t>
      </w:r>
      <w:bookmarkStart w:id="15" w:name="_Toc491177797"/>
      <w:bookmarkEnd w:id="15"/>
    </w:p>
    <w:p w:rsidR="004403D6" w:rsidRPr="00052E12" w:rsidRDefault="00F068AB" w:rsidP="00052E12">
      <w:pPr>
        <w:pStyle w:val="SingleTxtG"/>
      </w:pPr>
      <w:r w:rsidRPr="00052E12">
        <w:rPr>
          <w:lang w:val="fr-FR"/>
        </w:rPr>
        <w:t>28.</w:t>
      </w:r>
      <w:r w:rsidRPr="00052E12">
        <w:rPr>
          <w:lang w:val="fr-FR"/>
        </w:rPr>
        <w:tab/>
        <w:t>Le Comité est préoccupé par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 xml:space="preserve">augmentation notable du taux de mortalité maternelle et par la forte </w:t>
      </w:r>
      <w:r w:rsidRPr="00052E12">
        <w:rPr>
          <w:lang w:val="fr-FR"/>
        </w:rPr>
        <w:t>proportion de ces décès qui résulte d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 xml:space="preserve">avortements non médicalisés. </w:t>
      </w:r>
      <w:r w:rsidRPr="00052E12">
        <w:rPr>
          <w:lang w:val="fr-FR"/>
        </w:rPr>
        <w:t>Il</w:t>
      </w:r>
      <w:r w:rsidRPr="00052E12">
        <w:rPr>
          <w:lang w:val="fr-FR"/>
        </w:rPr>
        <w:t xml:space="preserve"> </w:t>
      </w:r>
      <w:r w:rsidRPr="00052E12">
        <w:rPr>
          <w:lang w:val="fr-FR"/>
        </w:rPr>
        <w:t>s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inquiète également du</w:t>
      </w:r>
      <w:r w:rsidRPr="00052E12">
        <w:rPr>
          <w:lang w:val="fr-FR"/>
        </w:rPr>
        <w:t xml:space="preserve"> manque de clarté quant aux circonstances dans lesquelles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 xml:space="preserve">interruption volontaire de grossesse est autorisée par la loi et </w:t>
      </w:r>
      <w:r w:rsidRPr="00052E12">
        <w:rPr>
          <w:lang w:val="fr-FR"/>
        </w:rPr>
        <w:t>du</w:t>
      </w:r>
      <w:r w:rsidRPr="00052E12">
        <w:rPr>
          <w:lang w:val="fr-FR"/>
        </w:rPr>
        <w:t xml:space="preserve"> fait que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État partie n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a pas enco</w:t>
      </w:r>
      <w:r w:rsidRPr="00052E12">
        <w:rPr>
          <w:lang w:val="fr-FR"/>
        </w:rPr>
        <w:t>re adopté la législation prévue par l</w:t>
      </w:r>
      <w:r w:rsidR="00052E12" w:rsidRPr="00052E12">
        <w:rPr>
          <w:lang w:val="fr-FR"/>
        </w:rPr>
        <w:t>’</w:t>
      </w:r>
      <w:r w:rsidR="00FC5235">
        <w:rPr>
          <w:lang w:val="fr-FR"/>
        </w:rPr>
        <w:t>article </w:t>
      </w:r>
      <w:r w:rsidRPr="00052E12">
        <w:rPr>
          <w:lang w:val="fr-FR"/>
        </w:rPr>
        <w:t>15 de la Constitution. Il est en outre préoccupé par les informations selon lesquelles des procédures lourdes, consistant notamment à exiger des décisions de justice, ainsi que le refus de pratiquer des avortem</w:t>
      </w:r>
      <w:r w:rsidRPr="00052E12">
        <w:rPr>
          <w:lang w:val="fr-FR"/>
        </w:rPr>
        <w:t>ents pour des raisons d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objection de conscience, entraveraient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accès de</w:t>
      </w:r>
      <w:r w:rsidRPr="00052E12">
        <w:rPr>
          <w:lang w:val="fr-FR"/>
        </w:rPr>
        <w:t>s</w:t>
      </w:r>
      <w:r w:rsidRPr="00052E12">
        <w:rPr>
          <w:lang w:val="fr-FR"/>
        </w:rPr>
        <w:t xml:space="preserve"> femmes et de</w:t>
      </w:r>
      <w:r w:rsidRPr="00052E12">
        <w:rPr>
          <w:lang w:val="fr-FR"/>
        </w:rPr>
        <w:t>s</w:t>
      </w:r>
      <w:r w:rsidRPr="00052E12">
        <w:rPr>
          <w:lang w:val="fr-FR"/>
        </w:rPr>
        <w:t xml:space="preserve"> filles à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 xml:space="preserve">avortement légal. Le Comité </w:t>
      </w:r>
      <w:r w:rsidRPr="00052E12">
        <w:rPr>
          <w:lang w:val="fr-FR"/>
        </w:rPr>
        <w:t>s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inquiète</w:t>
      </w:r>
      <w:r w:rsidRPr="00052E12">
        <w:rPr>
          <w:lang w:val="fr-FR"/>
        </w:rPr>
        <w:t xml:space="preserve"> aussi </w:t>
      </w:r>
      <w:r w:rsidRPr="00052E12">
        <w:rPr>
          <w:lang w:val="fr-FR"/>
        </w:rPr>
        <w:t>du</w:t>
      </w:r>
      <w:r w:rsidRPr="00052E12">
        <w:rPr>
          <w:lang w:val="fr-FR"/>
        </w:rPr>
        <w:t xml:space="preserve"> taux élevé de grosse</w:t>
      </w:r>
      <w:r w:rsidR="00FC5235">
        <w:rPr>
          <w:lang w:val="fr-FR"/>
        </w:rPr>
        <w:t>sse chez les adolescentes (art. </w:t>
      </w:r>
      <w:r w:rsidRPr="00052E12">
        <w:rPr>
          <w:lang w:val="fr-FR"/>
        </w:rPr>
        <w:t>3, 6 et 17).</w:t>
      </w:r>
    </w:p>
    <w:p w:rsidR="004403D6" w:rsidRPr="00052E12" w:rsidRDefault="00F068AB" w:rsidP="00052E12">
      <w:pPr>
        <w:pStyle w:val="SingleTxtG"/>
        <w:rPr>
          <w:b/>
        </w:rPr>
      </w:pPr>
      <w:r w:rsidRPr="00052E12">
        <w:rPr>
          <w:lang w:val="fr-FR"/>
        </w:rPr>
        <w:t>29.</w:t>
      </w:r>
      <w:r w:rsidRPr="00052E12">
        <w:rPr>
          <w:lang w:val="fr-FR"/>
        </w:rPr>
        <w:tab/>
      </w:r>
      <w:r w:rsidRPr="00052E12">
        <w:rPr>
          <w:b/>
          <w:lang w:val="fr-FR"/>
        </w:rPr>
        <w:t>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État partie devrait</w:t>
      </w:r>
      <w:r w:rsidR="00091812">
        <w:rPr>
          <w:b/>
          <w:lang w:val="fr-FR"/>
        </w:rPr>
        <w:t> :</w:t>
      </w:r>
    </w:p>
    <w:p w:rsidR="004403D6" w:rsidRPr="00052E12" w:rsidRDefault="00F068AB" w:rsidP="00052E12">
      <w:pPr>
        <w:pStyle w:val="SingleTxtG"/>
        <w:rPr>
          <w:b/>
        </w:rPr>
      </w:pPr>
      <w:r w:rsidRPr="008E1C0D">
        <w:rPr>
          <w:b/>
          <w:lang w:val="fr-FR"/>
        </w:rPr>
        <w:tab/>
        <w:t>a)</w:t>
      </w:r>
      <w:r w:rsidRPr="008E1C0D">
        <w:rPr>
          <w:b/>
          <w:lang w:val="fr-FR"/>
        </w:rPr>
        <w:tab/>
      </w:r>
      <w:r w:rsidRPr="00052E12">
        <w:rPr>
          <w:b/>
          <w:lang w:val="fr-FR"/>
        </w:rPr>
        <w:t xml:space="preserve">Adopter la </w:t>
      </w:r>
      <w:r w:rsidRPr="00052E12">
        <w:rPr>
          <w:b/>
          <w:lang w:val="fr-FR"/>
        </w:rPr>
        <w:t>législation prévue par l</w:t>
      </w:r>
      <w:r w:rsidR="00052E12" w:rsidRPr="00052E12">
        <w:rPr>
          <w:b/>
          <w:lang w:val="fr-FR"/>
        </w:rPr>
        <w:t>’</w:t>
      </w:r>
      <w:r w:rsidR="00FC5235">
        <w:rPr>
          <w:b/>
          <w:lang w:val="fr-FR"/>
        </w:rPr>
        <w:t>article </w:t>
      </w:r>
      <w:r w:rsidRPr="00052E12">
        <w:rPr>
          <w:b/>
          <w:lang w:val="fr-FR"/>
        </w:rPr>
        <w:t>15 de la Constitution et lever les obstacles juridiques et procéduraux à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interruption volontaire de grossesse de sorte que les femmes ne soie</w:t>
      </w:r>
      <w:r w:rsidRPr="00052E12">
        <w:rPr>
          <w:b/>
          <w:lang w:val="fr-FR"/>
        </w:rPr>
        <w:t>nt pas poussées à recourir à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avortement clandestin</w:t>
      </w:r>
      <w:r w:rsidRPr="00052E12">
        <w:rPr>
          <w:b/>
          <w:lang w:val="fr-FR"/>
        </w:rPr>
        <w:t xml:space="preserve"> au péril de leur santé et d</w:t>
      </w:r>
      <w:r w:rsidRPr="00052E12">
        <w:rPr>
          <w:b/>
          <w:lang w:val="fr-FR"/>
        </w:rPr>
        <w:t>e leur vie</w:t>
      </w:r>
      <w:r w:rsidR="00091812">
        <w:rPr>
          <w:b/>
          <w:lang w:val="fr-FR"/>
        </w:rPr>
        <w:t> ;</w:t>
      </w:r>
    </w:p>
    <w:p w:rsidR="004403D6" w:rsidRPr="00052E12" w:rsidRDefault="00F068AB" w:rsidP="00052E12">
      <w:pPr>
        <w:pStyle w:val="SingleTxtG"/>
        <w:rPr>
          <w:b/>
        </w:rPr>
      </w:pPr>
      <w:r w:rsidRPr="008E1C0D">
        <w:rPr>
          <w:b/>
          <w:lang w:val="fr-FR"/>
        </w:rPr>
        <w:tab/>
        <w:t>b)</w:t>
      </w:r>
      <w:r w:rsidRPr="008E1C0D">
        <w:rPr>
          <w:b/>
          <w:lang w:val="fr-FR"/>
        </w:rPr>
        <w:tab/>
      </w:r>
      <w:r w:rsidRPr="00052E12">
        <w:rPr>
          <w:b/>
          <w:lang w:val="fr-FR"/>
        </w:rPr>
        <w:t>Mettre en place des protocoles clairs à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intention des prestataires de services, de manière à assurer un accès réel et légal à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avortement</w:t>
      </w:r>
      <w:r w:rsidR="00091812">
        <w:rPr>
          <w:b/>
          <w:lang w:val="fr-FR"/>
        </w:rPr>
        <w:t> ;</w:t>
      </w:r>
    </w:p>
    <w:p w:rsidR="004403D6" w:rsidRPr="00052E12" w:rsidRDefault="00F068AB" w:rsidP="00052E12">
      <w:pPr>
        <w:pStyle w:val="SingleTxtG"/>
        <w:rPr>
          <w:b/>
        </w:rPr>
      </w:pPr>
      <w:r w:rsidRPr="008E1C0D">
        <w:rPr>
          <w:b/>
          <w:lang w:val="fr-FR"/>
        </w:rPr>
        <w:tab/>
        <w:t>c)</w:t>
      </w:r>
      <w:r w:rsidRPr="008E1C0D">
        <w:rPr>
          <w:b/>
          <w:lang w:val="fr-FR"/>
        </w:rPr>
        <w:tab/>
      </w:r>
      <w:r w:rsidRPr="00052E12">
        <w:rPr>
          <w:b/>
          <w:lang w:val="fr-FR"/>
        </w:rPr>
        <w:t>Assurer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accès des hommes et des femmes, ainsi que des garçons et des filles</w:t>
      </w:r>
      <w:r w:rsidRPr="00052E12">
        <w:rPr>
          <w:b/>
          <w:lang w:val="fr-FR"/>
        </w:rPr>
        <w:t>,</w:t>
      </w:r>
      <w:r w:rsidRPr="00052E12">
        <w:rPr>
          <w:b/>
          <w:lang w:val="fr-FR"/>
        </w:rPr>
        <w:t xml:space="preserve"> à une éducation et à des services complets en matière de santé génésique dans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ensemble du pays, y compris dans les zones rurales, notamment pour ce qui est de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accès à des contraceptifs à prix abordable</w:t>
      </w:r>
      <w:r w:rsidRPr="00052E12">
        <w:rPr>
          <w:b/>
          <w:lang w:val="fr-FR"/>
        </w:rPr>
        <w:t>,</w:t>
      </w:r>
      <w:r w:rsidRPr="00052E12">
        <w:rPr>
          <w:b/>
          <w:lang w:val="fr-FR"/>
        </w:rPr>
        <w:t xml:space="preserve"> et renforcer les programmes visant à sensibilise</w:t>
      </w:r>
      <w:r w:rsidRPr="00052E12">
        <w:rPr>
          <w:b/>
          <w:lang w:val="fr-FR"/>
        </w:rPr>
        <w:t>r la population à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importance d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utiliser des contraceptifs, ainsi qu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aux droits et aux choix existants en matière de santé sexuelle et procréative</w:t>
      </w:r>
      <w:r w:rsidR="00091812">
        <w:rPr>
          <w:b/>
          <w:lang w:val="fr-FR"/>
        </w:rPr>
        <w:t> ;</w:t>
      </w:r>
    </w:p>
    <w:p w:rsidR="004403D6" w:rsidRPr="00052E12" w:rsidRDefault="00F068AB" w:rsidP="00052E12">
      <w:pPr>
        <w:pStyle w:val="SingleTxtG"/>
        <w:rPr>
          <w:b/>
        </w:rPr>
      </w:pPr>
      <w:r w:rsidRPr="008E1C0D">
        <w:rPr>
          <w:b/>
          <w:lang w:val="fr-FR"/>
        </w:rPr>
        <w:tab/>
        <w:t>d)</w:t>
      </w:r>
      <w:r w:rsidRPr="008E1C0D">
        <w:rPr>
          <w:b/>
          <w:lang w:val="fr-FR"/>
        </w:rPr>
        <w:tab/>
      </w:r>
      <w:r w:rsidRPr="00052E12">
        <w:rPr>
          <w:b/>
          <w:lang w:val="fr-FR"/>
        </w:rPr>
        <w:t xml:space="preserve">Collecter des données </w:t>
      </w:r>
      <w:r w:rsidRPr="00052E12">
        <w:rPr>
          <w:b/>
          <w:lang w:val="fr-FR"/>
        </w:rPr>
        <w:t>ventilées sur la mortalité maternelle, notamment sur la mortalité liée</w:t>
      </w:r>
      <w:r w:rsidRPr="00052E12">
        <w:rPr>
          <w:b/>
          <w:lang w:val="fr-FR"/>
        </w:rPr>
        <w:t xml:space="preserve"> aux avortements non médicalisés.</w:t>
      </w:r>
      <w:r w:rsidRPr="00052E12">
        <w:rPr>
          <w:lang w:val="fr-FR"/>
        </w:rPr>
        <w:t xml:space="preserve"> </w:t>
      </w:r>
    </w:p>
    <w:p w:rsidR="004403D6" w:rsidRPr="00052E12" w:rsidRDefault="00F068AB" w:rsidP="008E1C0D">
      <w:pPr>
        <w:pStyle w:val="H23G"/>
      </w:pPr>
      <w:r w:rsidRPr="00052E12">
        <w:rPr>
          <w:lang w:val="fr-FR"/>
        </w:rPr>
        <w:tab/>
      </w:r>
      <w:r w:rsidRPr="00052E12">
        <w:rPr>
          <w:lang w:val="fr-FR"/>
        </w:rPr>
        <w:tab/>
        <w:t>Droit à la vie et emploi de la force par les responsables de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application des lois</w:t>
      </w:r>
      <w:bookmarkStart w:id="16" w:name="_Toc491177798"/>
      <w:bookmarkEnd w:id="16"/>
    </w:p>
    <w:p w:rsidR="004403D6" w:rsidRPr="00FC5235" w:rsidRDefault="00F068AB" w:rsidP="00052E12">
      <w:pPr>
        <w:pStyle w:val="SingleTxtG"/>
        <w:rPr>
          <w:spacing w:val="-2"/>
        </w:rPr>
      </w:pPr>
      <w:r w:rsidRPr="00FC5235">
        <w:rPr>
          <w:spacing w:val="-2"/>
          <w:lang w:val="fr-FR"/>
        </w:rPr>
        <w:t>30.</w:t>
      </w:r>
      <w:r w:rsidRPr="00FC5235">
        <w:rPr>
          <w:spacing w:val="-2"/>
          <w:lang w:val="fr-FR"/>
        </w:rPr>
        <w:tab/>
        <w:t>Le Comité est préoccupé par les informations selon lesquelles les forces de l</w:t>
      </w:r>
      <w:r w:rsidR="00052E12" w:rsidRPr="00FC5235">
        <w:rPr>
          <w:spacing w:val="-2"/>
          <w:lang w:val="fr-FR"/>
        </w:rPr>
        <w:t>’</w:t>
      </w:r>
      <w:r w:rsidRPr="00FC5235">
        <w:rPr>
          <w:spacing w:val="-2"/>
          <w:lang w:val="fr-FR"/>
        </w:rPr>
        <w:t>ordre et les gardes-chasses de l</w:t>
      </w:r>
      <w:r w:rsidR="00052E12" w:rsidRPr="00FC5235">
        <w:rPr>
          <w:spacing w:val="-2"/>
          <w:lang w:val="fr-FR"/>
        </w:rPr>
        <w:t>’</w:t>
      </w:r>
      <w:r w:rsidRPr="00FC5235">
        <w:rPr>
          <w:spacing w:val="-2"/>
          <w:lang w:val="fr-FR"/>
        </w:rPr>
        <w:t>État partie emploier</w:t>
      </w:r>
      <w:r w:rsidRPr="00FC5235">
        <w:rPr>
          <w:spacing w:val="-2"/>
          <w:lang w:val="fr-FR"/>
        </w:rPr>
        <w:t>aient la force meurtrière</w:t>
      </w:r>
      <w:r w:rsidRPr="00FC5235">
        <w:rPr>
          <w:spacing w:val="-2"/>
          <w:lang w:val="fr-FR"/>
        </w:rPr>
        <w:t xml:space="preserve"> de manière excessive et pratiqueraient des exécutions arbitraires. Il s</w:t>
      </w:r>
      <w:r w:rsidR="00052E12" w:rsidRPr="00FC5235">
        <w:rPr>
          <w:spacing w:val="-2"/>
          <w:lang w:val="fr-FR"/>
        </w:rPr>
        <w:t>’</w:t>
      </w:r>
      <w:r w:rsidRPr="00FC5235">
        <w:rPr>
          <w:spacing w:val="-2"/>
          <w:lang w:val="fr-FR"/>
        </w:rPr>
        <w:t>inquiète particulièrement des conditions permissives prévues à l</w:t>
      </w:r>
      <w:r w:rsidR="00052E12" w:rsidRPr="00FC5235">
        <w:rPr>
          <w:spacing w:val="-2"/>
          <w:lang w:val="fr-FR"/>
        </w:rPr>
        <w:t>’</w:t>
      </w:r>
      <w:r w:rsidR="00FC5235" w:rsidRPr="00FC5235">
        <w:rPr>
          <w:spacing w:val="-2"/>
          <w:lang w:val="fr-FR"/>
        </w:rPr>
        <w:t>article </w:t>
      </w:r>
      <w:r w:rsidRPr="00FC5235">
        <w:rPr>
          <w:spacing w:val="-2"/>
          <w:lang w:val="fr-FR"/>
        </w:rPr>
        <w:t>41 de la loi relative à la procédure pénale et aux éléments de preuve</w:t>
      </w:r>
      <w:r w:rsidRPr="00FC5235">
        <w:rPr>
          <w:spacing w:val="-2"/>
          <w:lang w:val="fr-FR"/>
        </w:rPr>
        <w:t xml:space="preserve"> et de cer</w:t>
      </w:r>
      <w:r w:rsidRPr="00FC5235">
        <w:rPr>
          <w:spacing w:val="-2"/>
          <w:lang w:val="fr-FR"/>
        </w:rPr>
        <w:t>taines dispositions de la loi relative à l</w:t>
      </w:r>
      <w:r w:rsidR="00052E12" w:rsidRPr="00FC5235">
        <w:rPr>
          <w:spacing w:val="-2"/>
          <w:lang w:val="fr-FR"/>
        </w:rPr>
        <w:t>’</w:t>
      </w:r>
      <w:r w:rsidRPr="00FC5235">
        <w:rPr>
          <w:spacing w:val="-2"/>
          <w:lang w:val="fr-FR"/>
        </w:rPr>
        <w:t>ordre public</w:t>
      </w:r>
      <w:r w:rsidRPr="00FC5235">
        <w:rPr>
          <w:spacing w:val="-2"/>
          <w:lang w:val="fr-FR"/>
        </w:rPr>
        <w:t>, qui laissent chaque agent de police déterminer s</w:t>
      </w:r>
      <w:r w:rsidR="00052E12" w:rsidRPr="00FC5235">
        <w:rPr>
          <w:spacing w:val="-2"/>
          <w:lang w:val="fr-FR"/>
        </w:rPr>
        <w:t>’</w:t>
      </w:r>
      <w:r w:rsidRPr="00FC5235">
        <w:rPr>
          <w:spacing w:val="-2"/>
          <w:lang w:val="fr-FR"/>
        </w:rPr>
        <w:t xml:space="preserve">il est opportun </w:t>
      </w:r>
      <w:r w:rsidRPr="00FC5235">
        <w:rPr>
          <w:spacing w:val="-2"/>
          <w:lang w:val="fr-FR"/>
        </w:rPr>
        <w:t>de recourir à</w:t>
      </w:r>
      <w:r w:rsidRPr="00FC5235">
        <w:rPr>
          <w:spacing w:val="-2"/>
          <w:lang w:val="fr-FR"/>
        </w:rPr>
        <w:t xml:space="preserve"> la force. Il est également préoccupé par des informations selon lesquelles les modifications qu</w:t>
      </w:r>
      <w:r w:rsidR="00052E12" w:rsidRPr="00FC5235">
        <w:rPr>
          <w:spacing w:val="-2"/>
          <w:lang w:val="fr-FR"/>
        </w:rPr>
        <w:t>’</w:t>
      </w:r>
      <w:r w:rsidRPr="00FC5235">
        <w:rPr>
          <w:spacing w:val="-2"/>
          <w:lang w:val="fr-FR"/>
        </w:rPr>
        <w:t>il est proposé d</w:t>
      </w:r>
      <w:r w:rsidR="00052E12" w:rsidRPr="00FC5235">
        <w:rPr>
          <w:spacing w:val="-2"/>
          <w:lang w:val="fr-FR"/>
        </w:rPr>
        <w:t>’</w:t>
      </w:r>
      <w:r w:rsidRPr="00FC5235">
        <w:rPr>
          <w:spacing w:val="-2"/>
          <w:lang w:val="fr-FR"/>
        </w:rPr>
        <w:t>apporter à la loi sur la chasse</w:t>
      </w:r>
      <w:r w:rsidRPr="00FC5235">
        <w:rPr>
          <w:spacing w:val="-2"/>
          <w:lang w:val="fr-FR"/>
        </w:rPr>
        <w:t xml:space="preserve"> pourraient conférer aux gardes-chasses l</w:t>
      </w:r>
      <w:r w:rsidR="00052E12" w:rsidRPr="00FC5235">
        <w:rPr>
          <w:spacing w:val="-2"/>
          <w:lang w:val="fr-FR"/>
        </w:rPr>
        <w:t>’</w:t>
      </w:r>
      <w:r w:rsidRPr="00FC5235">
        <w:rPr>
          <w:spacing w:val="-2"/>
          <w:lang w:val="fr-FR"/>
        </w:rPr>
        <w:t xml:space="preserve">immunité contre les poursuites dans les cas </w:t>
      </w:r>
      <w:r w:rsidRPr="00FC5235">
        <w:rPr>
          <w:spacing w:val="-2"/>
          <w:lang w:val="fr-FR"/>
        </w:rPr>
        <w:lastRenderedPageBreak/>
        <w:t>où ils recourent à la force contre des personnes soupçonnées de braconnage. S</w:t>
      </w:r>
      <w:r w:rsidR="00052E12" w:rsidRPr="00FC5235">
        <w:rPr>
          <w:spacing w:val="-2"/>
          <w:lang w:val="fr-FR"/>
        </w:rPr>
        <w:t>’</w:t>
      </w:r>
      <w:r w:rsidRPr="00FC5235">
        <w:rPr>
          <w:spacing w:val="-2"/>
          <w:lang w:val="fr-FR"/>
        </w:rPr>
        <w:t>il accueille favorablement le moratoire de l</w:t>
      </w:r>
      <w:r w:rsidR="00052E12" w:rsidRPr="00FC5235">
        <w:rPr>
          <w:spacing w:val="-2"/>
          <w:lang w:val="fr-FR"/>
        </w:rPr>
        <w:t>’</w:t>
      </w:r>
      <w:r w:rsidRPr="00FC5235">
        <w:rPr>
          <w:spacing w:val="-2"/>
          <w:lang w:val="fr-FR"/>
        </w:rPr>
        <w:t>État partie s</w:t>
      </w:r>
      <w:r w:rsidRPr="00FC5235">
        <w:rPr>
          <w:spacing w:val="-2"/>
          <w:lang w:val="fr-FR"/>
        </w:rPr>
        <w:t xml:space="preserve">ur la peine de mort et son intention déclarée de ratifier le </w:t>
      </w:r>
      <w:r w:rsidRPr="00FC5235">
        <w:rPr>
          <w:spacing w:val="-2"/>
          <w:lang w:val="fr-FR"/>
        </w:rPr>
        <w:t>d</w:t>
      </w:r>
      <w:r w:rsidRPr="00FC5235">
        <w:rPr>
          <w:spacing w:val="-2"/>
          <w:lang w:val="fr-FR"/>
        </w:rPr>
        <w:t>euxième Protocole facultatif se rapportant au Pacte, le Comité s</w:t>
      </w:r>
      <w:r w:rsidR="00052E12" w:rsidRPr="00FC5235">
        <w:rPr>
          <w:spacing w:val="-2"/>
          <w:lang w:val="fr-FR"/>
        </w:rPr>
        <w:t>’</w:t>
      </w:r>
      <w:r w:rsidRPr="00FC5235">
        <w:rPr>
          <w:spacing w:val="-2"/>
          <w:lang w:val="fr-FR"/>
        </w:rPr>
        <w:t>inquiète de ce que l</w:t>
      </w:r>
      <w:r w:rsidR="00052E12" w:rsidRPr="00FC5235">
        <w:rPr>
          <w:spacing w:val="-2"/>
          <w:lang w:val="fr-FR"/>
        </w:rPr>
        <w:t>’</w:t>
      </w:r>
      <w:r w:rsidRPr="00FC5235">
        <w:rPr>
          <w:spacing w:val="-2"/>
          <w:lang w:val="fr-FR"/>
        </w:rPr>
        <w:t>État partie n</w:t>
      </w:r>
      <w:r w:rsidR="00052E12" w:rsidRPr="00FC5235">
        <w:rPr>
          <w:spacing w:val="-2"/>
          <w:lang w:val="fr-FR"/>
        </w:rPr>
        <w:t>’</w:t>
      </w:r>
      <w:r w:rsidRPr="00FC5235">
        <w:rPr>
          <w:spacing w:val="-2"/>
          <w:lang w:val="fr-FR"/>
        </w:rPr>
        <w:t xml:space="preserve">a pas encore fixé </w:t>
      </w:r>
      <w:r w:rsidR="00FC5235" w:rsidRPr="00FC5235">
        <w:rPr>
          <w:spacing w:val="-2"/>
          <w:lang w:val="fr-FR"/>
        </w:rPr>
        <w:t>de calendrier à cet égard (art. </w:t>
      </w:r>
      <w:r w:rsidRPr="00FC5235">
        <w:rPr>
          <w:spacing w:val="-2"/>
          <w:lang w:val="fr-FR"/>
        </w:rPr>
        <w:t>6 et 7).</w:t>
      </w:r>
    </w:p>
    <w:p w:rsidR="004403D6" w:rsidRPr="00052E12" w:rsidRDefault="00F068AB" w:rsidP="00052E12">
      <w:pPr>
        <w:pStyle w:val="SingleTxtG"/>
        <w:rPr>
          <w:b/>
        </w:rPr>
      </w:pPr>
      <w:r w:rsidRPr="00052E12">
        <w:rPr>
          <w:lang w:val="fr-FR"/>
        </w:rPr>
        <w:t>31.</w:t>
      </w:r>
      <w:r w:rsidRPr="00052E12">
        <w:rPr>
          <w:lang w:val="fr-FR"/>
        </w:rPr>
        <w:tab/>
      </w:r>
      <w:r w:rsidRPr="00052E12">
        <w:rPr>
          <w:b/>
          <w:lang w:val="fr-FR"/>
        </w:rPr>
        <w:t>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État partie devrait modifier</w:t>
      </w:r>
      <w:r w:rsidRPr="00052E12">
        <w:rPr>
          <w:b/>
          <w:lang w:val="fr-FR"/>
        </w:rPr>
        <w:t xml:space="preserve"> la législation nationale régissant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emploi de la force par les agents de police et les gardes-chasses de manière à garantir la protection effective du droit à la vie conformément à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article 6 du Pacte. Il devrait également prendre des mesures pour faire</w:t>
      </w:r>
      <w:r w:rsidRPr="00052E12">
        <w:rPr>
          <w:b/>
          <w:lang w:val="fr-FR"/>
        </w:rPr>
        <w:t xml:space="preserve"> en sorte que la loi et la pratique soient conformes aux Principes de base sur le recours à la force et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utilisation des armes à feu par les responsables de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application des lois</w:t>
      </w:r>
      <w:r w:rsidRPr="00052E12">
        <w:rPr>
          <w:b/>
          <w:lang w:val="fr-FR"/>
        </w:rPr>
        <w:t>.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État partie devrait envisager de ratifie</w:t>
      </w:r>
      <w:r w:rsidRPr="00052E12">
        <w:rPr>
          <w:b/>
          <w:lang w:val="fr-FR"/>
        </w:rPr>
        <w:t>r dans les meilleurs délais l</w:t>
      </w:r>
      <w:r w:rsidRPr="00052E12">
        <w:rPr>
          <w:b/>
          <w:lang w:val="fr-FR"/>
        </w:rPr>
        <w:t xml:space="preserve">e </w:t>
      </w:r>
      <w:r w:rsidRPr="00052E12">
        <w:rPr>
          <w:b/>
          <w:lang w:val="fr-FR"/>
        </w:rPr>
        <w:t>d</w:t>
      </w:r>
      <w:r w:rsidRPr="00052E12">
        <w:rPr>
          <w:b/>
          <w:lang w:val="fr-FR"/>
        </w:rPr>
        <w:t>euxième P</w:t>
      </w:r>
      <w:r w:rsidRPr="00052E12">
        <w:rPr>
          <w:b/>
          <w:lang w:val="fr-FR"/>
        </w:rPr>
        <w:t>rotocole facultatif se rapportant au Pacte.</w:t>
      </w:r>
      <w:r w:rsidRPr="00052E12">
        <w:rPr>
          <w:lang w:val="fr-FR"/>
        </w:rPr>
        <w:t xml:space="preserve"> </w:t>
      </w:r>
    </w:p>
    <w:p w:rsidR="004403D6" w:rsidRPr="00052E12" w:rsidRDefault="00F068AB" w:rsidP="008E1C0D">
      <w:pPr>
        <w:pStyle w:val="H23G"/>
      </w:pPr>
      <w:r w:rsidRPr="00052E12">
        <w:rPr>
          <w:lang w:val="fr-FR"/>
        </w:rPr>
        <w:tab/>
      </w:r>
      <w:r w:rsidRPr="00052E12">
        <w:rPr>
          <w:lang w:val="fr-FR"/>
        </w:rPr>
        <w:tab/>
        <w:t xml:space="preserve">Personnes privées de liberté et décès en détention </w:t>
      </w:r>
      <w:bookmarkStart w:id="17" w:name="_Toc491177799"/>
      <w:bookmarkEnd w:id="17"/>
    </w:p>
    <w:p w:rsidR="004403D6" w:rsidRPr="00052E12" w:rsidRDefault="00F068AB" w:rsidP="00052E12">
      <w:pPr>
        <w:pStyle w:val="SingleTxtG"/>
      </w:pPr>
      <w:r w:rsidRPr="00052E12">
        <w:rPr>
          <w:lang w:val="fr-FR"/>
        </w:rPr>
        <w:t>32.</w:t>
      </w:r>
      <w:r w:rsidRPr="00052E12">
        <w:rPr>
          <w:lang w:val="fr-FR"/>
        </w:rPr>
        <w:tab/>
        <w:t>Le Comité prend note avec préoccupation d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informations indiquant que les détenus n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ont pas toujour</w:t>
      </w:r>
      <w:r w:rsidR="000B65E8">
        <w:rPr>
          <w:lang w:val="fr-FR"/>
        </w:rPr>
        <w:t>s accès à un avocat et que leur famille</w:t>
      </w:r>
      <w:r w:rsidRPr="00052E12">
        <w:rPr>
          <w:lang w:val="fr-FR"/>
        </w:rPr>
        <w:t xml:space="preserve"> ne sont pas correctement informées de leur détention. Il relève </w:t>
      </w:r>
      <w:r w:rsidRPr="00052E12">
        <w:rPr>
          <w:lang w:val="fr-FR"/>
        </w:rPr>
        <w:t>également</w:t>
      </w:r>
      <w:r w:rsidRPr="00052E12">
        <w:rPr>
          <w:lang w:val="fr-FR"/>
        </w:rPr>
        <w:t xml:space="preserve"> que </w:t>
      </w:r>
      <w:r w:rsidRPr="00052E12">
        <w:rPr>
          <w:lang w:val="fr-FR"/>
        </w:rPr>
        <w:t xml:space="preserve">si </w:t>
      </w:r>
      <w:r w:rsidRPr="00052E12">
        <w:rPr>
          <w:lang w:val="fr-FR"/>
        </w:rPr>
        <w:t xml:space="preserve">la Constitution interdit la torture, </w:t>
      </w:r>
      <w:r w:rsidRPr="00052E12">
        <w:rPr>
          <w:lang w:val="fr-FR"/>
        </w:rPr>
        <w:t>celle-ci n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 xml:space="preserve">est pas expressément </w:t>
      </w:r>
      <w:r w:rsidRPr="00052E12">
        <w:rPr>
          <w:lang w:val="fr-FR"/>
        </w:rPr>
        <w:t>incriminée</w:t>
      </w:r>
      <w:r w:rsidRPr="00052E12">
        <w:rPr>
          <w:lang w:val="fr-FR"/>
        </w:rPr>
        <w:t xml:space="preserve"> e</w:t>
      </w:r>
      <w:r w:rsidRPr="00052E12">
        <w:rPr>
          <w:lang w:val="fr-FR"/>
        </w:rPr>
        <w:t xml:space="preserve">t </w:t>
      </w:r>
      <w:r w:rsidRPr="00052E12">
        <w:rPr>
          <w:lang w:val="fr-FR"/>
        </w:rPr>
        <w:t>il n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existe pas d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organe indépendant chargé d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 xml:space="preserve">enquêter sur les </w:t>
      </w:r>
      <w:r w:rsidRPr="00052E12">
        <w:rPr>
          <w:lang w:val="fr-FR"/>
        </w:rPr>
        <w:t>cas de</w:t>
      </w:r>
      <w:r w:rsidRPr="00052E12">
        <w:rPr>
          <w:lang w:val="fr-FR"/>
        </w:rPr>
        <w:t xml:space="preserve"> torture ou </w:t>
      </w:r>
      <w:r w:rsidRPr="00052E12">
        <w:rPr>
          <w:lang w:val="fr-FR"/>
        </w:rPr>
        <w:t xml:space="preserve">de </w:t>
      </w:r>
      <w:r w:rsidRPr="00052E12">
        <w:rPr>
          <w:lang w:val="fr-FR"/>
        </w:rPr>
        <w:t>mauvais traitements mettant en cause des responsables de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 xml:space="preserve">application des lois. Le Comité est préoccupé par les nombreux cas de décès en détention </w:t>
      </w:r>
      <w:r w:rsidRPr="00052E12">
        <w:rPr>
          <w:lang w:val="fr-FR"/>
        </w:rPr>
        <w:t>signal</w:t>
      </w:r>
      <w:r w:rsidRPr="00052E12">
        <w:rPr>
          <w:lang w:val="fr-FR"/>
        </w:rPr>
        <w:t>és.</w:t>
      </w:r>
      <w:r w:rsidRPr="00052E12">
        <w:rPr>
          <w:lang w:val="fr-FR"/>
        </w:rPr>
        <w:t xml:space="preserve"> Il est également préoccupé par les retards constatés dans</w:t>
      </w:r>
      <w:r w:rsidRPr="00052E12">
        <w:rPr>
          <w:lang w:val="fr-FR"/>
        </w:rPr>
        <w:t xml:space="preserve"> les enquêtes sur la mort de </w:t>
      </w:r>
      <w:r w:rsidR="00FC5235">
        <w:rPr>
          <w:lang w:val="fr-FR"/>
        </w:rPr>
        <w:t>Luciano Reginaldo Zavale le 12 </w:t>
      </w:r>
      <w:r w:rsidRPr="00052E12">
        <w:rPr>
          <w:lang w:val="fr-FR"/>
        </w:rPr>
        <w:t xml:space="preserve">juin 2015 et de </w:t>
      </w:r>
      <w:r w:rsidRPr="00052E12">
        <w:rPr>
          <w:lang w:val="fr-FR"/>
        </w:rPr>
        <w:t xml:space="preserve">Sipho Jele en mai 2010. Il </w:t>
      </w:r>
      <w:r w:rsidRPr="00052E12">
        <w:rPr>
          <w:lang w:val="fr-FR"/>
        </w:rPr>
        <w:t xml:space="preserve">constate </w:t>
      </w:r>
      <w:r w:rsidRPr="00052E12">
        <w:rPr>
          <w:lang w:val="fr-FR"/>
        </w:rPr>
        <w:t xml:space="preserve">en outre </w:t>
      </w:r>
      <w:r w:rsidRPr="00052E12">
        <w:rPr>
          <w:lang w:val="fr-FR"/>
        </w:rPr>
        <w:t xml:space="preserve">avec préoccupation </w:t>
      </w:r>
      <w:r w:rsidRPr="00052E12">
        <w:rPr>
          <w:lang w:val="fr-FR"/>
        </w:rPr>
        <w:t>que</w:t>
      </w:r>
      <w:r w:rsidRPr="00052E12">
        <w:rPr>
          <w:lang w:val="fr-FR"/>
        </w:rPr>
        <w:t xml:space="preserve"> si</w:t>
      </w:r>
      <w:r w:rsidRPr="00052E12">
        <w:rPr>
          <w:lang w:val="fr-FR"/>
        </w:rPr>
        <w:t xml:space="preserve">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 xml:space="preserve">État partie </w:t>
      </w:r>
      <w:r w:rsidRPr="00052E12">
        <w:rPr>
          <w:lang w:val="fr-FR"/>
        </w:rPr>
        <w:t>s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est engagé à ratifier le Protocole facultatif se rapportant à la Convention contre la torture et autres peines ou traitements cruels, inhumains ou dégradants</w:t>
      </w:r>
      <w:r w:rsidRPr="00052E12">
        <w:rPr>
          <w:lang w:val="fr-FR"/>
        </w:rPr>
        <w:t>, aucun progrès n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 xml:space="preserve">a été réalisé </w:t>
      </w:r>
      <w:r w:rsidRPr="00052E12">
        <w:rPr>
          <w:lang w:val="fr-FR"/>
        </w:rPr>
        <w:t>jusqu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à présent</w:t>
      </w:r>
      <w:r w:rsidR="00FC5235">
        <w:rPr>
          <w:lang w:val="fr-FR"/>
        </w:rPr>
        <w:t xml:space="preserve"> (art. </w:t>
      </w:r>
      <w:r w:rsidRPr="00052E12">
        <w:rPr>
          <w:lang w:val="fr-FR"/>
        </w:rPr>
        <w:t>2, 6, 7, 9 et 10).</w:t>
      </w:r>
    </w:p>
    <w:p w:rsidR="004403D6" w:rsidRPr="00052E12" w:rsidRDefault="00F068AB" w:rsidP="00052E12">
      <w:pPr>
        <w:pStyle w:val="SingleTxtG"/>
        <w:rPr>
          <w:b/>
        </w:rPr>
      </w:pPr>
      <w:r w:rsidRPr="00052E12">
        <w:rPr>
          <w:lang w:val="fr-FR"/>
        </w:rPr>
        <w:t>33.</w:t>
      </w:r>
      <w:r w:rsidRPr="00052E12">
        <w:rPr>
          <w:lang w:val="fr-FR"/>
        </w:rPr>
        <w:tab/>
      </w:r>
      <w:r w:rsidRPr="00052E12">
        <w:rPr>
          <w:b/>
          <w:lang w:val="fr-FR"/>
        </w:rPr>
        <w:t>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État partie devrait</w:t>
      </w:r>
      <w:r w:rsidR="00091812">
        <w:rPr>
          <w:b/>
          <w:lang w:val="fr-FR"/>
        </w:rPr>
        <w:t> :</w:t>
      </w:r>
    </w:p>
    <w:p w:rsidR="004403D6" w:rsidRPr="00052E12" w:rsidRDefault="00F068AB" w:rsidP="00052E12">
      <w:pPr>
        <w:pStyle w:val="SingleTxtG"/>
        <w:rPr>
          <w:b/>
        </w:rPr>
      </w:pPr>
      <w:r w:rsidRPr="008E1C0D">
        <w:rPr>
          <w:b/>
          <w:lang w:val="fr-FR"/>
        </w:rPr>
        <w:tab/>
        <w:t>a)</w:t>
      </w:r>
      <w:r w:rsidRPr="008E1C0D">
        <w:rPr>
          <w:b/>
          <w:lang w:val="fr-FR"/>
        </w:rPr>
        <w:tab/>
      </w:r>
      <w:r w:rsidRPr="00052E12">
        <w:rPr>
          <w:b/>
          <w:lang w:val="fr-FR"/>
        </w:rPr>
        <w:t>Veiller à ce que les garanties juridiques fondamentales relatives à la liberté et la sécurité de la personne prévues dans le Pacte pour protéger les personnes privées de liberté, y compris le droit d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être assisté d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un conseil e</w:t>
      </w:r>
      <w:r w:rsidRPr="00052E12">
        <w:rPr>
          <w:b/>
          <w:lang w:val="fr-FR"/>
        </w:rPr>
        <w:t>t le droit d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 xml:space="preserve">être traité avec humanité, soient appliquées sans exception </w:t>
      </w:r>
      <w:r w:rsidRPr="00052E12">
        <w:rPr>
          <w:b/>
          <w:lang w:val="fr-FR"/>
        </w:rPr>
        <w:t>dès le début</w:t>
      </w:r>
      <w:r w:rsidRPr="00052E12">
        <w:rPr>
          <w:b/>
          <w:lang w:val="fr-FR"/>
        </w:rPr>
        <w:t xml:space="preserve"> de </w:t>
      </w:r>
      <w:r w:rsidRPr="00052E12">
        <w:rPr>
          <w:b/>
          <w:lang w:val="fr-FR"/>
        </w:rPr>
        <w:t xml:space="preserve">la </w:t>
      </w:r>
      <w:r w:rsidRPr="00052E12">
        <w:rPr>
          <w:b/>
          <w:lang w:val="fr-FR"/>
        </w:rPr>
        <w:t>détention</w:t>
      </w:r>
      <w:r w:rsidR="00091812">
        <w:rPr>
          <w:b/>
          <w:lang w:val="fr-FR"/>
        </w:rPr>
        <w:t> ;</w:t>
      </w:r>
      <w:r w:rsidRPr="00052E12">
        <w:rPr>
          <w:b/>
          <w:lang w:val="fr-FR"/>
        </w:rPr>
        <w:t xml:space="preserve"> </w:t>
      </w:r>
    </w:p>
    <w:p w:rsidR="004403D6" w:rsidRPr="00052E12" w:rsidRDefault="00F068AB" w:rsidP="00052E12">
      <w:pPr>
        <w:pStyle w:val="SingleTxtG"/>
        <w:rPr>
          <w:b/>
        </w:rPr>
      </w:pPr>
      <w:r w:rsidRPr="008E1C0D">
        <w:rPr>
          <w:b/>
          <w:lang w:val="fr-FR"/>
        </w:rPr>
        <w:tab/>
        <w:t>b)</w:t>
      </w:r>
      <w:r w:rsidRPr="008E1C0D">
        <w:rPr>
          <w:b/>
          <w:lang w:val="fr-FR"/>
        </w:rPr>
        <w:tab/>
      </w:r>
      <w:r w:rsidRPr="00052E12">
        <w:rPr>
          <w:b/>
          <w:lang w:val="fr-FR"/>
        </w:rPr>
        <w:t>Modifier sa législation pour y faire figurer une définition de la torture pleinement conforme à l</w:t>
      </w:r>
      <w:r w:rsidR="00052E12" w:rsidRPr="00052E12">
        <w:rPr>
          <w:b/>
          <w:lang w:val="fr-FR"/>
        </w:rPr>
        <w:t>’</w:t>
      </w:r>
      <w:r w:rsidR="00FC5235">
        <w:rPr>
          <w:b/>
          <w:lang w:val="fr-FR"/>
        </w:rPr>
        <w:t>article </w:t>
      </w:r>
      <w:r w:rsidRPr="00052E12">
        <w:rPr>
          <w:b/>
          <w:lang w:val="fr-FR"/>
        </w:rPr>
        <w:t xml:space="preserve">7 du Pacte et aux autres normes </w:t>
      </w:r>
      <w:r w:rsidRPr="00052E12">
        <w:rPr>
          <w:b/>
          <w:lang w:val="fr-FR"/>
        </w:rPr>
        <w:t>internationalement établies, de préférence en érigeant la torture en infraction pénale distincte</w:t>
      </w:r>
      <w:r w:rsidR="00091812">
        <w:rPr>
          <w:b/>
          <w:lang w:val="fr-FR"/>
        </w:rPr>
        <w:t> ;</w:t>
      </w:r>
      <w:r w:rsidRPr="00052E12">
        <w:rPr>
          <w:lang w:val="fr-FR"/>
        </w:rPr>
        <w:t xml:space="preserve"> </w:t>
      </w:r>
    </w:p>
    <w:p w:rsidR="004403D6" w:rsidRPr="00052E12" w:rsidRDefault="00F068AB" w:rsidP="00052E12">
      <w:pPr>
        <w:pStyle w:val="SingleTxtG"/>
        <w:rPr>
          <w:b/>
        </w:rPr>
      </w:pPr>
      <w:r w:rsidRPr="008E1C0D">
        <w:rPr>
          <w:b/>
          <w:lang w:val="fr-FR"/>
        </w:rPr>
        <w:tab/>
        <w:t>c)</w:t>
      </w:r>
      <w:r w:rsidRPr="008E1C0D">
        <w:rPr>
          <w:b/>
          <w:lang w:val="fr-FR"/>
        </w:rPr>
        <w:tab/>
      </w:r>
      <w:r w:rsidRPr="00052E12">
        <w:rPr>
          <w:b/>
          <w:lang w:val="fr-FR"/>
        </w:rPr>
        <w:t>Mettre en place un système de surveillance régulière et indépendante de tous les lieux de détention, ainsi qu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un dispositif confidentiel de réception et</w:t>
      </w:r>
      <w:r w:rsidRPr="00052E12">
        <w:rPr>
          <w:b/>
          <w:lang w:val="fr-FR"/>
        </w:rPr>
        <w:t xml:space="preserve"> de traitement des plaintes des personnes privées de liberté et, </w:t>
      </w:r>
      <w:r w:rsidRPr="00052E12">
        <w:rPr>
          <w:b/>
          <w:lang w:val="fr-FR"/>
        </w:rPr>
        <w:t xml:space="preserve">compte tenu du désir exprimé par </w:t>
      </w:r>
      <w:r w:rsidRPr="00052E12">
        <w:rPr>
          <w:b/>
          <w:lang w:val="fr-FR"/>
        </w:rPr>
        <w:t>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État partie de ratifier le Protocole facultatif se rapportant à la Convention contre la torture et autres peines ou traitement</w:t>
      </w:r>
      <w:r w:rsidRPr="00052E12">
        <w:rPr>
          <w:b/>
          <w:lang w:val="fr-FR"/>
        </w:rPr>
        <w:t>s cruels, inhumains ou dégradants</w:t>
      </w:r>
      <w:r w:rsidRPr="00052E12">
        <w:rPr>
          <w:b/>
          <w:lang w:val="fr-FR"/>
        </w:rPr>
        <w:t>,</w:t>
      </w:r>
      <w:r w:rsidRPr="00052E12">
        <w:rPr>
          <w:b/>
          <w:lang w:val="fr-FR"/>
        </w:rPr>
        <w:t xml:space="preserve"> </w:t>
      </w:r>
      <w:r w:rsidRPr="00052E12">
        <w:rPr>
          <w:b/>
          <w:lang w:val="fr-FR"/>
        </w:rPr>
        <w:t>accélérer les préparatifs à cet effet</w:t>
      </w:r>
      <w:r w:rsidR="00091812">
        <w:rPr>
          <w:b/>
          <w:lang w:val="fr-FR"/>
        </w:rPr>
        <w:t> ;</w:t>
      </w:r>
    </w:p>
    <w:p w:rsidR="004403D6" w:rsidRPr="008E1C0D" w:rsidRDefault="00F068AB" w:rsidP="00052E12">
      <w:pPr>
        <w:pStyle w:val="SingleTxtG"/>
        <w:rPr>
          <w:b/>
        </w:rPr>
      </w:pPr>
      <w:r w:rsidRPr="008E1C0D">
        <w:rPr>
          <w:b/>
          <w:lang w:val="fr-FR"/>
        </w:rPr>
        <w:tab/>
        <w:t>d)</w:t>
      </w:r>
      <w:r w:rsidRPr="008E1C0D">
        <w:rPr>
          <w:b/>
          <w:lang w:val="fr-FR"/>
        </w:rPr>
        <w:tab/>
      </w:r>
      <w:r w:rsidRPr="008E1C0D">
        <w:rPr>
          <w:b/>
          <w:lang w:val="fr-FR"/>
        </w:rPr>
        <w:t>Veiller à ce que les agents chargés de l</w:t>
      </w:r>
      <w:r w:rsidR="00052E12" w:rsidRPr="008E1C0D">
        <w:rPr>
          <w:b/>
          <w:lang w:val="fr-FR"/>
        </w:rPr>
        <w:t>’</w:t>
      </w:r>
      <w:r w:rsidRPr="008E1C0D">
        <w:rPr>
          <w:b/>
          <w:lang w:val="fr-FR"/>
        </w:rPr>
        <w:t>application des lois bénéficient d</w:t>
      </w:r>
      <w:r w:rsidR="00052E12" w:rsidRPr="008E1C0D">
        <w:rPr>
          <w:b/>
          <w:lang w:val="fr-FR"/>
        </w:rPr>
        <w:t>’</w:t>
      </w:r>
      <w:r w:rsidRPr="008E1C0D">
        <w:rPr>
          <w:b/>
          <w:lang w:val="fr-FR"/>
        </w:rPr>
        <w:t>une formation sur la question de la torture et des mauvais traitements en intégrant le Manuel pour</w:t>
      </w:r>
      <w:r w:rsidRPr="008E1C0D">
        <w:rPr>
          <w:b/>
          <w:lang w:val="fr-FR"/>
        </w:rPr>
        <w:t xml:space="preserve"> enquêter efficacement sur la torture et autres peines ou traitements cruels, inhumains ou dégradants (Protocole d</w:t>
      </w:r>
      <w:r w:rsidR="00052E12" w:rsidRPr="008E1C0D">
        <w:rPr>
          <w:b/>
          <w:lang w:val="fr-FR"/>
        </w:rPr>
        <w:t>’</w:t>
      </w:r>
      <w:r w:rsidRPr="008E1C0D">
        <w:rPr>
          <w:b/>
          <w:lang w:val="fr-FR"/>
        </w:rPr>
        <w:t>Istanbul)</w:t>
      </w:r>
      <w:r w:rsidRPr="008E1C0D">
        <w:rPr>
          <w:b/>
          <w:lang w:val="fr-FR"/>
        </w:rPr>
        <w:t xml:space="preserve"> à tous les programmes de formation qui leur sont destinés</w:t>
      </w:r>
      <w:r w:rsidR="00091812">
        <w:rPr>
          <w:b/>
          <w:lang w:val="fr-FR"/>
        </w:rPr>
        <w:t> ;</w:t>
      </w:r>
    </w:p>
    <w:p w:rsidR="004403D6" w:rsidRPr="008E1C0D" w:rsidRDefault="008E1C0D" w:rsidP="00052E12">
      <w:pPr>
        <w:pStyle w:val="SingleTxtG"/>
        <w:rPr>
          <w:b/>
        </w:rPr>
      </w:pPr>
      <w:r>
        <w:rPr>
          <w:b/>
          <w:lang w:val="fr-FR"/>
        </w:rPr>
        <w:tab/>
      </w:r>
      <w:r w:rsidR="00F068AB" w:rsidRPr="008E1C0D">
        <w:rPr>
          <w:b/>
          <w:lang w:val="fr-FR"/>
        </w:rPr>
        <w:t>e)</w:t>
      </w:r>
      <w:r w:rsidR="00F068AB" w:rsidRPr="008E1C0D">
        <w:rPr>
          <w:b/>
          <w:lang w:val="fr-FR"/>
        </w:rPr>
        <w:tab/>
      </w:r>
      <w:r w:rsidR="00F068AB" w:rsidRPr="008E1C0D">
        <w:rPr>
          <w:b/>
          <w:lang w:val="fr-FR"/>
        </w:rPr>
        <w:t xml:space="preserve">Faire en sorte que tous les décès en détention donnent lieu </w:t>
      </w:r>
      <w:r w:rsidR="00F068AB" w:rsidRPr="008E1C0D">
        <w:rPr>
          <w:b/>
          <w:lang w:val="fr-FR"/>
        </w:rPr>
        <w:t>rapidement à une enquête, que les responsables soient poursuivis et condamnés à des peines appropriées, et que les victimes bénéficient d</w:t>
      </w:r>
      <w:r w:rsidR="00052E12" w:rsidRPr="008E1C0D">
        <w:rPr>
          <w:b/>
          <w:lang w:val="fr-FR"/>
        </w:rPr>
        <w:t>’</w:t>
      </w:r>
      <w:r w:rsidR="00F068AB" w:rsidRPr="008E1C0D">
        <w:rPr>
          <w:b/>
          <w:lang w:val="fr-FR"/>
        </w:rPr>
        <w:t>une réparation intégrale. L</w:t>
      </w:r>
      <w:r w:rsidR="00052E12" w:rsidRPr="008E1C0D">
        <w:rPr>
          <w:b/>
          <w:lang w:val="fr-FR"/>
        </w:rPr>
        <w:t>’</w:t>
      </w:r>
      <w:r w:rsidR="00F068AB" w:rsidRPr="008E1C0D">
        <w:rPr>
          <w:b/>
          <w:lang w:val="fr-FR"/>
        </w:rPr>
        <w:t>État partie devrait aussi tenir à jour des données sur le nombre de décès en détention</w:t>
      </w:r>
      <w:r w:rsidR="00F068AB" w:rsidRPr="008E1C0D">
        <w:rPr>
          <w:b/>
          <w:lang w:val="fr-FR"/>
        </w:rPr>
        <w:t>,</w:t>
      </w:r>
      <w:r w:rsidR="00F068AB" w:rsidRPr="008E1C0D">
        <w:rPr>
          <w:b/>
          <w:lang w:val="fr-FR"/>
        </w:rPr>
        <w:t xml:space="preserve"> le nombre d</w:t>
      </w:r>
      <w:r w:rsidR="00052E12" w:rsidRPr="008E1C0D">
        <w:rPr>
          <w:b/>
          <w:lang w:val="fr-FR"/>
        </w:rPr>
        <w:t>’</w:t>
      </w:r>
      <w:r w:rsidR="00F068AB" w:rsidRPr="008E1C0D">
        <w:rPr>
          <w:b/>
          <w:lang w:val="fr-FR"/>
        </w:rPr>
        <w:t>enquêtes et de poursuites auxquelles ces décès ont donné lieu</w:t>
      </w:r>
      <w:r w:rsidR="00F068AB" w:rsidRPr="008E1C0D">
        <w:rPr>
          <w:b/>
          <w:lang w:val="fr-FR"/>
        </w:rPr>
        <w:t xml:space="preserve"> et </w:t>
      </w:r>
      <w:r w:rsidR="00F068AB" w:rsidRPr="008E1C0D">
        <w:rPr>
          <w:b/>
          <w:lang w:val="fr-FR"/>
        </w:rPr>
        <w:t>les réparations éventuelles accordées aux victimes.</w:t>
      </w:r>
    </w:p>
    <w:p w:rsidR="004403D6" w:rsidRPr="00052E12" w:rsidRDefault="00F068AB" w:rsidP="00DF1C23">
      <w:pPr>
        <w:pStyle w:val="H23G"/>
      </w:pPr>
      <w:r w:rsidRPr="00052E12">
        <w:rPr>
          <w:lang w:val="fr-FR"/>
        </w:rPr>
        <w:lastRenderedPageBreak/>
        <w:tab/>
      </w:r>
      <w:r w:rsidRPr="00052E12">
        <w:rPr>
          <w:lang w:val="fr-FR"/>
        </w:rPr>
        <w:tab/>
        <w:t>Conditions de détention</w:t>
      </w:r>
      <w:bookmarkStart w:id="18" w:name="_Toc491177800"/>
      <w:bookmarkEnd w:id="18"/>
    </w:p>
    <w:p w:rsidR="004403D6" w:rsidRPr="00DF1C23" w:rsidRDefault="00F068AB" w:rsidP="00DF1C23">
      <w:pPr>
        <w:pStyle w:val="SingleTxtG"/>
        <w:keepNext/>
        <w:keepLines/>
        <w:rPr>
          <w:spacing w:val="-3"/>
        </w:rPr>
      </w:pPr>
      <w:r w:rsidRPr="00DF1C23">
        <w:rPr>
          <w:spacing w:val="-3"/>
          <w:lang w:val="fr-FR"/>
        </w:rPr>
        <w:t>34.</w:t>
      </w:r>
      <w:r w:rsidRPr="00DF1C23">
        <w:rPr>
          <w:spacing w:val="-3"/>
          <w:lang w:val="fr-FR"/>
        </w:rPr>
        <w:tab/>
        <w:t>Le Comité est préoccupé par les informations faisant état de mauvaises condit</w:t>
      </w:r>
      <w:r w:rsidRPr="00DF1C23">
        <w:rPr>
          <w:spacing w:val="-3"/>
          <w:lang w:val="fr-FR"/>
        </w:rPr>
        <w:t xml:space="preserve">ions de détention et signalant que les prisonniers ne reçoivent pas toujours des soins médicaux adaptés et que la réglementation relative aux conditions </w:t>
      </w:r>
      <w:r w:rsidR="00FC5235" w:rsidRPr="00DF1C23">
        <w:rPr>
          <w:spacing w:val="-3"/>
          <w:lang w:val="fr-FR"/>
        </w:rPr>
        <w:t>de détention est obsolète (art. </w:t>
      </w:r>
      <w:r w:rsidRPr="00DF1C23">
        <w:rPr>
          <w:spacing w:val="-3"/>
          <w:lang w:val="fr-FR"/>
        </w:rPr>
        <w:t>2, 6 et 7).</w:t>
      </w:r>
    </w:p>
    <w:p w:rsidR="004403D6" w:rsidRPr="00052E12" w:rsidRDefault="00F068AB" w:rsidP="00052E12">
      <w:pPr>
        <w:pStyle w:val="SingleTxtG"/>
        <w:rPr>
          <w:b/>
        </w:rPr>
      </w:pPr>
      <w:r w:rsidRPr="00052E12">
        <w:rPr>
          <w:lang w:val="fr-FR"/>
        </w:rPr>
        <w:t>35.</w:t>
      </w:r>
      <w:r w:rsidRPr="00052E12">
        <w:rPr>
          <w:lang w:val="fr-FR"/>
        </w:rPr>
        <w:tab/>
      </w:r>
      <w:r w:rsidRPr="00052E12">
        <w:rPr>
          <w:b/>
          <w:lang w:val="fr-FR"/>
        </w:rPr>
        <w:t>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État partie devrait améliorer les conditions de déten</w:t>
      </w:r>
      <w:r w:rsidRPr="00052E12">
        <w:rPr>
          <w:b/>
          <w:lang w:val="fr-FR"/>
        </w:rPr>
        <w:t>tion dans tous les établissements et mettre sa réglementation carcérale en conformité avec les normes internationales, notamment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Ensemble de règles minima des Nations Unies pour le traitement des détenus (Règles Nelson Mandela)</w:t>
      </w:r>
      <w:r w:rsidRPr="00052E12">
        <w:rPr>
          <w:b/>
          <w:lang w:val="fr-FR"/>
        </w:rPr>
        <w:t xml:space="preserve">. </w:t>
      </w:r>
    </w:p>
    <w:p w:rsidR="004403D6" w:rsidRPr="00052E12" w:rsidRDefault="00F068AB" w:rsidP="008E1C0D">
      <w:pPr>
        <w:pStyle w:val="H23G"/>
      </w:pPr>
      <w:r w:rsidRPr="00052E12">
        <w:rPr>
          <w:lang w:val="fr-FR"/>
        </w:rPr>
        <w:tab/>
      </w:r>
      <w:r w:rsidRPr="00052E12">
        <w:rPr>
          <w:lang w:val="fr-FR"/>
        </w:rPr>
        <w:tab/>
        <w:t>Lutte contre le ter</w:t>
      </w:r>
      <w:r w:rsidRPr="00052E12">
        <w:rPr>
          <w:lang w:val="fr-FR"/>
        </w:rPr>
        <w:t>rorisme</w:t>
      </w:r>
      <w:bookmarkStart w:id="19" w:name="_Toc491177801"/>
      <w:bookmarkEnd w:id="19"/>
    </w:p>
    <w:p w:rsidR="004403D6" w:rsidRPr="00052E12" w:rsidRDefault="00F068AB" w:rsidP="00052E12">
      <w:pPr>
        <w:pStyle w:val="SingleTxtG"/>
      </w:pPr>
      <w:r w:rsidRPr="00052E12">
        <w:rPr>
          <w:lang w:val="fr-FR"/>
        </w:rPr>
        <w:t>36.</w:t>
      </w:r>
      <w:r w:rsidRPr="00052E12">
        <w:rPr>
          <w:lang w:val="fr-FR"/>
        </w:rPr>
        <w:tab/>
        <w:t>Le Comité est préoccupé par les informations signalant que les lois antiterroristes sont utilisées pour contrecarrer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 xml:space="preserve">opposition politique et la contestation sociale et non pour lutter légitimement contre des menaces terroristes. Il constate </w:t>
      </w:r>
      <w:r w:rsidRPr="00052E12">
        <w:rPr>
          <w:lang w:val="fr-FR"/>
        </w:rPr>
        <w:t>également</w:t>
      </w:r>
      <w:r w:rsidRPr="00052E12">
        <w:rPr>
          <w:lang w:val="fr-FR"/>
        </w:rPr>
        <w:t xml:space="preserve"> avec inquiétude que la loi sur la répression du terrorisme</w:t>
      </w:r>
      <w:r w:rsidRPr="00052E12">
        <w:rPr>
          <w:lang w:val="fr-FR"/>
        </w:rPr>
        <w:t xml:space="preserve"> définit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acte terroriste de manière excessivement large et que ni cette loi, ni la loi sur la sédition et les activités subversives</w:t>
      </w:r>
      <w:r w:rsidRPr="00052E12">
        <w:rPr>
          <w:lang w:val="fr-FR"/>
        </w:rPr>
        <w:t xml:space="preserve"> ne prévoient de recours </w:t>
      </w:r>
      <w:r w:rsidRPr="00052E12">
        <w:rPr>
          <w:lang w:val="fr-FR"/>
        </w:rPr>
        <w:t xml:space="preserve">juridiques </w:t>
      </w:r>
      <w:r w:rsidRPr="00052E12">
        <w:rPr>
          <w:lang w:val="fr-FR"/>
        </w:rPr>
        <w:t>utiles</w:t>
      </w:r>
      <w:r w:rsidRPr="00052E12">
        <w:rPr>
          <w:lang w:val="fr-FR"/>
        </w:rPr>
        <w:t>,</w:t>
      </w:r>
      <w:r w:rsidRPr="00052E12">
        <w:rPr>
          <w:lang w:val="fr-FR"/>
        </w:rPr>
        <w:t xml:space="preserve"> ni </w:t>
      </w:r>
      <w:r w:rsidR="00FC5235">
        <w:rPr>
          <w:lang w:val="fr-FR"/>
        </w:rPr>
        <w:t>de garanties de procédure (art. </w:t>
      </w:r>
      <w:r w:rsidRPr="00052E12">
        <w:rPr>
          <w:lang w:val="fr-FR"/>
        </w:rPr>
        <w:t xml:space="preserve">9, 14, 19 et 21). </w:t>
      </w:r>
    </w:p>
    <w:p w:rsidR="004403D6" w:rsidRPr="00052E12" w:rsidRDefault="00F068AB" w:rsidP="00052E12">
      <w:pPr>
        <w:pStyle w:val="SingleTxtG"/>
        <w:rPr>
          <w:b/>
        </w:rPr>
      </w:pPr>
      <w:r w:rsidRPr="00052E12">
        <w:rPr>
          <w:lang w:val="fr-FR"/>
        </w:rPr>
        <w:t>37.</w:t>
      </w:r>
      <w:r w:rsidRPr="00052E12">
        <w:rPr>
          <w:lang w:val="fr-FR"/>
        </w:rPr>
        <w:tab/>
      </w:r>
      <w:r w:rsidRPr="00052E12">
        <w:rPr>
          <w:b/>
          <w:lang w:val="fr-FR"/>
        </w:rPr>
        <w:t>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État partie devrait veiller à ce que sa législation et ses pratiques en matière de lutte contre le terrorisme soient pleinement conformes au Pacte et respectent notamment les principes de la lib</w:t>
      </w:r>
      <w:r w:rsidRPr="00052E12">
        <w:rPr>
          <w:b/>
          <w:lang w:val="fr-FR"/>
        </w:rPr>
        <w:t>erté d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expression et de la non</w:t>
      </w:r>
      <w:r w:rsidRPr="00052E12">
        <w:rPr>
          <w:b/>
          <w:lang w:val="fr-FR"/>
        </w:rPr>
        <w:noBreakHyphen/>
      </w:r>
      <w:r w:rsidRPr="00052E12">
        <w:rPr>
          <w:b/>
          <w:lang w:val="fr-FR"/>
        </w:rPr>
        <w:t>discrimination.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État partie devrait en particulier veiller à ce que les actes de terrorisme soient définis conformément aux normes internationales, notamment en</w:t>
      </w:r>
      <w:r w:rsidRPr="00052E12">
        <w:rPr>
          <w:b/>
          <w:lang w:val="fr-FR"/>
        </w:rPr>
        <w:t xml:space="preserve"> </w:t>
      </w:r>
      <w:r w:rsidRPr="00052E12">
        <w:rPr>
          <w:b/>
          <w:lang w:val="fr-FR"/>
        </w:rPr>
        <w:t>veillant à ce que</w:t>
      </w:r>
      <w:r w:rsidRPr="00052E12">
        <w:rPr>
          <w:b/>
          <w:lang w:val="fr-FR"/>
        </w:rPr>
        <w:t xml:space="preserve"> la définition </w:t>
      </w:r>
      <w:r w:rsidRPr="00052E12">
        <w:rPr>
          <w:b/>
          <w:lang w:val="fr-FR"/>
        </w:rPr>
        <w:t xml:space="preserve">ne vise </w:t>
      </w:r>
      <w:r w:rsidRPr="00052E12">
        <w:rPr>
          <w:b/>
          <w:lang w:val="fr-FR"/>
        </w:rPr>
        <w:t xml:space="preserve">que les cas dans lesquels </w:t>
      </w:r>
      <w:r w:rsidRPr="00052E12">
        <w:rPr>
          <w:b/>
          <w:lang w:val="fr-FR"/>
        </w:rPr>
        <w:t>des actes de violence</w:t>
      </w:r>
      <w:r w:rsidRPr="00052E12">
        <w:rPr>
          <w:b/>
          <w:lang w:val="fr-FR"/>
        </w:rPr>
        <w:t xml:space="preserve"> ont </w:t>
      </w:r>
      <w:r w:rsidRPr="00052E12">
        <w:rPr>
          <w:b/>
          <w:lang w:val="fr-FR"/>
        </w:rPr>
        <w:t>été commis</w:t>
      </w:r>
      <w:r w:rsidRPr="00052E12">
        <w:rPr>
          <w:b/>
          <w:lang w:val="fr-FR"/>
        </w:rPr>
        <w:t>, et à ce que des recours utiles et des garanties de procédure permettent de lutter contre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 xml:space="preserve">utilisation abusive des lois antiterroristes. </w:t>
      </w:r>
    </w:p>
    <w:p w:rsidR="004403D6" w:rsidRPr="00052E12" w:rsidRDefault="00F068AB" w:rsidP="008E1C0D">
      <w:pPr>
        <w:pStyle w:val="H23G"/>
      </w:pPr>
      <w:r w:rsidRPr="00052E12">
        <w:rPr>
          <w:lang w:val="fr-FR"/>
        </w:rPr>
        <w:tab/>
      </w:r>
      <w:r w:rsidRPr="00052E12">
        <w:rPr>
          <w:lang w:val="fr-FR"/>
        </w:rPr>
        <w:tab/>
        <w:t>Indépendance et impartialité de la justice et des ju</w:t>
      </w:r>
      <w:r w:rsidRPr="00052E12">
        <w:rPr>
          <w:lang w:val="fr-FR"/>
        </w:rPr>
        <w:t>ridictions traditionnelles</w:t>
      </w:r>
      <w:bookmarkStart w:id="20" w:name="_Toc491177802"/>
      <w:bookmarkEnd w:id="20"/>
    </w:p>
    <w:p w:rsidR="004403D6" w:rsidRPr="00052E12" w:rsidRDefault="00F068AB" w:rsidP="00052E12">
      <w:pPr>
        <w:pStyle w:val="SingleTxtG"/>
      </w:pPr>
      <w:r w:rsidRPr="00052E12">
        <w:rPr>
          <w:lang w:val="fr-FR"/>
        </w:rPr>
        <w:t>38.</w:t>
      </w:r>
      <w:r w:rsidRPr="00052E12">
        <w:rPr>
          <w:lang w:val="fr-FR"/>
        </w:rPr>
        <w:tab/>
        <w:t>Le Comité est préoccupé par les informations faisant état d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ingérence du pouvoir exécutif dans le fonctionnement de la justice et indiquant que les mesures adoptées récemment par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État partie ne suffisent pas à garantir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indépendance et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impartialité de la justice. Il note également avec préoccupation que le système de justice traditionnelle ne respecte pas les garanties d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un procès équitable énoncées dans le Pacte et que sa compétence n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est pas suffisamment limitée (art.</w:t>
      </w:r>
      <w:r w:rsidR="00FC5235">
        <w:rPr>
          <w:lang w:val="fr-FR"/>
        </w:rPr>
        <w:t> </w:t>
      </w:r>
      <w:r w:rsidRPr="00052E12">
        <w:rPr>
          <w:lang w:val="fr-FR"/>
        </w:rPr>
        <w:t>14).</w:t>
      </w:r>
    </w:p>
    <w:p w:rsidR="004403D6" w:rsidRPr="00052E12" w:rsidRDefault="00F068AB" w:rsidP="00052E12">
      <w:pPr>
        <w:pStyle w:val="SingleTxtG"/>
        <w:rPr>
          <w:b/>
        </w:rPr>
      </w:pPr>
      <w:r w:rsidRPr="00052E12">
        <w:rPr>
          <w:lang w:val="fr-FR"/>
        </w:rPr>
        <w:t>39.</w:t>
      </w:r>
      <w:r w:rsidRPr="00052E12">
        <w:rPr>
          <w:lang w:val="fr-FR"/>
        </w:rPr>
        <w:tab/>
      </w:r>
      <w:r w:rsidRPr="00052E12">
        <w:rPr>
          <w:b/>
          <w:lang w:val="fr-FR"/>
        </w:rPr>
        <w:t>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État partie devrait mettre en place des garanties constitutionnelles pour protéger les juges et les procureurs contre toute forme d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ingérence politique dans leurs décisions et veiller effectivement à ce qu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ils ne subissent ni pressions ni ingér</w:t>
      </w:r>
      <w:r w:rsidRPr="00052E12">
        <w:rPr>
          <w:b/>
          <w:lang w:val="fr-FR"/>
        </w:rPr>
        <w:t>ence dans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exercice de leurs fonctions. Il devrait faire en sorte que le système de justice traditionnelle respecte les garanties d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un procès équitable énoncées dans le Pacte. Il devrait également faire le nécessaire pour que la compétence des tribunaux t</w:t>
      </w:r>
      <w:r w:rsidRPr="00052E12">
        <w:rPr>
          <w:b/>
          <w:lang w:val="fr-FR"/>
        </w:rPr>
        <w:t>raditionnels soit limitée à des questions de caractère civil et à des affaires pénales d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importance mineure et que les jugements de ces tribunaux soient validés par des tribunaux d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État.</w:t>
      </w:r>
    </w:p>
    <w:p w:rsidR="004403D6" w:rsidRPr="00052E12" w:rsidRDefault="00F068AB" w:rsidP="008E1C0D">
      <w:pPr>
        <w:pStyle w:val="H23G"/>
      </w:pPr>
      <w:r w:rsidRPr="00052E12">
        <w:rPr>
          <w:lang w:val="fr-FR"/>
        </w:rPr>
        <w:tab/>
      </w:r>
      <w:r w:rsidRPr="00052E12">
        <w:rPr>
          <w:lang w:val="fr-FR"/>
        </w:rPr>
        <w:tab/>
        <w:t xml:space="preserve">Détention avant jugement </w:t>
      </w:r>
      <w:r w:rsidRPr="00052E12">
        <w:rPr>
          <w:lang w:val="fr-FR"/>
        </w:rPr>
        <w:t>et aide juridictionnelle</w:t>
      </w:r>
      <w:bookmarkStart w:id="21" w:name="_Toc491177803"/>
      <w:bookmarkEnd w:id="21"/>
    </w:p>
    <w:p w:rsidR="004403D6" w:rsidRPr="00052E12" w:rsidRDefault="00F068AB" w:rsidP="00052E12">
      <w:pPr>
        <w:pStyle w:val="SingleTxtG"/>
      </w:pPr>
      <w:r w:rsidRPr="00052E12">
        <w:rPr>
          <w:lang w:val="fr-FR"/>
        </w:rPr>
        <w:t>40.</w:t>
      </w:r>
      <w:r w:rsidRPr="00052E12">
        <w:rPr>
          <w:lang w:val="fr-FR"/>
        </w:rPr>
        <w:tab/>
        <w:t>Le Comi</w:t>
      </w:r>
      <w:r w:rsidRPr="00052E12">
        <w:rPr>
          <w:lang w:val="fr-FR"/>
        </w:rPr>
        <w:t>té salue les mesures prises par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État partie pour réduire la durée de la détention avant jugement, mais il demeure préoccupé par la situation. Il prend note des explications données par la délégation de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État partie, qui a indiqué qu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une aide juridique g</w:t>
      </w:r>
      <w:r w:rsidRPr="00052E12">
        <w:rPr>
          <w:lang w:val="fr-FR"/>
        </w:rPr>
        <w:t>ratuite était fournie dans les affaires emportant la peine de mort ou une peine d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emprisonnement à vie, mais il relève à nouveau avec préoccupation que la politique relative à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aide juridictionnelle</w:t>
      </w:r>
      <w:r w:rsidRPr="00052E12">
        <w:rPr>
          <w:lang w:val="fr-FR"/>
        </w:rPr>
        <w:t xml:space="preserve"> n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 xml:space="preserve">a pas encore été mise en œuvre et que le projet de </w:t>
      </w:r>
      <w:r w:rsidRPr="00052E12">
        <w:rPr>
          <w:lang w:val="fr-FR"/>
        </w:rPr>
        <w:t>loi sur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aide juridictionnelle n</w:t>
      </w:r>
      <w:r w:rsidR="00052E12" w:rsidRPr="00052E12">
        <w:rPr>
          <w:lang w:val="fr-FR"/>
        </w:rPr>
        <w:t>’</w:t>
      </w:r>
      <w:r w:rsidR="00FC5235">
        <w:rPr>
          <w:lang w:val="fr-FR"/>
        </w:rPr>
        <w:t>a pas encore été adopté (art. </w:t>
      </w:r>
      <w:r w:rsidRPr="00052E12">
        <w:rPr>
          <w:lang w:val="fr-FR"/>
        </w:rPr>
        <w:t>14).</w:t>
      </w:r>
    </w:p>
    <w:p w:rsidR="004403D6" w:rsidRPr="00052E12" w:rsidRDefault="00F068AB" w:rsidP="00052E12">
      <w:pPr>
        <w:pStyle w:val="SingleTxtG"/>
        <w:rPr>
          <w:b/>
        </w:rPr>
      </w:pPr>
      <w:r w:rsidRPr="00052E12">
        <w:rPr>
          <w:lang w:val="fr-FR"/>
        </w:rPr>
        <w:t>41.</w:t>
      </w:r>
      <w:r w:rsidRPr="00052E12">
        <w:rPr>
          <w:lang w:val="fr-FR"/>
        </w:rPr>
        <w:tab/>
      </w:r>
      <w:r w:rsidR="00FC5235">
        <w:rPr>
          <w:b/>
          <w:lang w:val="fr-FR"/>
        </w:rPr>
        <w:t>Eu égard au paragraphe </w:t>
      </w:r>
      <w:r w:rsidRPr="00052E12">
        <w:rPr>
          <w:b/>
          <w:lang w:val="fr-FR"/>
        </w:rPr>
        <w:t>38 de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observation générale n</w:t>
      </w:r>
      <w:r w:rsidRPr="00052E12">
        <w:rPr>
          <w:b/>
          <w:vertAlign w:val="superscript"/>
          <w:lang w:val="fr-FR"/>
        </w:rPr>
        <w:t>o</w:t>
      </w:r>
      <w:r w:rsidR="00FC5235">
        <w:rPr>
          <w:b/>
          <w:lang w:val="fr-FR"/>
        </w:rPr>
        <w:t> </w:t>
      </w:r>
      <w:r w:rsidRPr="00052E12">
        <w:rPr>
          <w:b/>
          <w:lang w:val="fr-FR"/>
        </w:rPr>
        <w:t>35 (2014) sur la liberté et la sécurité de la personne,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État partie devrait continuer à s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efforcer de réduire la durée de la d</w:t>
      </w:r>
      <w:r w:rsidRPr="00052E12">
        <w:rPr>
          <w:b/>
          <w:lang w:val="fr-FR"/>
        </w:rPr>
        <w:t xml:space="preserve">étention avant jugement, et notamment adopter des dispositions qui permettent de veiller à ce que la détention avant jugement ne soit pas utilisée de manière abusive et éviter les arrestations </w:t>
      </w:r>
      <w:r w:rsidRPr="00052E12">
        <w:rPr>
          <w:b/>
          <w:lang w:val="fr-FR"/>
        </w:rPr>
        <w:t>injustifié</w:t>
      </w:r>
      <w:r w:rsidR="00FC5235">
        <w:rPr>
          <w:b/>
          <w:lang w:val="fr-FR"/>
        </w:rPr>
        <w:t>e</w:t>
      </w:r>
      <w:r w:rsidRPr="00052E12">
        <w:rPr>
          <w:b/>
          <w:lang w:val="fr-FR"/>
        </w:rPr>
        <w:t xml:space="preserve">s </w:t>
      </w:r>
      <w:r w:rsidRPr="00052E12">
        <w:rPr>
          <w:b/>
          <w:lang w:val="fr-FR"/>
        </w:rPr>
        <w:t xml:space="preserve">et les retards </w:t>
      </w:r>
      <w:r w:rsidRPr="00052E12">
        <w:rPr>
          <w:b/>
          <w:lang w:val="fr-FR"/>
        </w:rPr>
        <w:t xml:space="preserve">pouvant intervenir </w:t>
      </w:r>
      <w:r w:rsidRPr="00052E12">
        <w:rPr>
          <w:b/>
          <w:lang w:val="fr-FR"/>
        </w:rPr>
        <w:lastRenderedPageBreak/>
        <w:t>entre</w:t>
      </w:r>
      <w:r w:rsidR="00C14C45">
        <w:rPr>
          <w:b/>
          <w:lang w:val="fr-FR"/>
        </w:rPr>
        <w:t xml:space="preserve"> la police et le bureau du P</w:t>
      </w:r>
      <w:r w:rsidRPr="00052E12">
        <w:rPr>
          <w:b/>
          <w:lang w:val="fr-FR"/>
        </w:rPr>
        <w:t>rocureur.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 xml:space="preserve">État partie devrait veiller à ce que la libération sous caution soit généralement disponible et </w:t>
      </w:r>
      <w:r w:rsidRPr="00052E12">
        <w:rPr>
          <w:b/>
          <w:lang w:val="fr-FR"/>
        </w:rPr>
        <w:t xml:space="preserve">à ce </w:t>
      </w:r>
      <w:r w:rsidRPr="00052E12">
        <w:rPr>
          <w:b/>
          <w:lang w:val="fr-FR"/>
        </w:rPr>
        <w:t xml:space="preserve">que le montant des cautions ne soit pas excessif. </w:t>
      </w:r>
      <w:r w:rsidRPr="00052E12">
        <w:rPr>
          <w:b/>
          <w:lang w:val="fr-FR"/>
        </w:rPr>
        <w:t>Il</w:t>
      </w:r>
      <w:r w:rsidRPr="00052E12">
        <w:rPr>
          <w:b/>
          <w:lang w:val="fr-FR"/>
        </w:rPr>
        <w:t xml:space="preserve"> </w:t>
      </w:r>
      <w:r w:rsidRPr="00052E12">
        <w:rPr>
          <w:b/>
          <w:lang w:val="fr-FR"/>
        </w:rPr>
        <w:t>devrait garantir que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assistance d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un avocat est disponibl</w:t>
      </w:r>
      <w:r w:rsidRPr="00052E12">
        <w:rPr>
          <w:b/>
          <w:lang w:val="fr-FR"/>
        </w:rPr>
        <w:t>e à titre gratuit dans toute affaire, quand les intérêts de la justice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 xml:space="preserve">exigent. </w:t>
      </w:r>
    </w:p>
    <w:p w:rsidR="004403D6" w:rsidRPr="00052E12" w:rsidRDefault="00F068AB" w:rsidP="008E1C0D">
      <w:pPr>
        <w:pStyle w:val="H23G"/>
      </w:pPr>
      <w:r w:rsidRPr="00052E12">
        <w:rPr>
          <w:lang w:val="fr-FR"/>
        </w:rPr>
        <w:tab/>
      </w:r>
      <w:r w:rsidRPr="00052E12">
        <w:rPr>
          <w:lang w:val="fr-FR"/>
        </w:rPr>
        <w:tab/>
        <w:t>Traite des personnes et travail forcé</w:t>
      </w:r>
      <w:bookmarkStart w:id="22" w:name="_Toc491177804"/>
      <w:bookmarkEnd w:id="22"/>
    </w:p>
    <w:p w:rsidR="004403D6" w:rsidRPr="00052E12" w:rsidRDefault="00F068AB" w:rsidP="00052E12">
      <w:pPr>
        <w:pStyle w:val="SingleTxtG"/>
      </w:pPr>
      <w:r w:rsidRPr="00052E12">
        <w:rPr>
          <w:lang w:val="fr-FR"/>
        </w:rPr>
        <w:t>42.</w:t>
      </w:r>
      <w:r w:rsidRPr="00052E12">
        <w:rPr>
          <w:lang w:val="fr-FR"/>
        </w:rPr>
        <w:tab/>
        <w:t xml:space="preserve">Le Comité est préoccupé par les informations indiquant que des adultes et des enfants sont recrutés par des chefs aux fins de </w:t>
      </w:r>
      <w:r w:rsidRPr="00052E12">
        <w:rPr>
          <w:lang w:val="fr-FR"/>
        </w:rPr>
        <w:t xml:space="preserve">travail forcé </w:t>
      </w:r>
      <w:r w:rsidRPr="00052E12">
        <w:rPr>
          <w:lang w:val="fr-FR"/>
        </w:rPr>
        <w:t>et que des enfants, en particulier des orphelins, sont forcés à se prostituer ou utilisés comme esclaves domestiques. Il salue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adoption de la loi interdisant la traite des personnes et le trafic des êtres humains, mais constate avec inqu</w:t>
      </w:r>
      <w:r w:rsidRPr="00052E12">
        <w:rPr>
          <w:lang w:val="fr-FR"/>
        </w:rPr>
        <w:t>iétude que des ressources insuffisantes ont été allouées à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 xml:space="preserve">équipe spéciale chargée de lutter contre la traite pour assurer une mise en œuvre efficace de la loi. Le Comité constate </w:t>
      </w:r>
      <w:r w:rsidRPr="00052E12">
        <w:rPr>
          <w:lang w:val="fr-FR"/>
        </w:rPr>
        <w:t>également</w:t>
      </w:r>
      <w:r w:rsidRPr="00052E12">
        <w:rPr>
          <w:lang w:val="fr-FR"/>
        </w:rPr>
        <w:t xml:space="preserve"> avec préoccupation que la mise en application des direct</w:t>
      </w:r>
      <w:r w:rsidRPr="00052E12">
        <w:rPr>
          <w:lang w:val="fr-FR"/>
        </w:rPr>
        <w:t>ives relatives à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identification de</w:t>
      </w:r>
      <w:r w:rsidR="002327CD">
        <w:rPr>
          <w:lang w:val="fr-FR"/>
        </w:rPr>
        <w:t>s victimes a été retardée (art. </w:t>
      </w:r>
      <w:r w:rsidRPr="00052E12">
        <w:rPr>
          <w:lang w:val="fr-FR"/>
        </w:rPr>
        <w:t>8).</w:t>
      </w:r>
    </w:p>
    <w:p w:rsidR="004403D6" w:rsidRPr="00052E12" w:rsidRDefault="00F068AB" w:rsidP="00052E12">
      <w:pPr>
        <w:pStyle w:val="SingleTxtG"/>
        <w:rPr>
          <w:b/>
        </w:rPr>
      </w:pPr>
      <w:r w:rsidRPr="00052E12">
        <w:rPr>
          <w:lang w:val="fr-FR"/>
        </w:rPr>
        <w:t>43.</w:t>
      </w:r>
      <w:r w:rsidRPr="00052E12">
        <w:rPr>
          <w:lang w:val="fr-FR"/>
        </w:rPr>
        <w:tab/>
      </w:r>
      <w:r w:rsidRPr="00052E12">
        <w:rPr>
          <w:b/>
          <w:lang w:val="fr-FR"/>
        </w:rPr>
        <w:t>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État partie devrait</w:t>
      </w:r>
      <w:r w:rsidR="00091812">
        <w:rPr>
          <w:b/>
          <w:lang w:val="fr-FR"/>
        </w:rPr>
        <w:t> :</w:t>
      </w:r>
      <w:r w:rsidRPr="00052E12">
        <w:rPr>
          <w:lang w:val="fr-FR"/>
        </w:rPr>
        <w:t xml:space="preserve"> </w:t>
      </w:r>
    </w:p>
    <w:p w:rsidR="004403D6" w:rsidRPr="008E1C0D" w:rsidRDefault="00F068AB" w:rsidP="00052E12">
      <w:pPr>
        <w:pStyle w:val="SingleTxtG"/>
        <w:rPr>
          <w:b/>
        </w:rPr>
      </w:pPr>
      <w:r w:rsidRPr="008E1C0D">
        <w:rPr>
          <w:b/>
          <w:lang w:val="fr-FR"/>
        </w:rPr>
        <w:tab/>
        <w:t>a)</w:t>
      </w:r>
      <w:r w:rsidRPr="008E1C0D">
        <w:rPr>
          <w:b/>
          <w:lang w:val="fr-FR"/>
        </w:rPr>
        <w:tab/>
      </w:r>
      <w:r w:rsidRPr="008E1C0D">
        <w:rPr>
          <w:b/>
          <w:lang w:val="fr-FR"/>
        </w:rPr>
        <w:t>Renforcer l</w:t>
      </w:r>
      <w:r w:rsidR="00052E12" w:rsidRPr="008E1C0D">
        <w:rPr>
          <w:b/>
          <w:lang w:val="fr-FR"/>
        </w:rPr>
        <w:t>’</w:t>
      </w:r>
      <w:r w:rsidRPr="008E1C0D">
        <w:rPr>
          <w:b/>
          <w:lang w:val="fr-FR"/>
        </w:rPr>
        <w:t xml:space="preserve">équipe spéciale chargée de lutter contre la traite en la dotant de ressources suffisantes et veiller à ce que les cas de traite soient </w:t>
      </w:r>
      <w:r w:rsidRPr="008E1C0D">
        <w:rPr>
          <w:b/>
          <w:lang w:val="fr-FR"/>
        </w:rPr>
        <w:t>effectivement identifiés et donnent lieu à des enquêtes et des poursuites, à ce que les responsables soient punis et à ce que les victimes bénéficient d</w:t>
      </w:r>
      <w:r w:rsidR="00052E12" w:rsidRPr="008E1C0D">
        <w:rPr>
          <w:b/>
          <w:lang w:val="fr-FR"/>
        </w:rPr>
        <w:t>’</w:t>
      </w:r>
      <w:r w:rsidRPr="008E1C0D">
        <w:rPr>
          <w:b/>
          <w:lang w:val="fr-FR"/>
        </w:rPr>
        <w:t>une protection et de mesures de réparation appropriées</w:t>
      </w:r>
      <w:r w:rsidR="00091812">
        <w:rPr>
          <w:b/>
          <w:lang w:val="fr-FR"/>
        </w:rPr>
        <w:t> ;</w:t>
      </w:r>
    </w:p>
    <w:p w:rsidR="004403D6" w:rsidRPr="008E1C0D" w:rsidRDefault="00F068AB" w:rsidP="00052E12">
      <w:pPr>
        <w:pStyle w:val="SingleTxtG"/>
        <w:rPr>
          <w:b/>
        </w:rPr>
      </w:pPr>
      <w:r w:rsidRPr="008E1C0D">
        <w:rPr>
          <w:b/>
          <w:lang w:val="fr-FR"/>
        </w:rPr>
        <w:tab/>
        <w:t>b)</w:t>
      </w:r>
      <w:r w:rsidRPr="008E1C0D">
        <w:rPr>
          <w:b/>
          <w:lang w:val="fr-FR"/>
        </w:rPr>
        <w:tab/>
      </w:r>
      <w:r w:rsidRPr="008E1C0D">
        <w:rPr>
          <w:b/>
          <w:lang w:val="fr-FR"/>
        </w:rPr>
        <w:t>Accélérer la mise en œuvre des directives</w:t>
      </w:r>
      <w:r w:rsidRPr="008E1C0D">
        <w:rPr>
          <w:b/>
          <w:lang w:val="fr-FR"/>
        </w:rPr>
        <w:t xml:space="preserve"> relatives à l</w:t>
      </w:r>
      <w:r w:rsidR="00052E12" w:rsidRPr="008E1C0D">
        <w:rPr>
          <w:b/>
          <w:lang w:val="fr-FR"/>
        </w:rPr>
        <w:t>’</w:t>
      </w:r>
      <w:r w:rsidRPr="008E1C0D">
        <w:rPr>
          <w:b/>
          <w:lang w:val="fr-FR"/>
        </w:rPr>
        <w:t>identification des victimes</w:t>
      </w:r>
      <w:r w:rsidR="00091812">
        <w:rPr>
          <w:b/>
          <w:lang w:val="fr-FR"/>
        </w:rPr>
        <w:t> ;</w:t>
      </w:r>
    </w:p>
    <w:p w:rsidR="004403D6" w:rsidRPr="008E1C0D" w:rsidRDefault="00F068AB" w:rsidP="00052E12">
      <w:pPr>
        <w:pStyle w:val="SingleTxtG"/>
        <w:rPr>
          <w:b/>
        </w:rPr>
      </w:pPr>
      <w:r w:rsidRPr="008E1C0D">
        <w:rPr>
          <w:b/>
          <w:lang w:val="fr-FR"/>
        </w:rPr>
        <w:tab/>
        <w:t>c)</w:t>
      </w:r>
      <w:r w:rsidRPr="008E1C0D">
        <w:rPr>
          <w:b/>
          <w:lang w:val="fr-FR"/>
        </w:rPr>
        <w:tab/>
      </w:r>
      <w:r w:rsidRPr="008E1C0D">
        <w:rPr>
          <w:b/>
          <w:lang w:val="fr-FR"/>
        </w:rPr>
        <w:t>Élargir le champ d</w:t>
      </w:r>
      <w:r w:rsidR="00052E12" w:rsidRPr="008E1C0D">
        <w:rPr>
          <w:b/>
          <w:lang w:val="fr-FR"/>
        </w:rPr>
        <w:t>’</w:t>
      </w:r>
      <w:r w:rsidRPr="008E1C0D">
        <w:rPr>
          <w:b/>
          <w:lang w:val="fr-FR"/>
        </w:rPr>
        <w:t>application des mesures visant à favoriser l</w:t>
      </w:r>
      <w:r w:rsidR="00052E12" w:rsidRPr="008E1C0D">
        <w:rPr>
          <w:b/>
          <w:lang w:val="fr-FR"/>
        </w:rPr>
        <w:t>’</w:t>
      </w:r>
      <w:r w:rsidRPr="008E1C0D">
        <w:rPr>
          <w:b/>
          <w:lang w:val="fr-FR"/>
        </w:rPr>
        <w:t>intégration sociale des victimes et à leur donner accès à des soins de santé et des services d</w:t>
      </w:r>
      <w:r w:rsidR="00052E12" w:rsidRPr="008E1C0D">
        <w:rPr>
          <w:b/>
          <w:lang w:val="fr-FR"/>
        </w:rPr>
        <w:t>’</w:t>
      </w:r>
      <w:r w:rsidRPr="008E1C0D">
        <w:rPr>
          <w:b/>
          <w:lang w:val="fr-FR"/>
        </w:rPr>
        <w:t>accompagnement de qualité dans tout l</w:t>
      </w:r>
      <w:r w:rsidR="00052E12" w:rsidRPr="008E1C0D">
        <w:rPr>
          <w:b/>
          <w:lang w:val="fr-FR"/>
        </w:rPr>
        <w:t>’</w:t>
      </w:r>
      <w:r w:rsidRPr="008E1C0D">
        <w:rPr>
          <w:b/>
          <w:lang w:val="fr-FR"/>
        </w:rPr>
        <w:t>État parti</w:t>
      </w:r>
      <w:r w:rsidRPr="008E1C0D">
        <w:rPr>
          <w:b/>
          <w:lang w:val="fr-FR"/>
        </w:rPr>
        <w:t>e</w:t>
      </w:r>
      <w:r w:rsidR="00091812">
        <w:rPr>
          <w:b/>
          <w:lang w:val="fr-FR"/>
        </w:rPr>
        <w:t> ;</w:t>
      </w:r>
    </w:p>
    <w:p w:rsidR="004403D6" w:rsidRPr="008E1C0D" w:rsidRDefault="00F068AB" w:rsidP="00052E12">
      <w:pPr>
        <w:pStyle w:val="SingleTxtG"/>
        <w:rPr>
          <w:b/>
        </w:rPr>
      </w:pPr>
      <w:r w:rsidRPr="008E1C0D">
        <w:rPr>
          <w:b/>
          <w:lang w:val="fr-FR"/>
        </w:rPr>
        <w:tab/>
        <w:t>d)</w:t>
      </w:r>
      <w:r w:rsidRPr="008E1C0D">
        <w:rPr>
          <w:b/>
          <w:lang w:val="fr-FR"/>
        </w:rPr>
        <w:tab/>
      </w:r>
      <w:r w:rsidRPr="008E1C0D">
        <w:rPr>
          <w:b/>
          <w:lang w:val="fr-FR"/>
        </w:rPr>
        <w:t>Prendre toute autre mesure nécessaire pour éliminer entièrement le travail forcé</w:t>
      </w:r>
      <w:r w:rsidRPr="008E1C0D">
        <w:rPr>
          <w:b/>
          <w:lang w:val="fr-FR"/>
        </w:rPr>
        <w:t xml:space="preserve"> et le travail des enfants</w:t>
      </w:r>
      <w:r w:rsidRPr="008E1C0D">
        <w:rPr>
          <w:b/>
          <w:lang w:val="fr-FR"/>
        </w:rPr>
        <w:t>.</w:t>
      </w:r>
    </w:p>
    <w:p w:rsidR="004403D6" w:rsidRPr="00052E12" w:rsidRDefault="00F068AB" w:rsidP="002327CD">
      <w:pPr>
        <w:pStyle w:val="H23G"/>
      </w:pPr>
      <w:r w:rsidRPr="00052E12">
        <w:rPr>
          <w:lang w:val="fr-FR"/>
        </w:rPr>
        <w:tab/>
      </w:r>
      <w:r w:rsidRPr="00052E12">
        <w:rPr>
          <w:lang w:val="fr-FR"/>
        </w:rPr>
        <w:tab/>
        <w:t>Liberté d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expression, de réunion et d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association</w:t>
      </w:r>
      <w:bookmarkStart w:id="23" w:name="_Toc491177805"/>
      <w:bookmarkEnd w:id="23"/>
    </w:p>
    <w:p w:rsidR="004403D6" w:rsidRPr="00052E12" w:rsidRDefault="00F068AB" w:rsidP="00052E12">
      <w:pPr>
        <w:pStyle w:val="SingleTxtG"/>
      </w:pPr>
      <w:r w:rsidRPr="00052E12">
        <w:rPr>
          <w:lang w:val="fr-FR"/>
        </w:rPr>
        <w:t>44.</w:t>
      </w:r>
      <w:r w:rsidRPr="00052E12">
        <w:rPr>
          <w:lang w:val="fr-FR"/>
        </w:rPr>
        <w:tab/>
        <w:t>Le Comité est préoccupé par les informations faisant état d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 xml:space="preserve">agressions </w:t>
      </w:r>
      <w:r w:rsidRPr="00052E12">
        <w:rPr>
          <w:lang w:val="fr-FR"/>
        </w:rPr>
        <w:t>de</w:t>
      </w:r>
      <w:r w:rsidRPr="00052E12">
        <w:rPr>
          <w:lang w:val="fr-FR"/>
        </w:rPr>
        <w:t xml:space="preserve"> journalistes, d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opposants politiques, de</w:t>
      </w:r>
      <w:r w:rsidRPr="00052E12">
        <w:rPr>
          <w:lang w:val="fr-FR"/>
        </w:rPr>
        <w:t xml:space="preserve"> défenseurs des droits de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homme et de</w:t>
      </w:r>
      <w:r w:rsidRPr="00052E12">
        <w:rPr>
          <w:lang w:val="fr-FR"/>
        </w:rPr>
        <w:t xml:space="preserve"> syndicalistes, et par d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autres informations selon lesquelles les modifications qu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il est envisagé d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apporter à la loi relative à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ordre public</w:t>
      </w:r>
      <w:r w:rsidRPr="00052E12">
        <w:rPr>
          <w:lang w:val="fr-FR"/>
        </w:rPr>
        <w:t xml:space="preserve"> restreindraient sévèrement la liberté d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expression, de réunion et d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association, imposeraient des conditions très strictes à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obtention de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autorisation préalable à la tenue d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une réunion ou à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organisation d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une activité et donneraient aux agents de l</w:t>
      </w:r>
      <w:r w:rsidRPr="00052E12">
        <w:rPr>
          <w:lang w:val="fr-FR"/>
        </w:rPr>
        <w:t>a force publique la possibilité d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interrompre des réunions à leur gré. Il est également préoccupé par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information selon laquelle la présence d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un contrôleur serait requise pendant les réunions publiques. Le Comité s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inquiète de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information selon laquel</w:t>
      </w:r>
      <w:r w:rsidRPr="00052E12">
        <w:rPr>
          <w:lang w:val="fr-FR"/>
        </w:rPr>
        <w:t xml:space="preserve">le des syndicalistes </w:t>
      </w:r>
      <w:r w:rsidRPr="00052E12">
        <w:rPr>
          <w:lang w:val="fr-FR"/>
        </w:rPr>
        <w:t>auraient</w:t>
      </w:r>
      <w:r w:rsidRPr="00052E12">
        <w:rPr>
          <w:lang w:val="fr-FR"/>
        </w:rPr>
        <w:t xml:space="preserve"> été maintenus en détention provisoire afin </w:t>
      </w:r>
      <w:r w:rsidRPr="00052E12">
        <w:rPr>
          <w:lang w:val="fr-FR"/>
        </w:rPr>
        <w:t>qu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 xml:space="preserve">ils ne puissent pas </w:t>
      </w:r>
      <w:r w:rsidRPr="00052E12">
        <w:rPr>
          <w:lang w:val="fr-FR"/>
        </w:rPr>
        <w:t>participer à des act</w:t>
      </w:r>
      <w:r w:rsidRPr="00052E12">
        <w:rPr>
          <w:lang w:val="fr-FR"/>
        </w:rPr>
        <w:t>ivités syndicales légales (art. </w:t>
      </w:r>
      <w:r w:rsidRPr="00052E12">
        <w:rPr>
          <w:lang w:val="fr-FR"/>
        </w:rPr>
        <w:t>19, 21 et 22).</w:t>
      </w:r>
    </w:p>
    <w:p w:rsidR="004403D6" w:rsidRPr="00052E12" w:rsidRDefault="00F068AB" w:rsidP="00052E12">
      <w:pPr>
        <w:pStyle w:val="SingleTxtG"/>
        <w:rPr>
          <w:b/>
        </w:rPr>
      </w:pPr>
      <w:r w:rsidRPr="00052E12">
        <w:rPr>
          <w:lang w:val="fr-FR"/>
        </w:rPr>
        <w:t>45.</w:t>
      </w:r>
      <w:r w:rsidRPr="00052E12">
        <w:rPr>
          <w:lang w:val="fr-FR"/>
        </w:rPr>
        <w:tab/>
      </w:r>
      <w:r w:rsidRPr="00052E12">
        <w:rPr>
          <w:b/>
          <w:lang w:val="fr-FR"/>
        </w:rPr>
        <w:t>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 xml:space="preserve">État partie devrait prévenir les agressions contre les défenseurs des droits de </w:t>
      </w:r>
      <w:r w:rsidRPr="00052E12">
        <w:rPr>
          <w:b/>
          <w:lang w:val="fr-FR"/>
        </w:rPr>
        <w:t>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homme et d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autres militants sociaux et y remédier, et adopter rapidement une législation destinée à garantir que toute restriction de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exercice de la liberté d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expression, de réunion et d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 xml:space="preserve">association soit strictement conforme au Pacte. </w:t>
      </w:r>
      <w:r w:rsidRPr="00052E12">
        <w:rPr>
          <w:b/>
          <w:lang w:val="fr-FR"/>
        </w:rPr>
        <w:t>Il</w:t>
      </w:r>
      <w:r w:rsidRPr="00052E12">
        <w:rPr>
          <w:b/>
          <w:lang w:val="fr-FR"/>
        </w:rPr>
        <w:t xml:space="preserve"> devrait prendre toutes les mesures nécessaires pour protéger les droits à la liberté d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expression, d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association et de réunion pacifique, et veiller à ce que les agents de police, les juges et les procureurs reçoivent une formation dans ce domaine.</w:t>
      </w:r>
    </w:p>
    <w:p w:rsidR="004403D6" w:rsidRPr="00052E12" w:rsidRDefault="00F068AB" w:rsidP="008E1C0D">
      <w:pPr>
        <w:pStyle w:val="H23G"/>
      </w:pPr>
      <w:r w:rsidRPr="00052E12">
        <w:rPr>
          <w:lang w:val="fr-FR"/>
        </w:rPr>
        <w:tab/>
      </w:r>
      <w:r w:rsidRPr="00052E12">
        <w:rPr>
          <w:lang w:val="fr-FR"/>
        </w:rPr>
        <w:tab/>
        <w:t>Just</w:t>
      </w:r>
      <w:r w:rsidRPr="00052E12">
        <w:rPr>
          <w:lang w:val="fr-FR"/>
        </w:rPr>
        <w:t>ice pour mineurs</w:t>
      </w:r>
      <w:bookmarkStart w:id="24" w:name="_Toc491177806"/>
      <w:bookmarkEnd w:id="24"/>
    </w:p>
    <w:p w:rsidR="004403D6" w:rsidRPr="00052E12" w:rsidRDefault="00F068AB" w:rsidP="00052E12">
      <w:pPr>
        <w:pStyle w:val="SingleTxtG"/>
      </w:pPr>
      <w:r w:rsidRPr="00052E12">
        <w:rPr>
          <w:lang w:val="fr-FR"/>
        </w:rPr>
        <w:t>46.</w:t>
      </w:r>
      <w:r w:rsidRPr="00052E12">
        <w:rPr>
          <w:lang w:val="fr-FR"/>
        </w:rPr>
        <w:tab/>
        <w:t>Le Comité est préoccupé par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absence de cadre juridictionnel réservé aux mineurs, par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âge, trop bas, de la responsabilité pénale, et par la détention d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adultes et d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enfa</w:t>
      </w:r>
      <w:r w:rsidR="002327CD">
        <w:rPr>
          <w:lang w:val="fr-FR"/>
        </w:rPr>
        <w:t>nts dans les mêmes locaux (art. </w:t>
      </w:r>
      <w:r w:rsidRPr="00052E12">
        <w:rPr>
          <w:lang w:val="fr-FR"/>
        </w:rPr>
        <w:t>9, 10, 14 et 24).</w:t>
      </w:r>
    </w:p>
    <w:p w:rsidR="004403D6" w:rsidRPr="00052E12" w:rsidRDefault="00F068AB" w:rsidP="00DF1C23">
      <w:pPr>
        <w:pStyle w:val="SingleTxtG"/>
        <w:keepNext/>
        <w:rPr>
          <w:b/>
        </w:rPr>
      </w:pPr>
      <w:r w:rsidRPr="00052E12">
        <w:rPr>
          <w:lang w:val="fr-FR"/>
        </w:rPr>
        <w:lastRenderedPageBreak/>
        <w:t>47.</w:t>
      </w:r>
      <w:r w:rsidRPr="00052E12">
        <w:rPr>
          <w:lang w:val="fr-FR"/>
        </w:rPr>
        <w:tab/>
      </w:r>
      <w:r w:rsidRPr="00052E12">
        <w:rPr>
          <w:b/>
          <w:lang w:val="fr-FR"/>
        </w:rPr>
        <w:t>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État</w:t>
      </w:r>
      <w:r w:rsidRPr="00052E12">
        <w:rPr>
          <w:b/>
          <w:lang w:val="fr-FR"/>
        </w:rPr>
        <w:t xml:space="preserve"> partie devrait</w:t>
      </w:r>
      <w:r w:rsidR="00091812">
        <w:rPr>
          <w:b/>
          <w:lang w:val="fr-FR"/>
        </w:rPr>
        <w:t> :</w:t>
      </w:r>
      <w:r w:rsidRPr="00052E12">
        <w:rPr>
          <w:lang w:val="fr-FR"/>
        </w:rPr>
        <w:t xml:space="preserve"> </w:t>
      </w:r>
    </w:p>
    <w:p w:rsidR="004403D6" w:rsidRPr="008E1C0D" w:rsidRDefault="00F068AB" w:rsidP="00052E12">
      <w:pPr>
        <w:pStyle w:val="SingleTxtG"/>
        <w:rPr>
          <w:b/>
        </w:rPr>
      </w:pPr>
      <w:r w:rsidRPr="008E1C0D">
        <w:rPr>
          <w:b/>
          <w:lang w:val="fr-FR"/>
        </w:rPr>
        <w:tab/>
        <w:t>a)</w:t>
      </w:r>
      <w:r w:rsidRPr="008E1C0D">
        <w:rPr>
          <w:b/>
          <w:lang w:val="fr-FR"/>
        </w:rPr>
        <w:tab/>
      </w:r>
      <w:r w:rsidRPr="008E1C0D">
        <w:rPr>
          <w:b/>
          <w:lang w:val="fr-FR"/>
        </w:rPr>
        <w:t>Faire le nécessaire pour mettre en place au sein des tribunaux des chambres pour mineurs confiées à des juges spécialisés afin de s</w:t>
      </w:r>
      <w:r w:rsidR="00052E12" w:rsidRPr="008E1C0D">
        <w:rPr>
          <w:b/>
          <w:lang w:val="fr-FR"/>
        </w:rPr>
        <w:t>’</w:t>
      </w:r>
      <w:r w:rsidRPr="008E1C0D">
        <w:rPr>
          <w:b/>
          <w:lang w:val="fr-FR"/>
        </w:rPr>
        <w:t xml:space="preserve">assurer que les jeunes reçoivent un traitement </w:t>
      </w:r>
      <w:r w:rsidRPr="008E1C0D">
        <w:rPr>
          <w:b/>
          <w:lang w:val="fr-FR"/>
        </w:rPr>
        <w:t>adapté</w:t>
      </w:r>
      <w:r w:rsidRPr="008E1C0D">
        <w:rPr>
          <w:b/>
          <w:lang w:val="fr-FR"/>
        </w:rPr>
        <w:t xml:space="preserve"> à leur âge, à leurs besoins particuliers et à l</w:t>
      </w:r>
      <w:r w:rsidRPr="008E1C0D">
        <w:rPr>
          <w:b/>
          <w:lang w:val="fr-FR"/>
        </w:rPr>
        <w:t>eur vulnérabilité</w:t>
      </w:r>
      <w:r w:rsidR="00091812">
        <w:rPr>
          <w:b/>
          <w:lang w:val="fr-FR"/>
        </w:rPr>
        <w:t> ;</w:t>
      </w:r>
    </w:p>
    <w:p w:rsidR="004403D6" w:rsidRPr="008E1C0D" w:rsidRDefault="00F068AB" w:rsidP="00052E12">
      <w:pPr>
        <w:pStyle w:val="SingleTxtG"/>
        <w:rPr>
          <w:b/>
        </w:rPr>
      </w:pPr>
      <w:r w:rsidRPr="008E1C0D">
        <w:rPr>
          <w:b/>
          <w:lang w:val="fr-FR"/>
        </w:rPr>
        <w:tab/>
        <w:t>b)</w:t>
      </w:r>
      <w:r w:rsidRPr="008E1C0D">
        <w:rPr>
          <w:b/>
          <w:lang w:val="fr-FR"/>
        </w:rPr>
        <w:tab/>
      </w:r>
      <w:r w:rsidRPr="008E1C0D">
        <w:rPr>
          <w:b/>
          <w:lang w:val="fr-FR"/>
        </w:rPr>
        <w:t>Relever l</w:t>
      </w:r>
      <w:r w:rsidR="00052E12" w:rsidRPr="008E1C0D">
        <w:rPr>
          <w:b/>
          <w:lang w:val="fr-FR"/>
        </w:rPr>
        <w:t>’</w:t>
      </w:r>
      <w:r w:rsidRPr="008E1C0D">
        <w:rPr>
          <w:b/>
          <w:lang w:val="fr-FR"/>
        </w:rPr>
        <w:t>âge minimum de la responsabilité pénale de façon à le mettre en conformité avec les normes internationales et garantir la pleine mise en œuvre des normes internationales rela</w:t>
      </w:r>
      <w:r w:rsidRPr="008E1C0D">
        <w:rPr>
          <w:b/>
          <w:lang w:val="fr-FR"/>
        </w:rPr>
        <w:t>tives à la justice pour mineurs</w:t>
      </w:r>
      <w:r w:rsidR="00091812">
        <w:rPr>
          <w:b/>
          <w:lang w:val="fr-FR"/>
        </w:rPr>
        <w:t> ;</w:t>
      </w:r>
      <w:r w:rsidRPr="008E1C0D">
        <w:rPr>
          <w:b/>
          <w:lang w:val="fr-FR"/>
        </w:rPr>
        <w:t xml:space="preserve"> </w:t>
      </w:r>
    </w:p>
    <w:p w:rsidR="004403D6" w:rsidRPr="008E1C0D" w:rsidRDefault="00F068AB" w:rsidP="00052E12">
      <w:pPr>
        <w:pStyle w:val="SingleTxtG"/>
        <w:rPr>
          <w:b/>
        </w:rPr>
      </w:pPr>
      <w:r w:rsidRPr="008E1C0D">
        <w:rPr>
          <w:b/>
          <w:lang w:val="fr-FR"/>
        </w:rPr>
        <w:tab/>
        <w:t>c)</w:t>
      </w:r>
      <w:r w:rsidRPr="008E1C0D">
        <w:rPr>
          <w:b/>
          <w:lang w:val="fr-FR"/>
        </w:rPr>
        <w:tab/>
      </w:r>
      <w:r w:rsidRPr="008E1C0D">
        <w:rPr>
          <w:b/>
          <w:lang w:val="fr-FR"/>
        </w:rPr>
        <w:t>Veiller à</w:t>
      </w:r>
      <w:r w:rsidRPr="008E1C0D">
        <w:rPr>
          <w:b/>
          <w:lang w:val="fr-FR"/>
        </w:rPr>
        <w:t xml:space="preserve"> ce que les enfants en détention soient séparés des adultes.</w:t>
      </w:r>
    </w:p>
    <w:p w:rsidR="004403D6" w:rsidRPr="00052E12" w:rsidRDefault="00F068AB" w:rsidP="008E1C0D">
      <w:pPr>
        <w:pStyle w:val="H23G"/>
      </w:pPr>
      <w:r w:rsidRPr="00052E12">
        <w:rPr>
          <w:lang w:val="fr-FR"/>
        </w:rPr>
        <w:tab/>
      </w:r>
      <w:r w:rsidRPr="00052E12">
        <w:rPr>
          <w:lang w:val="fr-FR"/>
        </w:rPr>
        <w:tab/>
        <w:t>Enregistrement des naissances</w:t>
      </w:r>
      <w:r w:rsidRPr="00052E12">
        <w:rPr>
          <w:lang w:val="fr-FR"/>
        </w:rPr>
        <w:t xml:space="preserve"> </w:t>
      </w:r>
      <w:bookmarkStart w:id="25" w:name="_Toc491177807"/>
      <w:bookmarkEnd w:id="25"/>
    </w:p>
    <w:p w:rsidR="004403D6" w:rsidRPr="00052E12" w:rsidRDefault="00F068AB" w:rsidP="00052E12">
      <w:pPr>
        <w:pStyle w:val="SingleTxtG"/>
      </w:pPr>
      <w:r w:rsidRPr="00052E12">
        <w:rPr>
          <w:lang w:val="fr-FR"/>
        </w:rPr>
        <w:t>48.</w:t>
      </w:r>
      <w:r w:rsidRPr="00052E12">
        <w:rPr>
          <w:lang w:val="fr-FR"/>
        </w:rPr>
        <w:tab/>
        <w:t>Tout en prenant note des mesures prises par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État partie pour garantir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enregistrement de toutes les naissances, le Comité demeure préoccupé par le grand</w:t>
      </w:r>
      <w:r w:rsidRPr="00052E12">
        <w:rPr>
          <w:lang w:val="fr-FR"/>
        </w:rPr>
        <w:t xml:space="preserve"> nombre d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 xml:space="preserve">entre elles qui ne sont </w:t>
      </w:r>
      <w:r w:rsidR="002327CD">
        <w:rPr>
          <w:lang w:val="fr-FR"/>
        </w:rPr>
        <w:t>toujours pas enregistrées (art. </w:t>
      </w:r>
      <w:r w:rsidRPr="00052E12">
        <w:rPr>
          <w:lang w:val="fr-FR"/>
        </w:rPr>
        <w:t>16 et 24).</w:t>
      </w:r>
    </w:p>
    <w:p w:rsidR="004403D6" w:rsidRPr="00052E12" w:rsidRDefault="00F068AB" w:rsidP="00052E12">
      <w:pPr>
        <w:pStyle w:val="SingleTxtG"/>
        <w:rPr>
          <w:b/>
        </w:rPr>
      </w:pPr>
      <w:r w:rsidRPr="00052E12">
        <w:rPr>
          <w:lang w:val="fr-FR"/>
        </w:rPr>
        <w:t>49.</w:t>
      </w:r>
      <w:r w:rsidRPr="00052E12">
        <w:rPr>
          <w:lang w:val="fr-FR"/>
        </w:rPr>
        <w:tab/>
      </w:r>
      <w:r w:rsidRPr="00052E12">
        <w:rPr>
          <w:b/>
          <w:lang w:val="fr-FR"/>
        </w:rPr>
        <w:t>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État partie devrait accélérer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action qu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il mène en vue d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enregistrer toutes les naissances sur son territoire et continuer à organiser des campagnes destinées à sensibiliser les familles et la population en général à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importance de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enregistrement des naissances, en part</w:t>
      </w:r>
      <w:r w:rsidRPr="00052E12">
        <w:rPr>
          <w:b/>
          <w:lang w:val="fr-FR"/>
        </w:rPr>
        <w:t>iculier dans les zones rurales</w:t>
      </w:r>
      <w:r w:rsidRPr="00052E12">
        <w:rPr>
          <w:b/>
          <w:lang w:val="fr-FR"/>
        </w:rPr>
        <w:t>.</w:t>
      </w:r>
    </w:p>
    <w:p w:rsidR="004403D6" w:rsidRPr="00052E12" w:rsidRDefault="00F068AB" w:rsidP="008E1C0D">
      <w:pPr>
        <w:pStyle w:val="H23G"/>
      </w:pPr>
      <w:r w:rsidRPr="00052E12">
        <w:rPr>
          <w:lang w:val="fr-FR"/>
        </w:rPr>
        <w:tab/>
      </w:r>
      <w:r w:rsidRPr="00052E12">
        <w:rPr>
          <w:lang w:val="fr-FR"/>
        </w:rPr>
        <w:tab/>
        <w:t>Châtim</w:t>
      </w:r>
      <w:r w:rsidRPr="00052E12">
        <w:rPr>
          <w:lang w:val="fr-FR"/>
        </w:rPr>
        <w:t>ents corporels</w:t>
      </w:r>
      <w:r w:rsidRPr="00052E12">
        <w:rPr>
          <w:lang w:val="fr-FR"/>
        </w:rPr>
        <w:t xml:space="preserve"> </w:t>
      </w:r>
      <w:bookmarkStart w:id="26" w:name="_Toc491177808"/>
      <w:bookmarkEnd w:id="26"/>
    </w:p>
    <w:p w:rsidR="004403D6" w:rsidRPr="00052E12" w:rsidRDefault="00F068AB" w:rsidP="00052E12">
      <w:pPr>
        <w:pStyle w:val="SingleTxtG"/>
      </w:pPr>
      <w:r w:rsidRPr="00052E12">
        <w:rPr>
          <w:lang w:val="fr-FR"/>
        </w:rPr>
        <w:t>50.</w:t>
      </w:r>
      <w:r w:rsidRPr="00052E12">
        <w:rPr>
          <w:lang w:val="fr-FR"/>
        </w:rPr>
        <w:tab/>
        <w:t>Le Comité note que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utilisation d</w:t>
      </w:r>
      <w:r w:rsidRPr="00052E12">
        <w:rPr>
          <w:lang w:val="fr-FR"/>
        </w:rPr>
        <w:t xml:space="preserve">es châtiments corporels </w:t>
      </w:r>
      <w:r w:rsidRPr="00052E12">
        <w:rPr>
          <w:lang w:val="fr-FR"/>
        </w:rPr>
        <w:t>en tant que peine judiciaire a</w:t>
      </w:r>
      <w:r w:rsidRPr="00052E12">
        <w:rPr>
          <w:lang w:val="fr-FR"/>
        </w:rPr>
        <w:t xml:space="preserve"> été interdit</w:t>
      </w:r>
      <w:r w:rsidRPr="00052E12">
        <w:rPr>
          <w:lang w:val="fr-FR"/>
        </w:rPr>
        <w:t>e</w:t>
      </w:r>
      <w:r w:rsidRPr="00052E12">
        <w:rPr>
          <w:lang w:val="fr-FR"/>
        </w:rPr>
        <w:t xml:space="preserve"> par l</w:t>
      </w:r>
      <w:r w:rsidRPr="00052E12">
        <w:rPr>
          <w:lang w:val="fr-FR"/>
        </w:rPr>
        <w:t>a loi relative à la protection et au bien-être des enfants, mais il relève à nouveau avec préoccupation qu</w:t>
      </w:r>
      <w:r w:rsidRPr="00052E12">
        <w:rPr>
          <w:lang w:val="fr-FR"/>
        </w:rPr>
        <w:t xml:space="preserve">e ces </w:t>
      </w:r>
      <w:r w:rsidRPr="00052E12">
        <w:rPr>
          <w:lang w:val="fr-FR"/>
        </w:rPr>
        <w:t>châtiments</w:t>
      </w:r>
      <w:r w:rsidRPr="00052E12">
        <w:rPr>
          <w:lang w:val="fr-FR"/>
        </w:rPr>
        <w:t xml:space="preserve"> sont toujours </w:t>
      </w:r>
      <w:r w:rsidRPr="00052E12">
        <w:rPr>
          <w:lang w:val="fr-FR"/>
        </w:rPr>
        <w:t xml:space="preserve">légalement </w:t>
      </w:r>
      <w:r w:rsidRPr="00052E12">
        <w:rPr>
          <w:lang w:val="fr-FR"/>
        </w:rPr>
        <w:t xml:space="preserve">utilisés </w:t>
      </w:r>
      <w:r w:rsidRPr="00052E12">
        <w:rPr>
          <w:lang w:val="fr-FR"/>
        </w:rPr>
        <w:t>dans la famille, les structures de protection de remplacement, les garderies, les écoles et les étab</w:t>
      </w:r>
      <w:r w:rsidR="002327CD">
        <w:rPr>
          <w:lang w:val="fr-FR"/>
        </w:rPr>
        <w:t>lissements pénitentiaires (art. </w:t>
      </w:r>
      <w:r w:rsidRPr="00052E12">
        <w:rPr>
          <w:lang w:val="fr-FR"/>
        </w:rPr>
        <w:t>7 et 24).</w:t>
      </w:r>
    </w:p>
    <w:p w:rsidR="004403D6" w:rsidRPr="00052E12" w:rsidRDefault="00F068AB" w:rsidP="00052E12">
      <w:pPr>
        <w:pStyle w:val="SingleTxtG"/>
        <w:rPr>
          <w:b/>
        </w:rPr>
      </w:pPr>
      <w:r w:rsidRPr="00052E12">
        <w:rPr>
          <w:lang w:val="fr-FR"/>
        </w:rPr>
        <w:t>51.</w:t>
      </w:r>
      <w:r w:rsidRPr="00052E12">
        <w:rPr>
          <w:lang w:val="fr-FR"/>
        </w:rPr>
        <w:tab/>
      </w:r>
      <w:r w:rsidRPr="00052E12">
        <w:rPr>
          <w:b/>
          <w:lang w:val="fr-FR"/>
        </w:rPr>
        <w:t>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 xml:space="preserve">État partie devrait adopter des mesures </w:t>
      </w:r>
      <w:r w:rsidRPr="00052E12">
        <w:rPr>
          <w:b/>
          <w:lang w:val="fr-FR"/>
        </w:rPr>
        <w:t>concrètes, y compris, si nécessaire, d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ordre législatif, pour faire cesser la pratique des châtiments corporels dans tous les contextes. Il devrait encourager 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utilisation de formes non violentes de discipline pour remplacer les châtiments corporels et me</w:t>
      </w:r>
      <w:r w:rsidRPr="00052E12">
        <w:rPr>
          <w:b/>
          <w:lang w:val="fr-FR"/>
        </w:rPr>
        <w:t>ner des campagnes d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information pour sensibiliser la population aux effets préjudiciables de cette pratique.</w:t>
      </w:r>
    </w:p>
    <w:p w:rsidR="004403D6" w:rsidRPr="00052E12" w:rsidRDefault="00F068AB" w:rsidP="008E1C0D">
      <w:pPr>
        <w:pStyle w:val="H23G"/>
      </w:pPr>
      <w:r w:rsidRPr="00052E12">
        <w:rPr>
          <w:lang w:val="fr-FR"/>
        </w:rPr>
        <w:tab/>
      </w:r>
      <w:r w:rsidRPr="00052E12">
        <w:rPr>
          <w:lang w:val="fr-FR"/>
        </w:rPr>
        <w:tab/>
        <w:t>Participation aux affaires publiques et corruption</w:t>
      </w:r>
      <w:bookmarkStart w:id="27" w:name="_Toc491177809"/>
      <w:bookmarkEnd w:id="27"/>
    </w:p>
    <w:p w:rsidR="004403D6" w:rsidRPr="00052E12" w:rsidRDefault="00F068AB" w:rsidP="00052E12">
      <w:pPr>
        <w:pStyle w:val="SingleTxtG"/>
      </w:pPr>
      <w:r w:rsidRPr="00052E12">
        <w:rPr>
          <w:lang w:val="fr-FR"/>
        </w:rPr>
        <w:t>52.</w:t>
      </w:r>
      <w:r w:rsidRPr="00052E12">
        <w:rPr>
          <w:lang w:val="fr-FR"/>
        </w:rPr>
        <w:tab/>
        <w:t>Le Comité constate avec préoccupation que la concentration</w:t>
      </w:r>
      <w:r w:rsidR="00C14C45">
        <w:rPr>
          <w:lang w:val="fr-FR"/>
        </w:rPr>
        <w:t xml:space="preserve"> du pouvoir entre les mains du R</w:t>
      </w:r>
      <w:r w:rsidRPr="00052E12">
        <w:rPr>
          <w:lang w:val="fr-FR"/>
        </w:rPr>
        <w:t>oi, qui confère notamment à celui-ci des pouvoirs excessivement larges de nomination des membres du Gouvernement, du Parlement et des juges, n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est pas compatible avec l</w:t>
      </w:r>
      <w:r w:rsidR="00052E12" w:rsidRPr="00052E12">
        <w:rPr>
          <w:lang w:val="fr-FR"/>
        </w:rPr>
        <w:t>’</w:t>
      </w:r>
      <w:r w:rsidR="002327CD">
        <w:rPr>
          <w:lang w:val="fr-FR"/>
        </w:rPr>
        <w:t>article </w:t>
      </w:r>
      <w:r w:rsidRPr="00052E12">
        <w:rPr>
          <w:lang w:val="fr-FR"/>
        </w:rPr>
        <w:t xml:space="preserve">25 du Pacte. Il relève </w:t>
      </w:r>
      <w:r w:rsidRPr="00052E12">
        <w:rPr>
          <w:lang w:val="fr-FR"/>
        </w:rPr>
        <w:t>également</w:t>
      </w:r>
      <w:r w:rsidRPr="00052E12">
        <w:rPr>
          <w:lang w:val="fr-FR"/>
        </w:rPr>
        <w:t xml:space="preserve"> avec inquiétude que les élections qui </w:t>
      </w:r>
      <w:r w:rsidRPr="00052E12">
        <w:rPr>
          <w:lang w:val="fr-FR"/>
        </w:rPr>
        <w:t>ont eu lieu dans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État partie en 2013 n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étaient pas conformes aux normes internationales concernant la tenue d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élections libres et régulières</w:t>
      </w:r>
      <w:r w:rsidRPr="00052E12">
        <w:rPr>
          <w:lang w:val="fr-FR"/>
        </w:rPr>
        <w:t>, et que les partis politiques en tant que tels ne peuvent pas obtenir leur enregistr</w:t>
      </w:r>
      <w:r w:rsidRPr="00052E12">
        <w:rPr>
          <w:lang w:val="fr-FR"/>
        </w:rPr>
        <w:t>ement, participer aux élec</w:t>
      </w:r>
      <w:r w:rsidRPr="00052E12">
        <w:rPr>
          <w:lang w:val="fr-FR"/>
        </w:rPr>
        <w:t>tions ou</w:t>
      </w:r>
      <w:r w:rsidRPr="00052E12">
        <w:rPr>
          <w:lang w:val="fr-FR"/>
        </w:rPr>
        <w:t xml:space="preserve"> présenter des candidats</w:t>
      </w:r>
      <w:r w:rsidRPr="00052E12">
        <w:rPr>
          <w:lang w:val="fr-FR"/>
        </w:rPr>
        <w:t>,</w:t>
      </w:r>
      <w:r w:rsidRPr="00052E12">
        <w:rPr>
          <w:lang w:val="fr-FR"/>
        </w:rPr>
        <w:t xml:space="preserve"> ni participer d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une autre manière à la formation d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un g</w:t>
      </w:r>
      <w:r w:rsidRPr="00052E12">
        <w:rPr>
          <w:lang w:val="fr-FR"/>
        </w:rPr>
        <w:t xml:space="preserve">ouvernement. Le Comité est </w:t>
      </w:r>
      <w:r w:rsidRPr="00052E12">
        <w:rPr>
          <w:lang w:val="fr-FR"/>
        </w:rPr>
        <w:t xml:space="preserve">préoccupé </w:t>
      </w:r>
      <w:r w:rsidRPr="00052E12">
        <w:rPr>
          <w:lang w:val="fr-FR"/>
        </w:rPr>
        <w:t xml:space="preserve">en outre </w:t>
      </w:r>
      <w:r w:rsidRPr="00052E12">
        <w:rPr>
          <w:lang w:val="fr-FR"/>
        </w:rPr>
        <w:t>par le fait que ni la Commission chargée des élections et de la délimitation des circonscriptions électorales</w:t>
      </w:r>
      <w:r w:rsidRPr="00052E12">
        <w:rPr>
          <w:lang w:val="fr-FR"/>
        </w:rPr>
        <w:t xml:space="preserve"> ni la Commission de lutte contre la corruption</w:t>
      </w:r>
      <w:r w:rsidRPr="00052E12">
        <w:rPr>
          <w:lang w:val="fr-FR"/>
        </w:rPr>
        <w:t xml:space="preserve"> ne sont suffisamment indépendantes,</w:t>
      </w:r>
      <w:r w:rsidR="002327CD">
        <w:rPr>
          <w:lang w:val="fr-FR"/>
        </w:rPr>
        <w:t xml:space="preserve"> impartiales ou efficaces (art. </w:t>
      </w:r>
      <w:r w:rsidRPr="00052E12">
        <w:rPr>
          <w:lang w:val="fr-FR"/>
        </w:rPr>
        <w:t>19, 21, 22 et 25).</w:t>
      </w:r>
    </w:p>
    <w:p w:rsidR="004403D6" w:rsidRPr="00052E12" w:rsidRDefault="00F068AB" w:rsidP="00052E12">
      <w:pPr>
        <w:pStyle w:val="SingleTxtG"/>
        <w:rPr>
          <w:b/>
        </w:rPr>
      </w:pPr>
      <w:r w:rsidRPr="00052E12">
        <w:rPr>
          <w:lang w:val="fr-FR"/>
        </w:rPr>
        <w:t>53.</w:t>
      </w:r>
      <w:r w:rsidRPr="00052E12">
        <w:rPr>
          <w:lang w:val="fr-FR"/>
        </w:rPr>
        <w:tab/>
      </w:r>
      <w:r w:rsidRPr="00052E12">
        <w:rPr>
          <w:b/>
          <w:lang w:val="fr-FR"/>
        </w:rPr>
        <w:t>L</w:t>
      </w:r>
      <w:r w:rsidR="00052E12" w:rsidRPr="00052E12">
        <w:rPr>
          <w:b/>
          <w:lang w:val="fr-FR"/>
        </w:rPr>
        <w:t>’</w:t>
      </w:r>
      <w:r w:rsidRPr="00052E12">
        <w:rPr>
          <w:b/>
          <w:lang w:val="fr-FR"/>
        </w:rPr>
        <w:t>État partie devrait mettre son cadre constitutionnel en conformité avec le Pacte, notamment avec l</w:t>
      </w:r>
      <w:r w:rsidR="00052E12" w:rsidRPr="00052E12">
        <w:rPr>
          <w:b/>
          <w:lang w:val="fr-FR"/>
        </w:rPr>
        <w:t>’</w:t>
      </w:r>
      <w:r w:rsidR="002327CD">
        <w:rPr>
          <w:b/>
          <w:lang w:val="fr-FR"/>
        </w:rPr>
        <w:t>article </w:t>
      </w:r>
      <w:r w:rsidRPr="00052E12">
        <w:rPr>
          <w:b/>
          <w:lang w:val="fr-FR"/>
        </w:rPr>
        <w:t>25</w:t>
      </w:r>
      <w:r w:rsidRPr="00052E12">
        <w:rPr>
          <w:b/>
          <w:lang w:val="fr-FR"/>
        </w:rPr>
        <w:t xml:space="preserve"> de ce dernier</w:t>
      </w:r>
      <w:r w:rsidRPr="00052E12">
        <w:rPr>
          <w:b/>
          <w:lang w:val="fr-FR"/>
        </w:rPr>
        <w:t>, et à cette fin, prendre notamment les mesures suivantes</w:t>
      </w:r>
      <w:r w:rsidR="00091812">
        <w:rPr>
          <w:b/>
          <w:lang w:val="fr-FR"/>
        </w:rPr>
        <w:t> :</w:t>
      </w:r>
    </w:p>
    <w:p w:rsidR="004403D6" w:rsidRPr="008E1C0D" w:rsidRDefault="00F068AB" w:rsidP="00052E12">
      <w:pPr>
        <w:pStyle w:val="SingleTxtG"/>
        <w:rPr>
          <w:b/>
        </w:rPr>
      </w:pPr>
      <w:r w:rsidRPr="008E1C0D">
        <w:rPr>
          <w:b/>
          <w:lang w:val="fr-FR"/>
        </w:rPr>
        <w:tab/>
        <w:t>a)</w:t>
      </w:r>
      <w:r w:rsidRPr="008E1C0D">
        <w:rPr>
          <w:b/>
          <w:lang w:val="fr-FR"/>
        </w:rPr>
        <w:tab/>
      </w:r>
      <w:r w:rsidRPr="008E1C0D">
        <w:rPr>
          <w:b/>
          <w:lang w:val="fr-FR"/>
        </w:rPr>
        <w:t>Promouvoir une culture du pluralisme politique, garantir la liberté de tenir un véritable débat politique pluraliste, et autoriser l</w:t>
      </w:r>
      <w:r w:rsidR="00052E12" w:rsidRPr="008E1C0D">
        <w:rPr>
          <w:b/>
          <w:lang w:val="fr-FR"/>
        </w:rPr>
        <w:t>’</w:t>
      </w:r>
      <w:r w:rsidRPr="008E1C0D">
        <w:rPr>
          <w:b/>
          <w:lang w:val="fr-FR"/>
        </w:rPr>
        <w:t>enregistrement des partis politiques d</w:t>
      </w:r>
      <w:r w:rsidR="00052E12" w:rsidRPr="008E1C0D">
        <w:rPr>
          <w:b/>
          <w:lang w:val="fr-FR"/>
        </w:rPr>
        <w:t>’</w:t>
      </w:r>
      <w:r w:rsidRPr="008E1C0D">
        <w:rPr>
          <w:b/>
          <w:lang w:val="fr-FR"/>
        </w:rPr>
        <w:t>opposi</w:t>
      </w:r>
      <w:r w:rsidRPr="008E1C0D">
        <w:rPr>
          <w:b/>
          <w:lang w:val="fr-FR"/>
        </w:rPr>
        <w:t>tion, y compris en leur permettant de participer aux élections, de présenter des candidats et de participer à la formation d</w:t>
      </w:r>
      <w:r w:rsidR="00052E12" w:rsidRPr="008E1C0D">
        <w:rPr>
          <w:b/>
          <w:lang w:val="fr-FR"/>
        </w:rPr>
        <w:t>’</w:t>
      </w:r>
      <w:r w:rsidRPr="008E1C0D">
        <w:rPr>
          <w:b/>
          <w:lang w:val="fr-FR"/>
        </w:rPr>
        <w:t>un gouvernement</w:t>
      </w:r>
      <w:r w:rsidR="00091812">
        <w:rPr>
          <w:b/>
          <w:lang w:val="fr-FR"/>
        </w:rPr>
        <w:t> ;</w:t>
      </w:r>
    </w:p>
    <w:p w:rsidR="004403D6" w:rsidRPr="008E1C0D" w:rsidRDefault="00F068AB" w:rsidP="00DF1C23">
      <w:pPr>
        <w:pStyle w:val="SingleTxtG"/>
        <w:keepNext/>
        <w:keepLines/>
        <w:rPr>
          <w:b/>
        </w:rPr>
      </w:pPr>
      <w:r w:rsidRPr="008E1C0D">
        <w:rPr>
          <w:b/>
          <w:lang w:val="fr-FR"/>
        </w:rPr>
        <w:lastRenderedPageBreak/>
        <w:tab/>
        <w:t>b)</w:t>
      </w:r>
      <w:r w:rsidRPr="008E1C0D">
        <w:rPr>
          <w:b/>
          <w:lang w:val="fr-FR"/>
        </w:rPr>
        <w:tab/>
      </w:r>
      <w:r w:rsidRPr="008E1C0D">
        <w:rPr>
          <w:b/>
          <w:lang w:val="fr-FR"/>
        </w:rPr>
        <w:t xml:space="preserve">Entreprendre une réforme constitutionnelle dans le but de transférer du pouvoir </w:t>
      </w:r>
      <w:r w:rsidRPr="008E1C0D">
        <w:rPr>
          <w:b/>
          <w:lang w:val="fr-FR"/>
        </w:rPr>
        <w:t>à des</w:t>
      </w:r>
      <w:r w:rsidRPr="008E1C0D">
        <w:rPr>
          <w:b/>
          <w:lang w:val="fr-FR"/>
        </w:rPr>
        <w:t xml:space="preserve"> autorités élues démocra</w:t>
      </w:r>
      <w:r w:rsidRPr="008E1C0D">
        <w:rPr>
          <w:b/>
          <w:lang w:val="fr-FR"/>
        </w:rPr>
        <w:t>tiquement et garantir le droit de chaque citoyen de prendre part à la conduite des affaires publiques et d</w:t>
      </w:r>
      <w:r w:rsidR="00052E12" w:rsidRPr="008E1C0D">
        <w:rPr>
          <w:b/>
          <w:lang w:val="fr-FR"/>
        </w:rPr>
        <w:t>’</w:t>
      </w:r>
      <w:r w:rsidRPr="008E1C0D">
        <w:rPr>
          <w:b/>
          <w:lang w:val="fr-FR"/>
        </w:rPr>
        <w:t>accéder, dans des conditions générales d</w:t>
      </w:r>
      <w:r w:rsidR="00052E12" w:rsidRPr="008E1C0D">
        <w:rPr>
          <w:b/>
          <w:lang w:val="fr-FR"/>
        </w:rPr>
        <w:t>’</w:t>
      </w:r>
      <w:r w:rsidRPr="008E1C0D">
        <w:rPr>
          <w:b/>
          <w:lang w:val="fr-FR"/>
        </w:rPr>
        <w:t>égalité, aux fonctions publiques</w:t>
      </w:r>
      <w:r w:rsidR="00091812">
        <w:rPr>
          <w:b/>
          <w:lang w:val="fr-FR"/>
        </w:rPr>
        <w:t> ;</w:t>
      </w:r>
    </w:p>
    <w:p w:rsidR="004403D6" w:rsidRPr="008E1C0D" w:rsidRDefault="00F068AB" w:rsidP="00052E12">
      <w:pPr>
        <w:pStyle w:val="SingleTxtG"/>
        <w:rPr>
          <w:b/>
        </w:rPr>
      </w:pPr>
      <w:r w:rsidRPr="008E1C0D">
        <w:rPr>
          <w:b/>
          <w:lang w:val="fr-FR"/>
        </w:rPr>
        <w:tab/>
        <w:t>c)</w:t>
      </w:r>
      <w:r w:rsidRPr="008E1C0D">
        <w:rPr>
          <w:b/>
          <w:lang w:val="fr-FR"/>
        </w:rPr>
        <w:tab/>
      </w:r>
      <w:r w:rsidRPr="008E1C0D">
        <w:rPr>
          <w:b/>
          <w:lang w:val="fr-FR"/>
        </w:rPr>
        <w:t xml:space="preserve">Garantir </w:t>
      </w:r>
      <w:r w:rsidRPr="008E1C0D">
        <w:rPr>
          <w:b/>
          <w:lang w:val="fr-FR"/>
        </w:rPr>
        <w:t>des</w:t>
      </w:r>
      <w:r w:rsidRPr="008E1C0D">
        <w:rPr>
          <w:b/>
          <w:lang w:val="fr-FR"/>
        </w:rPr>
        <w:t xml:space="preserve"> élections libres et régulières</w:t>
      </w:r>
      <w:r w:rsidR="00091812">
        <w:rPr>
          <w:b/>
          <w:lang w:val="fr-FR"/>
        </w:rPr>
        <w:t> ;</w:t>
      </w:r>
    </w:p>
    <w:p w:rsidR="004403D6" w:rsidRPr="008E1C0D" w:rsidRDefault="00F068AB" w:rsidP="00052E12">
      <w:pPr>
        <w:pStyle w:val="SingleTxtG"/>
        <w:rPr>
          <w:b/>
        </w:rPr>
      </w:pPr>
      <w:r w:rsidRPr="008E1C0D">
        <w:rPr>
          <w:b/>
          <w:lang w:val="fr-FR"/>
        </w:rPr>
        <w:tab/>
        <w:t>d)</w:t>
      </w:r>
      <w:r w:rsidRPr="008E1C0D">
        <w:rPr>
          <w:b/>
          <w:lang w:val="fr-FR"/>
        </w:rPr>
        <w:tab/>
      </w:r>
      <w:r w:rsidRPr="008E1C0D">
        <w:rPr>
          <w:b/>
          <w:lang w:val="fr-FR"/>
        </w:rPr>
        <w:t>Veill</w:t>
      </w:r>
      <w:r w:rsidRPr="008E1C0D">
        <w:rPr>
          <w:b/>
          <w:lang w:val="fr-FR"/>
        </w:rPr>
        <w:t>er à l</w:t>
      </w:r>
      <w:r w:rsidR="00052E12" w:rsidRPr="008E1C0D">
        <w:rPr>
          <w:b/>
          <w:lang w:val="fr-FR"/>
        </w:rPr>
        <w:t>’</w:t>
      </w:r>
      <w:r w:rsidRPr="008E1C0D">
        <w:rPr>
          <w:b/>
          <w:lang w:val="fr-FR"/>
        </w:rPr>
        <w:t>indépendance et à l</w:t>
      </w:r>
      <w:r w:rsidR="00052E12" w:rsidRPr="008E1C0D">
        <w:rPr>
          <w:b/>
          <w:lang w:val="fr-FR"/>
        </w:rPr>
        <w:t>’</w:t>
      </w:r>
      <w:r w:rsidRPr="008E1C0D">
        <w:rPr>
          <w:b/>
          <w:lang w:val="fr-FR"/>
        </w:rPr>
        <w:t>efficacité des organes chargés des élections et de la lutte contre la corruption.</w:t>
      </w:r>
      <w:r w:rsidRPr="008E1C0D">
        <w:rPr>
          <w:b/>
          <w:lang w:val="fr-FR"/>
        </w:rPr>
        <w:t xml:space="preserve"> </w:t>
      </w:r>
    </w:p>
    <w:p w:rsidR="004403D6" w:rsidRPr="00052E12" w:rsidRDefault="008E1C0D" w:rsidP="008E1C0D">
      <w:pPr>
        <w:pStyle w:val="H1G"/>
      </w:pPr>
      <w:r>
        <w:rPr>
          <w:lang w:val="fr-FR"/>
        </w:rPr>
        <w:tab/>
      </w:r>
      <w:r w:rsidR="00F068AB" w:rsidRPr="00052E12">
        <w:rPr>
          <w:lang w:val="fr-FR"/>
        </w:rPr>
        <w:t>D.</w:t>
      </w:r>
      <w:r w:rsidR="00F068AB" w:rsidRPr="00052E12">
        <w:rPr>
          <w:lang w:val="fr-FR"/>
        </w:rPr>
        <w:tab/>
        <w:t>Diffusion et suivi</w:t>
      </w:r>
      <w:bookmarkStart w:id="28" w:name="_Toc491177810"/>
      <w:bookmarkEnd w:id="28"/>
    </w:p>
    <w:p w:rsidR="004403D6" w:rsidRPr="00052E12" w:rsidRDefault="00F068AB" w:rsidP="00052E12">
      <w:pPr>
        <w:pStyle w:val="SingleTxtG"/>
      </w:pPr>
      <w:r w:rsidRPr="00052E12">
        <w:rPr>
          <w:lang w:val="fr-FR"/>
        </w:rPr>
        <w:t>54.</w:t>
      </w:r>
      <w:r w:rsidRPr="00052E12">
        <w:rPr>
          <w:lang w:val="fr-FR"/>
        </w:rPr>
        <w:tab/>
        <w:t>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État partie devrait diffuser largement le texte du Pacte, des réponses écrites à la liste de points établie par le</w:t>
      </w:r>
      <w:r w:rsidRPr="00052E12">
        <w:rPr>
          <w:lang w:val="fr-FR"/>
        </w:rPr>
        <w:t xml:space="preserve"> Comité et des présentes observations finales auprès des autorités judiciaires, législatives et administratives, de la société civile et des organisations non gouvernementales présentes dans le pays, ainsi qu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auprès du grand public, afin de les sensibilise</w:t>
      </w:r>
      <w:r w:rsidRPr="00052E12">
        <w:rPr>
          <w:lang w:val="fr-FR"/>
        </w:rPr>
        <w:t>r aux droits inscrits dans le Pacte.</w:t>
      </w:r>
      <w:r w:rsidRPr="00052E12">
        <w:rPr>
          <w:lang w:val="fr-FR"/>
        </w:rPr>
        <w:t xml:space="preserve"> L</w:t>
      </w:r>
      <w:r w:rsidR="00052E12" w:rsidRPr="00052E12">
        <w:rPr>
          <w:lang w:val="fr-FR"/>
        </w:rPr>
        <w:t>’</w:t>
      </w:r>
      <w:r w:rsidR="0013251E">
        <w:rPr>
          <w:lang w:val="fr-FR"/>
        </w:rPr>
        <w:t>État p</w:t>
      </w:r>
      <w:r w:rsidRPr="00052E12">
        <w:rPr>
          <w:lang w:val="fr-FR"/>
        </w:rPr>
        <w:t>artie devrait faire en sorte que le</w:t>
      </w:r>
      <w:r w:rsidRPr="00052E12">
        <w:rPr>
          <w:lang w:val="fr-FR"/>
        </w:rPr>
        <w:t>s réponses à la liste de points</w:t>
      </w:r>
      <w:r w:rsidRPr="00052E12">
        <w:rPr>
          <w:lang w:val="fr-FR"/>
        </w:rPr>
        <w:t xml:space="preserve"> et les présentes observations finales soient traduit</w:t>
      </w:r>
      <w:r w:rsidRPr="00052E12">
        <w:rPr>
          <w:lang w:val="fr-FR"/>
        </w:rPr>
        <w:t>e</w:t>
      </w:r>
      <w:r w:rsidRPr="00052E12">
        <w:rPr>
          <w:lang w:val="fr-FR"/>
        </w:rPr>
        <w:t>s dans son autre langue officielle.</w:t>
      </w:r>
      <w:r w:rsidRPr="00052E12">
        <w:rPr>
          <w:lang w:val="fr-FR"/>
        </w:rPr>
        <w:t xml:space="preserve"> </w:t>
      </w:r>
    </w:p>
    <w:p w:rsidR="004403D6" w:rsidRPr="00052E12" w:rsidRDefault="00091812" w:rsidP="00052E12">
      <w:pPr>
        <w:pStyle w:val="SingleTxtG"/>
      </w:pPr>
      <w:r>
        <w:rPr>
          <w:lang w:val="fr-FR"/>
        </w:rPr>
        <w:t>55.</w:t>
      </w:r>
      <w:r>
        <w:rPr>
          <w:lang w:val="fr-FR"/>
        </w:rPr>
        <w:tab/>
        <w:t>Conformément au paragraphe </w:t>
      </w:r>
      <w:r w:rsidR="00F068AB" w:rsidRPr="00052E12">
        <w:rPr>
          <w:lang w:val="fr-FR"/>
        </w:rPr>
        <w:t>5 de l</w:t>
      </w:r>
      <w:r w:rsidR="00052E12" w:rsidRPr="00052E12">
        <w:rPr>
          <w:lang w:val="fr-FR"/>
        </w:rPr>
        <w:t>’</w:t>
      </w:r>
      <w:r>
        <w:rPr>
          <w:lang w:val="fr-FR"/>
        </w:rPr>
        <w:t>article </w:t>
      </w:r>
      <w:r w:rsidR="00F068AB" w:rsidRPr="00052E12">
        <w:rPr>
          <w:lang w:val="fr-FR"/>
        </w:rPr>
        <w:t xml:space="preserve">71 du </w:t>
      </w:r>
      <w:r w:rsidR="00F068AB" w:rsidRPr="00052E12">
        <w:rPr>
          <w:lang w:val="fr-FR"/>
        </w:rPr>
        <w:t>r</w:t>
      </w:r>
      <w:r w:rsidR="00F068AB" w:rsidRPr="00052E12">
        <w:rPr>
          <w:lang w:val="fr-FR"/>
        </w:rPr>
        <w:t>èglement intérieur du Comité, l</w:t>
      </w:r>
      <w:r w:rsidR="00052E12" w:rsidRPr="00052E12">
        <w:rPr>
          <w:lang w:val="fr-FR"/>
        </w:rPr>
        <w:t>’</w:t>
      </w:r>
      <w:r w:rsidR="00F068AB" w:rsidRPr="00052E12">
        <w:rPr>
          <w:lang w:val="fr-FR"/>
        </w:rPr>
        <w:t>État partie est invité à faire parvenir, dans un délai d</w:t>
      </w:r>
      <w:r w:rsidR="00052E12" w:rsidRPr="00052E12">
        <w:rPr>
          <w:lang w:val="fr-FR"/>
        </w:rPr>
        <w:t>’</w:t>
      </w:r>
      <w:r w:rsidR="00F068AB" w:rsidRPr="00052E12">
        <w:rPr>
          <w:lang w:val="fr-FR"/>
        </w:rPr>
        <w:t>un an à compter de l</w:t>
      </w:r>
      <w:r w:rsidR="00052E12" w:rsidRPr="00052E12">
        <w:rPr>
          <w:lang w:val="fr-FR"/>
        </w:rPr>
        <w:t>’</w:t>
      </w:r>
      <w:r w:rsidR="00F068AB" w:rsidRPr="00052E12">
        <w:rPr>
          <w:lang w:val="fr-FR"/>
        </w:rPr>
        <w:t>adoption des présentes observations finales, des renseignements sur la suite qu</w:t>
      </w:r>
      <w:r w:rsidR="00052E12" w:rsidRPr="00052E12">
        <w:rPr>
          <w:lang w:val="fr-FR"/>
        </w:rPr>
        <w:t>’</w:t>
      </w:r>
      <w:r w:rsidR="00F068AB" w:rsidRPr="00052E12">
        <w:rPr>
          <w:lang w:val="fr-FR"/>
        </w:rPr>
        <w:t xml:space="preserve">il aura donnée aux recommandations formulées aux </w:t>
      </w:r>
      <w:r w:rsidR="00F068AB" w:rsidRPr="00052E12">
        <w:rPr>
          <w:lang w:val="fr-FR"/>
        </w:rPr>
        <w:t>paragraphes</w:t>
      </w:r>
      <w:r w:rsidR="002327CD">
        <w:rPr>
          <w:lang w:val="fr-FR"/>
        </w:rPr>
        <w:t> </w:t>
      </w:r>
      <w:r w:rsidR="00F068AB" w:rsidRPr="00052E12">
        <w:rPr>
          <w:lang w:val="fr-FR"/>
        </w:rPr>
        <w:t>27 (violence à l</w:t>
      </w:r>
      <w:r w:rsidR="00052E12" w:rsidRPr="00052E12">
        <w:rPr>
          <w:lang w:val="fr-FR"/>
        </w:rPr>
        <w:t>’</w:t>
      </w:r>
      <w:r>
        <w:rPr>
          <w:lang w:val="fr-FR"/>
        </w:rPr>
        <w:t>égard des femmes), 45 </w:t>
      </w:r>
      <w:r w:rsidR="00F068AB" w:rsidRPr="00052E12">
        <w:rPr>
          <w:lang w:val="fr-FR"/>
        </w:rPr>
        <w:t>(liberté d</w:t>
      </w:r>
      <w:r w:rsidR="00052E12" w:rsidRPr="00052E12">
        <w:rPr>
          <w:lang w:val="fr-FR"/>
        </w:rPr>
        <w:t>’</w:t>
      </w:r>
      <w:r w:rsidR="00F068AB" w:rsidRPr="00052E12">
        <w:rPr>
          <w:lang w:val="fr-FR"/>
        </w:rPr>
        <w:t>expression, d</w:t>
      </w:r>
      <w:r w:rsidR="00052E12" w:rsidRPr="00052E12">
        <w:rPr>
          <w:lang w:val="fr-FR"/>
        </w:rPr>
        <w:t>’</w:t>
      </w:r>
      <w:r w:rsidR="00F068AB" w:rsidRPr="00052E12">
        <w:rPr>
          <w:lang w:val="fr-FR"/>
        </w:rPr>
        <w:t>assemblée et d</w:t>
      </w:r>
      <w:r w:rsidR="00052E12" w:rsidRPr="00052E12">
        <w:rPr>
          <w:lang w:val="fr-FR"/>
        </w:rPr>
        <w:t>’</w:t>
      </w:r>
      <w:r w:rsidR="00F068AB" w:rsidRPr="00052E12">
        <w:rPr>
          <w:lang w:val="fr-FR"/>
        </w:rPr>
        <w:t xml:space="preserve">association) et 53 (participation aux affaires publiques et corruption) ci-dessus. </w:t>
      </w:r>
    </w:p>
    <w:p w:rsidR="004403D6" w:rsidRPr="00052E12" w:rsidRDefault="00F068AB" w:rsidP="00052E12">
      <w:pPr>
        <w:pStyle w:val="SingleTxtG"/>
      </w:pPr>
      <w:r w:rsidRPr="00052E12">
        <w:rPr>
          <w:lang w:val="fr-FR"/>
        </w:rPr>
        <w:t>56.</w:t>
      </w:r>
      <w:r w:rsidRPr="00052E12">
        <w:rPr>
          <w:lang w:val="fr-FR"/>
        </w:rPr>
        <w:tab/>
        <w:t>Le Comité demande à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État partie de lui soumettre son prochain rapport pé</w:t>
      </w:r>
      <w:r w:rsidR="00091812">
        <w:rPr>
          <w:lang w:val="fr-FR"/>
        </w:rPr>
        <w:t>riodique le 28 </w:t>
      </w:r>
      <w:r w:rsidRPr="00052E12">
        <w:rPr>
          <w:lang w:val="fr-FR"/>
        </w:rPr>
        <w:t>juillet 2021 au plus tard et d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y faire figurer des renseignements sur la suite qu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 xml:space="preserve">il aura donnée aux </w:t>
      </w:r>
      <w:r w:rsidRPr="00052E12">
        <w:rPr>
          <w:lang w:val="fr-FR"/>
        </w:rPr>
        <w:t>recommandations formulées dans les présentes observations finales.</w:t>
      </w:r>
      <w:r w:rsidRPr="00052E12">
        <w:rPr>
          <w:lang w:val="fr-FR"/>
        </w:rPr>
        <w:t xml:space="preserve"> Le Comité demande également à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État partie, lorsqu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il élaborera ce rapport, de tenir de vastes consultations avec la société civile et les organisations non gouvernementales présentes dans le pays.</w:t>
      </w:r>
      <w:r w:rsidR="00091812">
        <w:rPr>
          <w:lang w:val="fr-FR"/>
        </w:rPr>
        <w:t xml:space="preserve"> Conformément à la résolution </w:t>
      </w:r>
      <w:r w:rsidRPr="00052E12">
        <w:rPr>
          <w:lang w:val="fr-FR"/>
        </w:rPr>
        <w:t>68/268 de l</w:t>
      </w:r>
      <w:r w:rsidR="00052E12" w:rsidRPr="00052E12">
        <w:rPr>
          <w:lang w:val="fr-FR"/>
        </w:rPr>
        <w:t>’</w:t>
      </w:r>
      <w:r w:rsidRPr="00052E12">
        <w:rPr>
          <w:lang w:val="fr-FR"/>
        </w:rPr>
        <w:t>Assemblée générale, ce document ne devra pas compter plus de 21</w:t>
      </w:r>
      <w:r w:rsidR="00091812">
        <w:rPr>
          <w:lang w:val="fr-FR"/>
        </w:rPr>
        <w:t> </w:t>
      </w:r>
      <w:r w:rsidRPr="00052E12">
        <w:rPr>
          <w:lang w:val="fr-FR"/>
        </w:rPr>
        <w:t>2</w:t>
      </w:r>
      <w:r w:rsidR="00091812">
        <w:rPr>
          <w:lang w:val="fr-FR"/>
        </w:rPr>
        <w:t>00 </w:t>
      </w:r>
      <w:r w:rsidRPr="00052E12">
        <w:rPr>
          <w:lang w:val="fr-FR"/>
        </w:rPr>
        <w:t>mots.</w:t>
      </w:r>
      <w:r w:rsidRPr="00052E12">
        <w:rPr>
          <w:lang w:val="fr-FR"/>
        </w:rPr>
        <w:t xml:space="preserve"> </w:t>
      </w:r>
    </w:p>
    <w:p w:rsidR="00E85C42" w:rsidRPr="00052E12" w:rsidRDefault="00052E12" w:rsidP="00052E1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85C42" w:rsidRPr="00052E12" w:rsidSect="009127E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537" w:rsidRDefault="006A7537" w:rsidP="00F95C08">
      <w:pPr>
        <w:spacing w:line="240" w:lineRule="auto"/>
      </w:pPr>
    </w:p>
  </w:endnote>
  <w:endnote w:type="continuationSeparator" w:id="0">
    <w:p w:rsidR="006A7537" w:rsidRPr="00AC3823" w:rsidRDefault="006A7537" w:rsidP="00AC3823">
      <w:pPr>
        <w:pStyle w:val="Pieddepage"/>
      </w:pPr>
    </w:p>
  </w:endnote>
  <w:endnote w:type="continuationNotice" w:id="1">
    <w:p w:rsidR="006A7537" w:rsidRDefault="006A753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7E3" w:rsidRPr="009127E3" w:rsidRDefault="009127E3" w:rsidP="009127E3">
    <w:pPr>
      <w:pStyle w:val="Pieddepage"/>
      <w:tabs>
        <w:tab w:val="right" w:pos="9638"/>
      </w:tabs>
    </w:pPr>
    <w:r w:rsidRPr="009127E3">
      <w:rPr>
        <w:b/>
        <w:sz w:val="18"/>
      </w:rPr>
      <w:fldChar w:fldCharType="begin"/>
    </w:r>
    <w:r w:rsidRPr="009127E3">
      <w:rPr>
        <w:b/>
        <w:sz w:val="18"/>
      </w:rPr>
      <w:instrText xml:space="preserve"> PAGE  \* MERGEFORMAT </w:instrText>
    </w:r>
    <w:r w:rsidRPr="009127E3">
      <w:rPr>
        <w:b/>
        <w:sz w:val="18"/>
      </w:rPr>
      <w:fldChar w:fldCharType="separate"/>
    </w:r>
    <w:r w:rsidR="00F068AB">
      <w:rPr>
        <w:b/>
        <w:noProof/>
        <w:sz w:val="18"/>
      </w:rPr>
      <w:t>2</w:t>
    </w:r>
    <w:r w:rsidRPr="009127E3">
      <w:rPr>
        <w:b/>
        <w:sz w:val="18"/>
      </w:rPr>
      <w:fldChar w:fldCharType="end"/>
    </w:r>
    <w:r>
      <w:rPr>
        <w:b/>
        <w:sz w:val="18"/>
      </w:rPr>
      <w:tab/>
    </w:r>
    <w:r>
      <w:t>GE.17-14555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7E3" w:rsidRPr="009127E3" w:rsidRDefault="009127E3" w:rsidP="009127E3">
    <w:pPr>
      <w:pStyle w:val="Pieddepage"/>
      <w:tabs>
        <w:tab w:val="right" w:pos="9638"/>
      </w:tabs>
      <w:rPr>
        <w:b/>
        <w:sz w:val="18"/>
      </w:rPr>
    </w:pPr>
    <w:r>
      <w:t>GE.17-14555</w:t>
    </w:r>
    <w:r>
      <w:tab/>
    </w:r>
    <w:r w:rsidRPr="009127E3">
      <w:rPr>
        <w:b/>
        <w:sz w:val="18"/>
      </w:rPr>
      <w:fldChar w:fldCharType="begin"/>
    </w:r>
    <w:r w:rsidRPr="009127E3">
      <w:rPr>
        <w:b/>
        <w:sz w:val="18"/>
      </w:rPr>
      <w:instrText xml:space="preserve"> PAGE  \* MERGEFORMAT </w:instrText>
    </w:r>
    <w:r w:rsidRPr="009127E3">
      <w:rPr>
        <w:b/>
        <w:sz w:val="18"/>
      </w:rPr>
      <w:fldChar w:fldCharType="separate"/>
    </w:r>
    <w:r w:rsidR="00F068AB">
      <w:rPr>
        <w:b/>
        <w:noProof/>
        <w:sz w:val="18"/>
      </w:rPr>
      <w:t>11</w:t>
    </w:r>
    <w:r w:rsidRPr="009127E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9B" w:rsidRPr="009127E3" w:rsidRDefault="009127E3" w:rsidP="009127E3">
    <w:pPr>
      <w:pStyle w:val="Pieddepage"/>
      <w:spacing w:before="120"/>
      <w:rPr>
        <w:sz w:val="20"/>
      </w:rPr>
    </w:pPr>
    <w:r>
      <w:rPr>
        <w:sz w:val="20"/>
      </w:rPr>
      <w:t>GE.</w:t>
    </w:r>
    <w:r w:rsidR="001B379B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091AA59C" wp14:editId="5E500DF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17-14555  (F)    031017    041017</w:t>
    </w:r>
    <w:r>
      <w:rPr>
        <w:sz w:val="20"/>
      </w:rPr>
      <w:br/>
    </w:r>
    <w:r w:rsidRPr="009127E3">
      <w:rPr>
        <w:rFonts w:ascii="C39T30Lfz" w:hAnsi="C39T30Lfz"/>
        <w:sz w:val="56"/>
      </w:rPr>
      <w:t></w:t>
    </w:r>
    <w:r w:rsidRPr="009127E3">
      <w:rPr>
        <w:rFonts w:ascii="C39T30Lfz" w:hAnsi="C39T30Lfz"/>
        <w:sz w:val="56"/>
      </w:rPr>
      <w:t></w:t>
    </w:r>
    <w:r w:rsidRPr="009127E3">
      <w:rPr>
        <w:rFonts w:ascii="C39T30Lfz" w:hAnsi="C39T30Lfz"/>
        <w:sz w:val="56"/>
      </w:rPr>
      <w:t></w:t>
    </w:r>
    <w:r w:rsidRPr="009127E3">
      <w:rPr>
        <w:rFonts w:ascii="C39T30Lfz" w:hAnsi="C39T30Lfz"/>
        <w:sz w:val="56"/>
      </w:rPr>
      <w:t></w:t>
    </w:r>
    <w:r w:rsidRPr="009127E3">
      <w:rPr>
        <w:rFonts w:ascii="C39T30Lfz" w:hAnsi="C39T30Lfz"/>
        <w:sz w:val="56"/>
      </w:rPr>
      <w:t></w:t>
    </w:r>
    <w:r w:rsidRPr="009127E3">
      <w:rPr>
        <w:rFonts w:ascii="C39T30Lfz" w:hAnsi="C39T30Lfz"/>
        <w:sz w:val="56"/>
      </w:rPr>
      <w:t></w:t>
    </w:r>
    <w:r w:rsidRPr="009127E3">
      <w:rPr>
        <w:rFonts w:ascii="C39T30Lfz" w:hAnsi="C39T30Lfz"/>
        <w:sz w:val="56"/>
      </w:rPr>
      <w:t></w:t>
    </w:r>
    <w:r w:rsidRPr="009127E3">
      <w:rPr>
        <w:rFonts w:ascii="C39T30Lfz" w:hAnsi="C39T30Lfz"/>
        <w:sz w:val="56"/>
      </w:rPr>
      <w:t></w:t>
    </w:r>
    <w:r w:rsidRPr="009127E3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CCPR/C/SWZ/CO/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SWZ/CO/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537" w:rsidRPr="00AC3823" w:rsidRDefault="006A753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A7537" w:rsidRPr="00AC3823" w:rsidRDefault="006A753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A7537" w:rsidRPr="00AC3823" w:rsidRDefault="006A7537">
      <w:pPr>
        <w:spacing w:line="240" w:lineRule="auto"/>
        <w:rPr>
          <w:sz w:val="2"/>
          <w:szCs w:val="2"/>
        </w:rPr>
      </w:pPr>
    </w:p>
  </w:footnote>
  <w:footnote w:id="2">
    <w:p w:rsidR="00091812" w:rsidRPr="00091812" w:rsidRDefault="00091812">
      <w:pPr>
        <w:pStyle w:val="Notedebasdepage"/>
      </w:pPr>
      <w:r>
        <w:rPr>
          <w:rStyle w:val="Appelnotedebasdep"/>
        </w:rPr>
        <w:tab/>
      </w:r>
      <w:r w:rsidRPr="00091812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Adoptées par le Comité à sa 120</w:t>
      </w:r>
      <w:r>
        <w:rPr>
          <w:vertAlign w:val="superscript"/>
          <w:lang w:val="fr-FR"/>
        </w:rPr>
        <w:t>e</w:t>
      </w:r>
      <w:r>
        <w:rPr>
          <w:lang w:val="fr-FR"/>
        </w:rPr>
        <w:t> session (3-28 </w:t>
      </w:r>
      <w:r>
        <w:rPr>
          <w:lang w:val="fr-FR"/>
        </w:rPr>
        <w:t>juillet 2017).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7E3" w:rsidRPr="009127E3" w:rsidRDefault="009127E3">
    <w:pPr>
      <w:pStyle w:val="En-tte"/>
    </w:pPr>
    <w:fldSimple w:instr=" TITLE  \* MERGEFORMAT ">
      <w:r w:rsidR="00F068AB">
        <w:t>CCPR/C/SWZ/CO/1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7E3" w:rsidRPr="009127E3" w:rsidRDefault="009127E3" w:rsidP="009127E3">
    <w:pPr>
      <w:pStyle w:val="En-tte"/>
      <w:jc w:val="right"/>
    </w:pPr>
    <w:fldSimple w:instr=" TITLE  \* MERGEFORMAT ">
      <w:r w:rsidR="00F068AB">
        <w:t>CCPR/C/SWZ/CO/1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7D08229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63804"/>
    <w:multiLevelType w:val="hybridMultilevel"/>
    <w:tmpl w:val="3FD65930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659F0"/>
    <w:multiLevelType w:val="hybridMultilevel"/>
    <w:tmpl w:val="49A6FBA2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F4EB2"/>
    <w:multiLevelType w:val="hybridMultilevel"/>
    <w:tmpl w:val="5C8CEEB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525F52A1"/>
    <w:multiLevelType w:val="hybridMultilevel"/>
    <w:tmpl w:val="654C8C62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D07B2"/>
    <w:multiLevelType w:val="hybridMultilevel"/>
    <w:tmpl w:val="64428C8C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7AFB38E9"/>
    <w:multiLevelType w:val="hybridMultilevel"/>
    <w:tmpl w:val="E74A8170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3"/>
  </w:num>
  <w:num w:numId="16">
    <w:abstractNumId w:val="10"/>
  </w:num>
  <w:num w:numId="17">
    <w:abstractNumId w:val="15"/>
  </w:num>
  <w:num w:numId="18">
    <w:abstractNumId w:val="13"/>
  </w:num>
  <w:num w:numId="19">
    <w:abstractNumId w:val="10"/>
  </w:num>
  <w:num w:numId="20">
    <w:abstractNumId w:val="14"/>
  </w:num>
  <w:num w:numId="21">
    <w:abstractNumId w:val="12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37"/>
    <w:rsid w:val="00017F94"/>
    <w:rsid w:val="00023842"/>
    <w:rsid w:val="000334F9"/>
    <w:rsid w:val="00052E12"/>
    <w:rsid w:val="0007796D"/>
    <w:rsid w:val="00091812"/>
    <w:rsid w:val="000B65E8"/>
    <w:rsid w:val="000B7790"/>
    <w:rsid w:val="000C2225"/>
    <w:rsid w:val="00111F2F"/>
    <w:rsid w:val="0013251E"/>
    <w:rsid w:val="0014365E"/>
    <w:rsid w:val="00176178"/>
    <w:rsid w:val="001B379B"/>
    <w:rsid w:val="001F525A"/>
    <w:rsid w:val="00223272"/>
    <w:rsid w:val="002327CD"/>
    <w:rsid w:val="0024779E"/>
    <w:rsid w:val="002B7BC7"/>
    <w:rsid w:val="002E2D46"/>
    <w:rsid w:val="002F1F54"/>
    <w:rsid w:val="0032225A"/>
    <w:rsid w:val="003402F1"/>
    <w:rsid w:val="00351332"/>
    <w:rsid w:val="003A6E96"/>
    <w:rsid w:val="00444094"/>
    <w:rsid w:val="00446FE5"/>
    <w:rsid w:val="00452396"/>
    <w:rsid w:val="005505B7"/>
    <w:rsid w:val="00573BE5"/>
    <w:rsid w:val="00586ED3"/>
    <w:rsid w:val="00596AA9"/>
    <w:rsid w:val="006A7537"/>
    <w:rsid w:val="006F7144"/>
    <w:rsid w:val="006F71EA"/>
    <w:rsid w:val="0071601D"/>
    <w:rsid w:val="00793E85"/>
    <w:rsid w:val="007A611C"/>
    <w:rsid w:val="007A62E6"/>
    <w:rsid w:val="007E2032"/>
    <w:rsid w:val="0080684C"/>
    <w:rsid w:val="008560DB"/>
    <w:rsid w:val="00871C75"/>
    <w:rsid w:val="008776DC"/>
    <w:rsid w:val="00887AF2"/>
    <w:rsid w:val="008E1C0D"/>
    <w:rsid w:val="00907AF6"/>
    <w:rsid w:val="009127E3"/>
    <w:rsid w:val="009705C8"/>
    <w:rsid w:val="00992700"/>
    <w:rsid w:val="009B1E6C"/>
    <w:rsid w:val="009E2C6A"/>
    <w:rsid w:val="00A9151D"/>
    <w:rsid w:val="00AA6A35"/>
    <w:rsid w:val="00AC3823"/>
    <w:rsid w:val="00AE323C"/>
    <w:rsid w:val="00B00181"/>
    <w:rsid w:val="00B350F8"/>
    <w:rsid w:val="00B41C3C"/>
    <w:rsid w:val="00B765F7"/>
    <w:rsid w:val="00BA0CA9"/>
    <w:rsid w:val="00C01ACF"/>
    <w:rsid w:val="00C02897"/>
    <w:rsid w:val="00C14C45"/>
    <w:rsid w:val="00CA7BC4"/>
    <w:rsid w:val="00D05667"/>
    <w:rsid w:val="00D3439C"/>
    <w:rsid w:val="00D744E5"/>
    <w:rsid w:val="00D82E5F"/>
    <w:rsid w:val="00D83177"/>
    <w:rsid w:val="00DB1831"/>
    <w:rsid w:val="00DD3BFD"/>
    <w:rsid w:val="00DF1C23"/>
    <w:rsid w:val="00DF6678"/>
    <w:rsid w:val="00E708B4"/>
    <w:rsid w:val="00E85C42"/>
    <w:rsid w:val="00EC30D5"/>
    <w:rsid w:val="00EE1BD4"/>
    <w:rsid w:val="00EF3709"/>
    <w:rsid w:val="00F068AB"/>
    <w:rsid w:val="00F12152"/>
    <w:rsid w:val="00F660DF"/>
    <w:rsid w:val="00F95C08"/>
    <w:rsid w:val="00FC5235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2DE614"/>
  <w15:docId w15:val="{5C312B7E-687D-44D7-87C4-EC01FDFF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4E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D744E5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qFormat/>
    <w:rsid w:val="00A9151D"/>
    <w:pPr>
      <w:outlineLvl w:val="1"/>
    </w:pPr>
  </w:style>
  <w:style w:type="paragraph" w:styleId="Titre3">
    <w:name w:val="heading 3"/>
    <w:basedOn w:val="Normal"/>
    <w:next w:val="Normal"/>
    <w:link w:val="Titre3Car"/>
    <w:qFormat/>
    <w:rsid w:val="00793E85"/>
    <w:pPr>
      <w:outlineLvl w:val="2"/>
    </w:pPr>
  </w:style>
  <w:style w:type="paragraph" w:styleId="Titre4">
    <w:name w:val="heading 4"/>
    <w:basedOn w:val="Normal"/>
    <w:next w:val="Normal"/>
    <w:link w:val="Titre4Car"/>
    <w:qFormat/>
    <w:rsid w:val="00793E85"/>
    <w:pPr>
      <w:outlineLvl w:val="3"/>
    </w:pPr>
  </w:style>
  <w:style w:type="paragraph" w:styleId="Titre5">
    <w:name w:val="heading 5"/>
    <w:basedOn w:val="Normal"/>
    <w:next w:val="Normal"/>
    <w:link w:val="Titre5Car"/>
    <w:qFormat/>
    <w:rsid w:val="00793E85"/>
    <w:pPr>
      <w:outlineLvl w:val="4"/>
    </w:pPr>
  </w:style>
  <w:style w:type="paragraph" w:styleId="Titre6">
    <w:name w:val="heading 6"/>
    <w:basedOn w:val="Normal"/>
    <w:next w:val="Normal"/>
    <w:link w:val="Titre6Car"/>
    <w:qFormat/>
    <w:rsid w:val="00793E85"/>
    <w:pPr>
      <w:outlineLvl w:val="5"/>
    </w:pPr>
  </w:style>
  <w:style w:type="paragraph" w:styleId="Titre7">
    <w:name w:val="heading 7"/>
    <w:basedOn w:val="Normal"/>
    <w:next w:val="Normal"/>
    <w:link w:val="Titre7Car"/>
    <w:qFormat/>
    <w:rsid w:val="00793E85"/>
    <w:pPr>
      <w:outlineLvl w:val="6"/>
    </w:pPr>
  </w:style>
  <w:style w:type="paragraph" w:styleId="Titre8">
    <w:name w:val="heading 8"/>
    <w:basedOn w:val="Normal"/>
    <w:next w:val="Normal"/>
    <w:link w:val="Titre8Car"/>
    <w:qFormat/>
    <w:rsid w:val="00793E85"/>
    <w:pPr>
      <w:outlineLvl w:val="7"/>
    </w:pPr>
  </w:style>
  <w:style w:type="paragraph" w:styleId="Titre9">
    <w:name w:val="heading 9"/>
    <w:basedOn w:val="Normal"/>
    <w:next w:val="Normal"/>
    <w:link w:val="Titre9Car"/>
    <w:qFormat/>
    <w:rsid w:val="00793E85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D744E5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D744E5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D744E5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D744E5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744E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744E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D744E5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744E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744E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744E5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744E5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744E5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D744E5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D744E5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D744E5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D744E5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D744E5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D744E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D744E5"/>
  </w:style>
  <w:style w:type="character" w:customStyle="1" w:styleId="NotedefinCar">
    <w:name w:val="Note de fin Car"/>
    <w:aliases w:val="2_G Car"/>
    <w:basedOn w:val="Policepardfaut"/>
    <w:link w:val="Notedefin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D744E5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D744E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rsid w:val="00793E85"/>
    <w:rPr>
      <w:rFonts w:ascii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semiHidden/>
    <w:unhideWhenUsed/>
    <w:rsid w:val="00793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93E85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93E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93E85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93E85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4</TotalTime>
  <Pages>11</Pages>
  <Words>5713</Words>
  <Characters>33483</Characters>
  <Application>Microsoft Office Word</Application>
  <DocSecurity>0</DocSecurity>
  <Lines>3043</Lines>
  <Paragraphs>1306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CCPR/C/SWZ/CO/1</vt:lpstr>
    </vt:vector>
  </TitlesOfParts>
  <Company>DCM</Company>
  <LinksUpToDate>false</LinksUpToDate>
  <CharactersWithSpaces>37890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CCPR/C/SWZ/CO/1</dc:title>
  <dc:subject/>
  <dc:creator>Maud DARICHE</dc:creator>
  <cp:keywords/>
  <cp:lastModifiedBy>Maud DARICHE</cp:lastModifiedBy>
  <cp:revision>3</cp:revision>
  <cp:lastPrinted>2017-10-04T12:52:00Z</cp:lastPrinted>
  <dcterms:created xsi:type="dcterms:W3CDTF">2017-10-04T12:52:00Z</dcterms:created>
  <dcterms:modified xsi:type="dcterms:W3CDTF">2017-10-04T12:56:00Z</dcterms:modified>
</cp:coreProperties>
</file>